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3538" w:rsidRPr="00B93538" w:rsidRDefault="00B93538" w:rsidP="00B93538">
      <w:pPr>
        <w:pStyle w:val="Prrafodelista"/>
        <w:numPr>
          <w:ilvl w:val="0"/>
          <w:numId w:val="5"/>
        </w:numPr>
        <w:rPr>
          <w:rFonts w:ascii="Garamond" w:hAnsi="Garamond"/>
          <w:b/>
          <w:lang w:val="en-US"/>
        </w:rPr>
      </w:pPr>
      <w:proofErr w:type="spellStart"/>
      <w:r>
        <w:rPr>
          <w:rFonts w:ascii="Garamond" w:hAnsi="Garamond"/>
          <w:b/>
          <w:lang w:val="en-US"/>
        </w:rPr>
        <w:t>Discusión</w:t>
      </w:r>
      <w:proofErr w:type="spellEnd"/>
      <w:r w:rsidR="00432EE9">
        <w:rPr>
          <w:rFonts w:ascii="Garamond" w:hAnsi="Garamond"/>
          <w:b/>
          <w:lang w:val="en-US"/>
        </w:rPr>
        <w:softHyphen/>
      </w:r>
      <w:r w:rsidR="00432EE9">
        <w:rPr>
          <w:rFonts w:ascii="Garamond" w:hAnsi="Garamond"/>
          <w:b/>
          <w:lang w:val="en-US"/>
        </w:rPr>
        <w:softHyphen/>
      </w:r>
    </w:p>
    <w:p w:rsidR="002D49E8" w:rsidRPr="009B256F" w:rsidRDefault="00B93538" w:rsidP="00432EE9">
      <w:pPr>
        <w:ind w:firstLine="709"/>
        <w:jc w:val="both"/>
        <w:rPr>
          <w:rFonts w:ascii="Garamond" w:hAnsi="Garamond"/>
          <w:sz w:val="24"/>
          <w:szCs w:val="24"/>
        </w:rPr>
      </w:pPr>
      <w:r w:rsidRPr="002D49E8">
        <w:rPr>
          <w:rFonts w:ascii="Garamond" w:hAnsi="Garamond"/>
          <w:sz w:val="24"/>
          <w:szCs w:val="24"/>
        </w:rPr>
        <w:t>Este artículo estima el costo diario per cápita de tres dietas de mínimo costo --- la dieta calóricamente suficiente (</w:t>
      </w:r>
      <w:proofErr w:type="spellStart"/>
      <w:r w:rsidRPr="002D49E8">
        <w:rPr>
          <w:rFonts w:ascii="Garamond" w:hAnsi="Garamond"/>
          <w:sz w:val="24"/>
          <w:szCs w:val="24"/>
        </w:rPr>
        <w:t>CoCA</w:t>
      </w:r>
      <w:proofErr w:type="spellEnd"/>
      <w:r w:rsidRPr="002D49E8">
        <w:rPr>
          <w:rFonts w:ascii="Garamond" w:hAnsi="Garamond"/>
          <w:sz w:val="24"/>
          <w:szCs w:val="24"/>
        </w:rPr>
        <w:t>), la dieta nutricionalmente adecuada (</w:t>
      </w:r>
      <w:proofErr w:type="spellStart"/>
      <w:r w:rsidRPr="002D49E8">
        <w:rPr>
          <w:rFonts w:ascii="Garamond" w:hAnsi="Garamond"/>
          <w:sz w:val="24"/>
          <w:szCs w:val="24"/>
        </w:rPr>
        <w:t>CoNA</w:t>
      </w:r>
      <w:proofErr w:type="spellEnd"/>
      <w:r w:rsidRPr="002D49E8">
        <w:rPr>
          <w:rFonts w:ascii="Garamond" w:hAnsi="Garamond"/>
          <w:sz w:val="24"/>
          <w:szCs w:val="24"/>
        </w:rPr>
        <w:t>) y la dieta alineada con las guías alimentarias nacionales (</w:t>
      </w:r>
      <w:proofErr w:type="spellStart"/>
      <w:r w:rsidRPr="002D49E8">
        <w:rPr>
          <w:rFonts w:ascii="Garamond" w:hAnsi="Garamond"/>
          <w:sz w:val="24"/>
          <w:szCs w:val="24"/>
        </w:rPr>
        <w:t>CoRD</w:t>
      </w:r>
      <w:proofErr w:type="spellEnd"/>
      <w:r w:rsidRPr="002D49E8">
        <w:rPr>
          <w:rFonts w:ascii="Garamond" w:hAnsi="Garamond"/>
          <w:sz w:val="24"/>
          <w:szCs w:val="24"/>
        </w:rPr>
        <w:t xml:space="preserve">) --- para Bogotá, Medellín y Cali entre enero de 2019 y diciembre de 2024, un período que abarca un episodio inflacionario de magnitud excepcional y su posterior corrección. A partir de un modelo de programación lineal estimado con precios minoristas mensuales a nivel de ciudad y requerimientos nutricionales específicos por miembro del hogar, el estudio documenta la estructura de costos, la composición y la asequibilidad de estas dietas a lo largo de la distribución del ingreso, con énfasis en la comparación entre ciudades y la evolución temporal. Los principales hallazgos son los siguientes. Primero, la verdadera barrera económica en el acceso a dietas de calidad es la adecuación nutricional, no la diversidad dietética recomendada: la prima </w:t>
      </w:r>
      <w:proofErr w:type="spellStart"/>
      <w:r w:rsidRPr="002D49E8">
        <w:rPr>
          <w:rFonts w:ascii="Garamond" w:hAnsi="Garamond"/>
          <w:sz w:val="24"/>
          <w:szCs w:val="24"/>
        </w:rPr>
        <w:t>CoNA</w:t>
      </w:r>
      <w:proofErr w:type="spellEnd"/>
      <w:r w:rsidRPr="002D49E8">
        <w:rPr>
          <w:rFonts w:ascii="Garamond" w:hAnsi="Garamond"/>
          <w:sz w:val="24"/>
          <w:szCs w:val="24"/>
        </w:rPr>
        <w:t>/</w:t>
      </w:r>
      <w:proofErr w:type="spellStart"/>
      <w:r w:rsidRPr="002D49E8">
        <w:rPr>
          <w:rFonts w:ascii="Garamond" w:hAnsi="Garamond"/>
          <w:sz w:val="24"/>
          <w:szCs w:val="24"/>
        </w:rPr>
        <w:t>CoCA</w:t>
      </w:r>
      <w:proofErr w:type="spellEnd"/>
      <w:r w:rsidRPr="002D49E8">
        <w:rPr>
          <w:rFonts w:ascii="Garamond" w:hAnsi="Garamond"/>
          <w:sz w:val="24"/>
          <w:szCs w:val="24"/>
        </w:rPr>
        <w:t xml:space="preserve"> oscila entre 1,85 y 2,01 según la ciudad, mientras que la prima </w:t>
      </w:r>
      <w:proofErr w:type="spellStart"/>
      <w:r w:rsidRPr="002D49E8">
        <w:rPr>
          <w:rFonts w:ascii="Garamond" w:hAnsi="Garamond"/>
          <w:sz w:val="24"/>
          <w:szCs w:val="24"/>
        </w:rPr>
        <w:t>CoRD</w:t>
      </w:r>
      <w:proofErr w:type="spellEnd"/>
      <w:r w:rsidRPr="002D49E8">
        <w:rPr>
          <w:rFonts w:ascii="Garamond" w:hAnsi="Garamond"/>
          <w:sz w:val="24"/>
          <w:szCs w:val="24"/>
        </w:rPr>
        <w:t>/</w:t>
      </w:r>
      <w:proofErr w:type="spellStart"/>
      <w:r w:rsidRPr="002D49E8">
        <w:rPr>
          <w:rFonts w:ascii="Garamond" w:hAnsi="Garamond"/>
          <w:sz w:val="24"/>
          <w:szCs w:val="24"/>
        </w:rPr>
        <w:t>CoNA</w:t>
      </w:r>
      <w:proofErr w:type="spellEnd"/>
      <w:r w:rsidRPr="002D49E8">
        <w:rPr>
          <w:rFonts w:ascii="Garamond" w:hAnsi="Garamond"/>
          <w:sz w:val="24"/>
          <w:szCs w:val="24"/>
        </w:rPr>
        <w:t xml:space="preserve"> es considerablemente más modesta (1,42--1,52) y estructuralmente estable. Segundo, el costo de la adecuación nutricional está dominado por el precio relativo de la leche pasteurizada, que provee entre el 64% y el 85% del calcio y entre el 97% y el 99% de la vitamina B12 del </w:t>
      </w:r>
      <w:proofErr w:type="spellStart"/>
      <w:r w:rsidRPr="002D49E8">
        <w:rPr>
          <w:rFonts w:ascii="Garamond" w:hAnsi="Garamond"/>
          <w:sz w:val="24"/>
          <w:szCs w:val="24"/>
        </w:rPr>
        <w:t>CoNA</w:t>
      </w:r>
      <w:proofErr w:type="spellEnd"/>
      <w:r w:rsidRPr="002D49E8">
        <w:rPr>
          <w:rFonts w:ascii="Garamond" w:hAnsi="Garamond"/>
          <w:sz w:val="24"/>
          <w:szCs w:val="24"/>
        </w:rPr>
        <w:t xml:space="preserve"> óptimo, lo que hace que el calcio sea la restricción nutricional económicamente más costosa del sistema con una tendencia creciente a lo largo del período. Tercero, la desinflación </w:t>
      </w:r>
      <w:proofErr w:type="spellStart"/>
      <w:r w:rsidRPr="002D49E8">
        <w:rPr>
          <w:rFonts w:ascii="Garamond" w:hAnsi="Garamond"/>
          <w:sz w:val="24"/>
          <w:szCs w:val="24"/>
        </w:rPr>
        <w:t>post-inflacionaria</w:t>
      </w:r>
      <w:proofErr w:type="spellEnd"/>
      <w:r w:rsidRPr="002D49E8">
        <w:rPr>
          <w:rFonts w:ascii="Garamond" w:hAnsi="Garamond"/>
          <w:sz w:val="24"/>
          <w:szCs w:val="24"/>
        </w:rPr>
        <w:t xml:space="preserve"> de 2024 abarató el acceso calórico básico sin aliviar proporcionalmente el costo de la adecuación nutricional, ampliando la prima </w:t>
      </w:r>
      <w:proofErr w:type="spellStart"/>
      <w:r w:rsidRPr="002D49E8">
        <w:rPr>
          <w:rFonts w:ascii="Garamond" w:hAnsi="Garamond"/>
          <w:sz w:val="24"/>
          <w:szCs w:val="24"/>
        </w:rPr>
        <w:t>CoNA</w:t>
      </w:r>
      <w:proofErr w:type="spellEnd"/>
      <w:r w:rsidRPr="002D49E8">
        <w:rPr>
          <w:rFonts w:ascii="Garamond" w:hAnsi="Garamond"/>
          <w:sz w:val="24"/>
          <w:szCs w:val="24"/>
        </w:rPr>
        <w:t>/</w:t>
      </w:r>
      <w:proofErr w:type="spellStart"/>
      <w:r w:rsidRPr="002D49E8">
        <w:rPr>
          <w:rFonts w:ascii="Garamond" w:hAnsi="Garamond"/>
          <w:sz w:val="24"/>
          <w:szCs w:val="24"/>
        </w:rPr>
        <w:t>CoCA</w:t>
      </w:r>
      <w:proofErr w:type="spellEnd"/>
      <w:r w:rsidRPr="002D49E8">
        <w:rPr>
          <w:rFonts w:ascii="Garamond" w:hAnsi="Garamond"/>
          <w:sz w:val="24"/>
          <w:szCs w:val="24"/>
        </w:rPr>
        <w:t xml:space="preserve"> hasta su máximo histórico. Cuarto, Cali exhibe una trayectoria estructuralmente distinta y persistentemente deteriorada respecto a Bogotá y Medellín en todas las dimensiones analizadas --- costos, asequibilidad y brechas ---. Quinto, la </w:t>
      </w:r>
      <w:proofErr w:type="spellStart"/>
      <w:r w:rsidRPr="002D49E8">
        <w:rPr>
          <w:rFonts w:ascii="Garamond" w:hAnsi="Garamond"/>
          <w:sz w:val="24"/>
          <w:szCs w:val="24"/>
        </w:rPr>
        <w:t>inasequibilidad</w:t>
      </w:r>
      <w:proofErr w:type="spellEnd"/>
      <w:r w:rsidRPr="002D49E8">
        <w:rPr>
          <w:rFonts w:ascii="Garamond" w:hAnsi="Garamond"/>
          <w:sz w:val="24"/>
          <w:szCs w:val="24"/>
        </w:rPr>
        <w:t xml:space="preserve"> de dietas nutricionalmente adecuadas en el primer decil refleja una restricción de ingreso absoluto, no un supuesto sobre gasto alimentario. Sexto, la prima de aceptabilidad cultural del CC-</w:t>
      </w:r>
      <w:proofErr w:type="spellStart"/>
      <w:r w:rsidRPr="002D49E8">
        <w:rPr>
          <w:rFonts w:ascii="Garamond" w:hAnsi="Garamond"/>
          <w:sz w:val="24"/>
          <w:szCs w:val="24"/>
        </w:rPr>
        <w:t>CoNA</w:t>
      </w:r>
      <w:proofErr w:type="spellEnd"/>
      <w:r w:rsidRPr="002D49E8">
        <w:rPr>
          <w:rFonts w:ascii="Garamond" w:hAnsi="Garamond"/>
          <w:sz w:val="24"/>
          <w:szCs w:val="24"/>
        </w:rPr>
        <w:t xml:space="preserve"> es modesta en el agregado (1,71%--2,22%) pero exhibe una reordenación entre ciudades progresiva después de 2021. Estos hallazgos se discuten a continuación.</w:t>
      </w:r>
    </w:p>
    <w:p w:rsidR="004B32DF" w:rsidRPr="00B93538" w:rsidRDefault="0096681E" w:rsidP="00B93538">
      <w:pPr>
        <w:pStyle w:val="Prrafodelista"/>
        <w:numPr>
          <w:ilvl w:val="0"/>
          <w:numId w:val="3"/>
        </w:numPr>
        <w:rPr>
          <w:rFonts w:ascii="Garamond" w:hAnsi="Garamond"/>
          <w:b/>
          <w:sz w:val="24"/>
          <w:szCs w:val="24"/>
          <w:lang w:val="es-MX"/>
        </w:rPr>
      </w:pPr>
      <w:proofErr w:type="spellStart"/>
      <w:r>
        <w:rPr>
          <w:rFonts w:ascii="Garamond" w:hAnsi="Garamond"/>
          <w:b/>
          <w:sz w:val="24"/>
          <w:szCs w:val="24"/>
          <w:lang w:val="es-MX"/>
        </w:rPr>
        <w:t>Diet</w:t>
      </w:r>
      <w:proofErr w:type="spellEnd"/>
      <w:r>
        <w:rPr>
          <w:rFonts w:ascii="Garamond" w:hAnsi="Garamond"/>
          <w:b/>
          <w:sz w:val="24"/>
          <w:szCs w:val="24"/>
          <w:lang w:val="es-MX"/>
        </w:rPr>
        <w:t xml:space="preserve"> </w:t>
      </w:r>
      <w:proofErr w:type="spellStart"/>
      <w:r>
        <w:rPr>
          <w:rFonts w:ascii="Garamond" w:hAnsi="Garamond"/>
          <w:b/>
          <w:sz w:val="24"/>
          <w:szCs w:val="24"/>
          <w:lang w:val="es-MX"/>
        </w:rPr>
        <w:t>Quality</w:t>
      </w:r>
      <w:proofErr w:type="spellEnd"/>
      <w:r>
        <w:rPr>
          <w:rFonts w:ascii="Garamond" w:hAnsi="Garamond"/>
          <w:b/>
          <w:sz w:val="24"/>
          <w:szCs w:val="24"/>
          <w:lang w:val="es-MX"/>
        </w:rPr>
        <w:t xml:space="preserve"> </w:t>
      </w:r>
      <w:proofErr w:type="spellStart"/>
      <w:r>
        <w:rPr>
          <w:rFonts w:ascii="Garamond" w:hAnsi="Garamond"/>
          <w:b/>
          <w:sz w:val="24"/>
          <w:szCs w:val="24"/>
          <w:lang w:val="es-MX"/>
        </w:rPr>
        <w:t>Cost</w:t>
      </w:r>
      <w:proofErr w:type="spellEnd"/>
      <w:r>
        <w:rPr>
          <w:rFonts w:ascii="Garamond" w:hAnsi="Garamond"/>
          <w:b/>
          <w:sz w:val="24"/>
          <w:szCs w:val="24"/>
          <w:lang w:val="es-MX"/>
        </w:rPr>
        <w:t xml:space="preserve"> Gaps</w:t>
      </w:r>
    </w:p>
    <w:p w:rsidR="002D49E8" w:rsidRPr="0073307A" w:rsidRDefault="00DD0E7B" w:rsidP="00432EE9">
      <w:pPr>
        <w:ind w:firstLine="709"/>
        <w:jc w:val="both"/>
        <w:rPr>
          <w:rFonts w:ascii="Garamond" w:hAnsi="Garamond"/>
          <w:color w:val="7E0000"/>
          <w:sz w:val="24"/>
          <w:szCs w:val="24"/>
          <w:lang w:val="en-US"/>
        </w:rPr>
      </w:pPr>
      <w:r w:rsidRPr="0073307A">
        <w:rPr>
          <w:rFonts w:ascii="Garamond" w:hAnsi="Garamond"/>
          <w:color w:val="7E0000"/>
          <w:sz w:val="24"/>
          <w:szCs w:val="24"/>
          <w:lang w:val="en-US"/>
        </w:rPr>
        <w:t xml:space="preserve">First, the study shows that the largest economic barrier to diet quality arises between caloric sufficiency and nutritional adequacy, not between nutritional adequacy and the recommended diet. The </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CoCA</w:t>
      </w:r>
      <w:proofErr w:type="spellEnd"/>
      <w:r w:rsidRPr="0073307A">
        <w:rPr>
          <w:rFonts w:ascii="Garamond" w:hAnsi="Garamond"/>
          <w:color w:val="7E0000"/>
          <w:sz w:val="24"/>
          <w:szCs w:val="24"/>
          <w:lang w:val="en-US"/>
        </w:rPr>
        <w:t xml:space="preserve"> premium indicates that a nutritionally adequate diet cost between 80% and 114% more than an energy-sufficient one (1.85 in Bogotá, 2.01 in Medellín, 1.99 in Cali); meeting national dietary guidelines added only a further 40% - 54% above nutritional adequacy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1.52, 1.42, and 1.43, respectively).</w:t>
      </w:r>
      <w:r w:rsidR="00432EE9">
        <w:rPr>
          <w:rFonts w:ascii="Garamond" w:hAnsi="Garamond"/>
          <w:color w:val="7E0000"/>
          <w:sz w:val="24"/>
          <w:szCs w:val="24"/>
          <w:lang w:val="en-US"/>
        </w:rPr>
        <w:t xml:space="preserve"> </w:t>
      </w:r>
      <w:r w:rsidRPr="0073307A">
        <w:rPr>
          <w:rFonts w:ascii="Garamond" w:hAnsi="Garamond"/>
          <w:color w:val="7E0000"/>
          <w:sz w:val="24"/>
          <w:szCs w:val="24"/>
          <w:lang w:val="en-US"/>
        </w:rPr>
        <w:t xml:space="preserve">Moreover, the </w:t>
      </w:r>
      <w:proofErr w:type="spellStart"/>
      <w:r w:rsidRPr="0073307A">
        <w:rPr>
          <w:rFonts w:ascii="Garamond" w:hAnsi="Garamond"/>
          <w:color w:val="7E0000"/>
          <w:sz w:val="24"/>
          <w:szCs w:val="24"/>
          <w:lang w:val="en-US"/>
        </w:rPr>
        <w:t>CoRD</w:t>
      </w:r>
      <w:proofErr w:type="spellEnd"/>
      <w:r w:rsidRPr="0073307A">
        <w:rPr>
          <w:rFonts w:ascii="Garamond" w:hAnsi="Garamond"/>
          <w:color w:val="7E0000"/>
          <w:sz w:val="24"/>
          <w:szCs w:val="24"/>
          <w:lang w:val="en-US"/>
        </w:rPr>
        <w:t>/</w:t>
      </w:r>
      <w:proofErr w:type="spellStart"/>
      <w:r w:rsidRPr="0073307A">
        <w:rPr>
          <w:rFonts w:ascii="Garamond" w:hAnsi="Garamond"/>
          <w:color w:val="7E0000"/>
          <w:sz w:val="24"/>
          <w:szCs w:val="24"/>
          <w:lang w:val="en-US"/>
        </w:rPr>
        <w:t>CoNA</w:t>
      </w:r>
      <w:proofErr w:type="spellEnd"/>
      <w:r w:rsidRPr="0073307A">
        <w:rPr>
          <w:rFonts w:ascii="Garamond" w:hAnsi="Garamond"/>
          <w:color w:val="7E0000"/>
          <w:sz w:val="24"/>
          <w:szCs w:val="24"/>
          <w:lang w:val="en-US"/>
        </w:rPr>
        <w:t xml:space="preserve"> premium remains notably stable over time, which suggests that the additional cost of meeting national dietary guidelines reflects a structural feature of these urban food markets rather than responses to the inflationary cycle. </w:t>
      </w:r>
      <w:r w:rsidR="004170C7" w:rsidRPr="0073307A">
        <w:rPr>
          <w:rFonts w:ascii="Garamond" w:hAnsi="Garamond"/>
          <w:color w:val="7E0000"/>
          <w:sz w:val="24"/>
          <w:szCs w:val="24"/>
          <w:lang w:val="en-US"/>
        </w:rPr>
        <w:t xml:space="preserve">Bai et al. (2021) find that </w:t>
      </w:r>
      <w:proofErr w:type="spellStart"/>
      <w:r w:rsidR="004170C7" w:rsidRPr="0073307A">
        <w:rPr>
          <w:rFonts w:ascii="Garamond" w:hAnsi="Garamond"/>
          <w:color w:val="7E0000"/>
          <w:sz w:val="24"/>
          <w:szCs w:val="24"/>
          <w:lang w:val="en-US"/>
        </w:rPr>
        <w:t>CoNA</w:t>
      </w:r>
      <w:proofErr w:type="spellEnd"/>
      <w:r w:rsidR="004170C7" w:rsidRPr="0073307A">
        <w:rPr>
          <w:rFonts w:ascii="Garamond" w:hAnsi="Garamond"/>
          <w:color w:val="7E0000"/>
          <w:sz w:val="24"/>
          <w:szCs w:val="24"/>
          <w:lang w:val="en-US"/>
        </w:rPr>
        <w:t xml:space="preserve"> costs on average 166% more than </w:t>
      </w:r>
      <w:proofErr w:type="spellStart"/>
      <w:r w:rsidR="004170C7" w:rsidRPr="0073307A">
        <w:rPr>
          <w:rFonts w:ascii="Garamond" w:hAnsi="Garamond"/>
          <w:color w:val="7E0000"/>
          <w:sz w:val="24"/>
          <w:szCs w:val="24"/>
          <w:lang w:val="en-US"/>
        </w:rPr>
        <w:t>CoCA</w:t>
      </w:r>
      <w:proofErr w:type="spellEnd"/>
      <w:r w:rsidR="004170C7" w:rsidRPr="0073307A">
        <w:rPr>
          <w:rFonts w:ascii="Garamond" w:hAnsi="Garamond"/>
          <w:color w:val="7E0000"/>
          <w:sz w:val="24"/>
          <w:szCs w:val="24"/>
          <w:lang w:val="en-US"/>
        </w:rPr>
        <w:t xml:space="preserve"> globally, and around 121% and 118% more in Latin America and the Caribbean and upper-middle-income countries, respectivel</w:t>
      </w:r>
      <w:r w:rsidR="000534DE" w:rsidRPr="0073307A">
        <w:rPr>
          <w:rFonts w:ascii="Garamond" w:hAnsi="Garamond"/>
          <w:color w:val="7E0000"/>
          <w:sz w:val="24"/>
          <w:szCs w:val="24"/>
          <w:lang w:val="en-US"/>
        </w:rPr>
        <w:t xml:space="preserve">y, benchmarks that the three Colombian cities fall below over the full period. </w:t>
      </w:r>
      <w:r w:rsidR="00357A9D" w:rsidRPr="0073307A">
        <w:rPr>
          <w:rFonts w:ascii="Garamond" w:hAnsi="Garamond"/>
          <w:color w:val="7E0000"/>
          <w:sz w:val="24"/>
          <w:szCs w:val="24"/>
          <w:lang w:val="en-US"/>
        </w:rPr>
        <w:t xml:space="preserve">The Colombian cities are, however, converging toward those higher benchmarks, a trend evident in Cali, where the 2.4 premium reported by Yoshioka et al. (2025) for 2022 widened to 2.57 by 2024 according to our estimates. For </w:t>
      </w:r>
      <w:proofErr w:type="spellStart"/>
      <w:r w:rsidR="00357A9D" w:rsidRPr="0073307A">
        <w:rPr>
          <w:rFonts w:ascii="Garamond" w:hAnsi="Garamond"/>
          <w:color w:val="7E0000"/>
          <w:sz w:val="24"/>
          <w:szCs w:val="24"/>
          <w:lang w:val="en-US"/>
        </w:rPr>
        <w:t>CoRD</w:t>
      </w:r>
      <w:proofErr w:type="spellEnd"/>
      <w:r w:rsidR="00357A9D" w:rsidRPr="0073307A">
        <w:rPr>
          <w:rFonts w:ascii="Garamond" w:hAnsi="Garamond"/>
          <w:color w:val="7E0000"/>
          <w:sz w:val="24"/>
          <w:szCs w:val="24"/>
          <w:lang w:val="en-US"/>
        </w:rPr>
        <w:t>/</w:t>
      </w:r>
      <w:proofErr w:type="spellStart"/>
      <w:r w:rsidR="00357A9D" w:rsidRPr="0073307A">
        <w:rPr>
          <w:rFonts w:ascii="Garamond" w:hAnsi="Garamond"/>
          <w:color w:val="7E0000"/>
          <w:sz w:val="24"/>
          <w:szCs w:val="24"/>
          <w:lang w:val="en-US"/>
        </w:rPr>
        <w:t>CoNA</w:t>
      </w:r>
      <w:proofErr w:type="spellEnd"/>
      <w:r w:rsidR="00357A9D" w:rsidRPr="0073307A">
        <w:rPr>
          <w:rFonts w:ascii="Garamond" w:hAnsi="Garamond"/>
          <w:color w:val="7E0000"/>
          <w:sz w:val="24"/>
          <w:szCs w:val="24"/>
          <w:lang w:val="en-US"/>
        </w:rPr>
        <w:t xml:space="preserve"> premium, both Yoshioka et al. (2025) for Cali and FAO et al. (2021) for Latin America report a ratio of 1.4, sitting slightly below our full-period estimates of 1.42 – 1.52. This </w:t>
      </w:r>
      <w:r w:rsidR="00357A9D" w:rsidRPr="0073307A">
        <w:rPr>
          <w:rFonts w:ascii="Garamond" w:hAnsi="Garamond"/>
          <w:color w:val="7E0000"/>
          <w:sz w:val="24"/>
          <w:szCs w:val="24"/>
          <w:lang w:val="en-US"/>
        </w:rPr>
        <w:lastRenderedPageBreak/>
        <w:t xml:space="preserve">pattern holds even when a broader dietary standard is considered, as </w:t>
      </w:r>
      <w:proofErr w:type="spellStart"/>
      <w:r w:rsidR="00357A9D" w:rsidRPr="0073307A">
        <w:rPr>
          <w:rFonts w:ascii="Garamond" w:hAnsi="Garamond"/>
          <w:color w:val="7E0000"/>
          <w:sz w:val="24"/>
          <w:szCs w:val="24"/>
          <w:lang w:val="en-US"/>
        </w:rPr>
        <w:t>Hirvonen</w:t>
      </w:r>
      <w:proofErr w:type="spellEnd"/>
      <w:r w:rsidR="00357A9D" w:rsidRPr="0073307A">
        <w:rPr>
          <w:rFonts w:ascii="Garamond" w:hAnsi="Garamond"/>
          <w:color w:val="7E0000"/>
          <w:sz w:val="24"/>
          <w:szCs w:val="24"/>
          <w:lang w:val="en-US"/>
        </w:rPr>
        <w:t xml:space="preserve"> et al. (2020) find that the EAT-Lance diet, a globally standard designed to meet both human health and planetary sustainability, costs on average 60% more than the least-cost nutritionally adequate diet. </w:t>
      </w:r>
      <w:r w:rsidR="0096681E" w:rsidRPr="0073307A">
        <w:rPr>
          <w:rFonts w:ascii="Garamond" w:hAnsi="Garamond"/>
          <w:color w:val="7E0000"/>
          <w:sz w:val="24"/>
          <w:szCs w:val="24"/>
          <w:lang w:val="en-US"/>
        </w:rPr>
        <w:t>The evidence consistently points in the same direction, insofar as the steepest economic step in the diet quality ladder falls between caloric sufficiency and nutritional adequacy.</w:t>
      </w:r>
    </w:p>
    <w:p w:rsidR="00B93538" w:rsidRPr="00B93538" w:rsidRDefault="00B93538" w:rsidP="00B93538">
      <w:pPr>
        <w:pStyle w:val="Prrafodelista"/>
        <w:numPr>
          <w:ilvl w:val="0"/>
          <w:numId w:val="3"/>
        </w:numPr>
        <w:rPr>
          <w:rFonts w:ascii="Garamond" w:hAnsi="Garamond"/>
          <w:b/>
          <w:sz w:val="24"/>
          <w:szCs w:val="24"/>
          <w:lang w:val="es-MX"/>
        </w:rPr>
      </w:pPr>
      <w:r w:rsidRPr="00B93538">
        <w:rPr>
          <w:rFonts w:ascii="Garamond" w:hAnsi="Garamond"/>
          <w:b/>
          <w:sz w:val="24"/>
          <w:szCs w:val="24"/>
          <w:lang w:val="es-MX"/>
        </w:rPr>
        <w:t>Comparación entre ciudades</w:t>
      </w:r>
    </w:p>
    <w:p w:rsidR="001B297A" w:rsidRDefault="005623E0" w:rsidP="000241A8">
      <w:pPr>
        <w:ind w:firstLine="709"/>
        <w:jc w:val="both"/>
        <w:rPr>
          <w:rFonts w:ascii="Garamond" w:hAnsi="Garamond"/>
          <w:color w:val="7E0000"/>
          <w:sz w:val="24"/>
          <w:szCs w:val="24"/>
          <w:lang w:val="en-US"/>
        </w:rPr>
      </w:pPr>
      <w:r w:rsidRPr="001B297A">
        <w:rPr>
          <w:rFonts w:ascii="Garamond" w:hAnsi="Garamond"/>
          <w:color w:val="7E0000"/>
          <w:sz w:val="24"/>
          <w:szCs w:val="24"/>
          <w:lang w:val="en-US"/>
        </w:rPr>
        <w:t xml:space="preserve">Second, the intercity cost ranking varies across dietary standards. Bogotá records the highest real </w:t>
      </w:r>
      <w:proofErr w:type="spellStart"/>
      <w:r w:rsidRPr="001B297A">
        <w:rPr>
          <w:rFonts w:ascii="Garamond" w:hAnsi="Garamond"/>
          <w:color w:val="7E0000"/>
          <w:sz w:val="24"/>
          <w:szCs w:val="24"/>
          <w:lang w:val="en-US"/>
        </w:rPr>
        <w:t>CoCA</w:t>
      </w:r>
      <w:proofErr w:type="spellEnd"/>
      <w:r w:rsidRPr="001B297A">
        <w:rPr>
          <w:rFonts w:ascii="Garamond" w:hAnsi="Garamond"/>
          <w:color w:val="7E0000"/>
          <w:sz w:val="24"/>
          <w:szCs w:val="24"/>
          <w:lang w:val="en-US"/>
        </w:rPr>
        <w:t xml:space="preserve"> and </w:t>
      </w:r>
      <w:proofErr w:type="spellStart"/>
      <w:r w:rsidRPr="001B297A">
        <w:rPr>
          <w:rFonts w:ascii="Garamond" w:hAnsi="Garamond"/>
          <w:color w:val="7E0000"/>
          <w:sz w:val="24"/>
          <w:szCs w:val="24"/>
          <w:lang w:val="en-US"/>
        </w:rPr>
        <w:t>CoRD</w:t>
      </w:r>
      <w:proofErr w:type="spellEnd"/>
      <w:r w:rsidRPr="001B297A">
        <w:rPr>
          <w:rFonts w:ascii="Garamond" w:hAnsi="Garamond"/>
          <w:color w:val="7E0000"/>
          <w:sz w:val="24"/>
          <w:szCs w:val="24"/>
          <w:lang w:val="en-US"/>
        </w:rPr>
        <w:t xml:space="preserve">, yet Medellín emerges as the most expensive city for </w:t>
      </w:r>
      <w:proofErr w:type="spellStart"/>
      <w:r w:rsidRPr="001B297A">
        <w:rPr>
          <w:rFonts w:ascii="Garamond" w:hAnsi="Garamond"/>
          <w:color w:val="7E0000"/>
          <w:sz w:val="24"/>
          <w:szCs w:val="24"/>
          <w:lang w:val="en-US"/>
        </w:rPr>
        <w:t>CoNA</w:t>
      </w:r>
      <w:proofErr w:type="spellEnd"/>
      <w:r w:rsidRPr="001B297A">
        <w:rPr>
          <w:rFonts w:ascii="Garamond" w:hAnsi="Garamond"/>
          <w:color w:val="7E0000"/>
          <w:sz w:val="24"/>
          <w:szCs w:val="24"/>
          <w:lang w:val="en-US"/>
        </w:rPr>
        <w:t>. This pattern suggests distinct relative price structures across the markets for basic starchy staples</w:t>
      </w:r>
      <w:r w:rsidR="0073307A" w:rsidRPr="001B297A">
        <w:rPr>
          <w:rFonts w:ascii="Garamond" w:hAnsi="Garamond"/>
          <w:color w:val="7E0000"/>
          <w:sz w:val="24"/>
          <w:szCs w:val="24"/>
          <w:lang w:val="en-US"/>
        </w:rPr>
        <w:t xml:space="preserve">, </w:t>
      </w:r>
      <w:r w:rsidRPr="001B297A">
        <w:rPr>
          <w:rFonts w:ascii="Garamond" w:hAnsi="Garamond"/>
          <w:color w:val="7E0000"/>
          <w:sz w:val="24"/>
          <w:szCs w:val="24"/>
          <w:lang w:val="en-US"/>
        </w:rPr>
        <w:t>nutritionally dense foods</w:t>
      </w:r>
      <w:r w:rsidR="0073307A" w:rsidRPr="001B297A">
        <w:rPr>
          <w:rFonts w:ascii="Garamond" w:hAnsi="Garamond"/>
          <w:color w:val="7E0000"/>
          <w:sz w:val="24"/>
          <w:szCs w:val="24"/>
          <w:lang w:val="en-US"/>
        </w:rPr>
        <w:t xml:space="preserve">, and guideline-compliant foods. Cross-city price co-movement, measured by Pearson correlations of real year-on-year variations, is noticeably high for </w:t>
      </w:r>
      <w:proofErr w:type="spellStart"/>
      <w:r w:rsidR="0073307A" w:rsidRPr="001B297A">
        <w:rPr>
          <w:rFonts w:ascii="Garamond" w:hAnsi="Garamond"/>
          <w:color w:val="7E0000"/>
          <w:sz w:val="24"/>
          <w:szCs w:val="24"/>
          <w:lang w:val="en-US"/>
        </w:rPr>
        <w:t>CoCA</w:t>
      </w:r>
      <w:proofErr w:type="spellEnd"/>
      <w:r w:rsidR="0073307A" w:rsidRPr="001B297A">
        <w:rPr>
          <w:rFonts w:ascii="Garamond" w:hAnsi="Garamond"/>
          <w:color w:val="7E0000"/>
          <w:sz w:val="24"/>
          <w:szCs w:val="24"/>
          <w:lang w:val="en-US"/>
        </w:rPr>
        <w:t xml:space="preserve"> (above 0.93) yet lower for </w:t>
      </w:r>
      <w:proofErr w:type="spellStart"/>
      <w:r w:rsidR="0073307A" w:rsidRPr="001B297A">
        <w:rPr>
          <w:rFonts w:ascii="Garamond" w:hAnsi="Garamond"/>
          <w:color w:val="7E0000"/>
          <w:sz w:val="24"/>
          <w:szCs w:val="24"/>
          <w:lang w:val="en-US"/>
        </w:rPr>
        <w:t>CoNA</w:t>
      </w:r>
      <w:proofErr w:type="spellEnd"/>
      <w:r w:rsidR="0073307A" w:rsidRPr="001B297A">
        <w:rPr>
          <w:rFonts w:ascii="Garamond" w:hAnsi="Garamond"/>
          <w:color w:val="7E0000"/>
          <w:sz w:val="24"/>
          <w:szCs w:val="24"/>
          <w:lang w:val="en-US"/>
        </w:rPr>
        <w:t xml:space="preserve"> (0.808 – 0.877) and </w:t>
      </w:r>
      <w:proofErr w:type="spellStart"/>
      <w:r w:rsidR="0073307A" w:rsidRPr="001B297A">
        <w:rPr>
          <w:rFonts w:ascii="Garamond" w:hAnsi="Garamond"/>
          <w:color w:val="7E0000"/>
          <w:sz w:val="24"/>
          <w:szCs w:val="24"/>
          <w:lang w:val="en-US"/>
        </w:rPr>
        <w:t>CoRD</w:t>
      </w:r>
      <w:proofErr w:type="spellEnd"/>
      <w:r w:rsidR="0073307A" w:rsidRPr="001B297A">
        <w:rPr>
          <w:rFonts w:ascii="Garamond" w:hAnsi="Garamond"/>
          <w:color w:val="7E0000"/>
          <w:sz w:val="24"/>
          <w:szCs w:val="24"/>
          <w:lang w:val="en-US"/>
        </w:rPr>
        <w:t xml:space="preserve"> (0.776 – 0.864), a difference that tracks the degree of spatial market integration associated with each food type.</w:t>
      </w:r>
      <w:r w:rsidR="00102AE5" w:rsidRPr="001B297A">
        <w:rPr>
          <w:rFonts w:ascii="Garamond" w:hAnsi="Garamond"/>
          <w:color w:val="7E0000"/>
          <w:sz w:val="24"/>
          <w:szCs w:val="24"/>
          <w:lang w:val="en-US"/>
        </w:rPr>
        <w:t xml:space="preserve"> Storability may partly explain this pattern, as prior studies documents that basic staples facilitate spatial arbitrage in ways that perishable, nutritionally dense foods c</w:t>
      </w:r>
      <w:r w:rsidR="00083EA1" w:rsidRPr="001B297A">
        <w:rPr>
          <w:rFonts w:ascii="Garamond" w:hAnsi="Garamond"/>
          <w:color w:val="7E0000"/>
          <w:sz w:val="24"/>
          <w:szCs w:val="24"/>
          <w:lang w:val="en-US"/>
        </w:rPr>
        <w:t>annot (Gilbert &amp; Morgan, 2010).</w:t>
      </w:r>
      <w:r w:rsidR="000241A8">
        <w:rPr>
          <w:rFonts w:ascii="Garamond" w:hAnsi="Garamond"/>
          <w:color w:val="7E0000"/>
          <w:sz w:val="24"/>
          <w:szCs w:val="24"/>
          <w:lang w:val="en-US"/>
        </w:rPr>
        <w:t xml:space="preserve"> </w:t>
      </w:r>
      <w:r w:rsidR="00083EA1" w:rsidRPr="001B297A">
        <w:rPr>
          <w:rFonts w:ascii="Garamond" w:hAnsi="Garamond"/>
          <w:color w:val="7E0000"/>
          <w:sz w:val="24"/>
          <w:szCs w:val="24"/>
          <w:lang w:val="en-US"/>
        </w:rPr>
        <w:t>This interpretation is further supported by evidence on Colombian food market integration, where unprocessed agricultural products consistently exhibit greater cross-city price co-movement than perishable ones (</w:t>
      </w:r>
      <w:proofErr w:type="spellStart"/>
      <w:r w:rsidR="00083EA1" w:rsidRPr="001B297A">
        <w:rPr>
          <w:rFonts w:ascii="Garamond" w:hAnsi="Garamond"/>
          <w:color w:val="7E0000"/>
          <w:sz w:val="24"/>
          <w:szCs w:val="24"/>
          <w:lang w:val="en-US"/>
        </w:rPr>
        <w:t>Iregui</w:t>
      </w:r>
      <w:proofErr w:type="spellEnd"/>
      <w:r w:rsidR="00083EA1" w:rsidRPr="001B297A">
        <w:rPr>
          <w:rFonts w:ascii="Garamond" w:hAnsi="Garamond"/>
          <w:color w:val="7E0000"/>
          <w:sz w:val="24"/>
          <w:szCs w:val="24"/>
          <w:lang w:val="en-US"/>
        </w:rPr>
        <w:t xml:space="preserve"> and Otero, 2017). </w:t>
      </w:r>
      <w:r w:rsidR="00083EA1" w:rsidRPr="00A831C0">
        <w:rPr>
          <w:rFonts w:ascii="Garamond" w:hAnsi="Garamond"/>
          <w:color w:val="7E0000"/>
          <w:sz w:val="24"/>
          <w:szCs w:val="24"/>
          <w:lang w:val="en-US"/>
        </w:rPr>
        <w:t xml:space="preserve">[ES MUY IMPORTANTE VERIFICAR ESTAS REFERENCIAS]. </w:t>
      </w:r>
      <w:r w:rsidR="001B297A" w:rsidRPr="001B297A">
        <w:rPr>
          <w:rFonts w:ascii="Garamond" w:hAnsi="Garamond"/>
          <w:color w:val="7E0000"/>
          <w:sz w:val="24"/>
          <w:szCs w:val="24"/>
          <w:lang w:val="en-US"/>
        </w:rPr>
        <w:t xml:space="preserve">Beyond their level differences, intercity gaps also differ in their temporal stability. As documented in </w:t>
      </w:r>
      <w:proofErr w:type="spellStart"/>
      <w:r w:rsidR="001B297A" w:rsidRPr="001B297A">
        <w:rPr>
          <w:rFonts w:ascii="Garamond" w:hAnsi="Garamond"/>
          <w:color w:val="7E0000"/>
          <w:sz w:val="24"/>
          <w:szCs w:val="24"/>
          <w:lang w:val="en-US"/>
        </w:rPr>
        <w:t>Appendix~X</w:t>
      </w:r>
      <w:proofErr w:type="spellEnd"/>
      <w:r w:rsidR="001B297A" w:rsidRPr="001B297A">
        <w:rPr>
          <w:rFonts w:ascii="Garamond" w:hAnsi="Garamond"/>
          <w:color w:val="7E0000"/>
          <w:sz w:val="24"/>
          <w:szCs w:val="24"/>
          <w:lang w:val="en-US"/>
        </w:rPr>
        <w:t xml:space="preserve">, gaps are considerably more stable over time for </w:t>
      </w:r>
      <w:proofErr w:type="spellStart"/>
      <w:r w:rsidR="001B297A" w:rsidRPr="001B297A">
        <w:rPr>
          <w:rFonts w:ascii="Garamond" w:hAnsi="Garamond"/>
          <w:color w:val="7E0000"/>
          <w:sz w:val="24"/>
          <w:szCs w:val="24"/>
          <w:lang w:val="en-US"/>
        </w:rPr>
        <w:t>CoCA</w:t>
      </w:r>
      <w:proofErr w:type="spellEnd"/>
      <w:r w:rsidR="001B297A" w:rsidRPr="001B297A">
        <w:rPr>
          <w:rFonts w:ascii="Garamond" w:hAnsi="Garamond"/>
          <w:color w:val="7E0000"/>
          <w:sz w:val="24"/>
          <w:szCs w:val="24"/>
          <w:lang w:val="en-US"/>
        </w:rPr>
        <w:t xml:space="preserve"> and </w:t>
      </w:r>
      <w:proofErr w:type="spellStart"/>
      <w:r w:rsidR="001B297A" w:rsidRPr="001B297A">
        <w:rPr>
          <w:rFonts w:ascii="Garamond" w:hAnsi="Garamond"/>
          <w:color w:val="7E0000"/>
          <w:sz w:val="24"/>
          <w:szCs w:val="24"/>
          <w:lang w:val="en-US"/>
        </w:rPr>
        <w:t>CoNA</w:t>
      </w:r>
      <w:proofErr w:type="spellEnd"/>
      <w:r w:rsidR="001B297A" w:rsidRPr="001B297A">
        <w:rPr>
          <w:rFonts w:ascii="Garamond" w:hAnsi="Garamond"/>
          <w:color w:val="7E0000"/>
          <w:sz w:val="24"/>
          <w:szCs w:val="24"/>
          <w:lang w:val="en-US"/>
        </w:rPr>
        <w:t xml:space="preserve"> than for </w:t>
      </w:r>
      <w:proofErr w:type="spellStart"/>
      <w:r w:rsidR="001B297A" w:rsidRPr="001B297A">
        <w:rPr>
          <w:rFonts w:ascii="Garamond" w:hAnsi="Garamond"/>
          <w:color w:val="7E0000"/>
          <w:sz w:val="24"/>
          <w:szCs w:val="24"/>
          <w:lang w:val="en-US"/>
        </w:rPr>
        <w:t>CoRD</w:t>
      </w:r>
      <w:proofErr w:type="spellEnd"/>
      <w:r w:rsidR="001B297A" w:rsidRPr="001B297A">
        <w:rPr>
          <w:rFonts w:ascii="Garamond" w:hAnsi="Garamond"/>
          <w:color w:val="7E0000"/>
          <w:sz w:val="24"/>
          <w:szCs w:val="24"/>
          <w:lang w:val="en-US"/>
        </w:rPr>
        <w:t xml:space="preserve">. For </w:t>
      </w:r>
      <w:proofErr w:type="spellStart"/>
      <w:r w:rsidR="001B297A" w:rsidRPr="001B297A">
        <w:rPr>
          <w:rFonts w:ascii="Garamond" w:hAnsi="Garamond"/>
          <w:color w:val="7E0000"/>
          <w:sz w:val="24"/>
          <w:szCs w:val="24"/>
          <w:lang w:val="en-US"/>
        </w:rPr>
        <w:t>CoCA</w:t>
      </w:r>
      <w:proofErr w:type="spellEnd"/>
      <w:r w:rsidR="001B297A" w:rsidRPr="001B297A">
        <w:rPr>
          <w:rFonts w:ascii="Garamond" w:hAnsi="Garamond"/>
          <w:color w:val="7E0000"/>
          <w:sz w:val="24"/>
          <w:szCs w:val="24"/>
          <w:lang w:val="en-US"/>
        </w:rPr>
        <w:t xml:space="preserve"> and </w:t>
      </w:r>
      <w:proofErr w:type="spellStart"/>
      <w:r w:rsidR="001B297A" w:rsidRPr="001B297A">
        <w:rPr>
          <w:rFonts w:ascii="Garamond" w:hAnsi="Garamond"/>
          <w:color w:val="7E0000"/>
          <w:sz w:val="24"/>
          <w:szCs w:val="24"/>
          <w:lang w:val="en-US"/>
        </w:rPr>
        <w:t>CoNA</w:t>
      </w:r>
      <w:proofErr w:type="spellEnd"/>
      <w:r w:rsidR="001B297A" w:rsidRPr="001B297A">
        <w:rPr>
          <w:rFonts w:ascii="Garamond" w:hAnsi="Garamond"/>
          <w:color w:val="7E0000"/>
          <w:sz w:val="24"/>
          <w:szCs w:val="24"/>
          <w:lang w:val="en-US"/>
        </w:rPr>
        <w:t xml:space="preserve">, the substitution mechanism embedded in the linear programming framework insulates the minimum diet cost against local price movements, as any rise in the relative price of a food induces its replacement by a nutritionally equivalent alternative (Bai et al., 2020; Masters et al., 2018). </w:t>
      </w:r>
      <w:proofErr w:type="spellStart"/>
      <w:r w:rsidR="001B297A" w:rsidRPr="001B297A">
        <w:rPr>
          <w:rFonts w:ascii="Garamond" w:hAnsi="Garamond"/>
          <w:color w:val="7E0000"/>
          <w:sz w:val="24"/>
          <w:szCs w:val="24"/>
          <w:lang w:val="en-US"/>
        </w:rPr>
        <w:t>CoRD</w:t>
      </w:r>
      <w:proofErr w:type="spellEnd"/>
      <w:r w:rsidR="001B297A" w:rsidRPr="001B297A">
        <w:rPr>
          <w:rFonts w:ascii="Garamond" w:hAnsi="Garamond"/>
          <w:color w:val="7E0000"/>
          <w:sz w:val="24"/>
          <w:szCs w:val="24"/>
          <w:lang w:val="en-US"/>
        </w:rPr>
        <w:t xml:space="preserve"> is more exposed to local price movements, however, given that the FBDG-recommended servings restrict cross-group substitution, leaving it more exposed to local price fluctuations and more prone to widening intercity gaps over time.</w:t>
      </w:r>
    </w:p>
    <w:p w:rsidR="000241A8" w:rsidRDefault="00FA3D5E" w:rsidP="00577B37">
      <w:pPr>
        <w:ind w:firstLine="709"/>
        <w:jc w:val="both"/>
        <w:rPr>
          <w:rFonts w:ascii="Garamond" w:hAnsi="Garamond"/>
          <w:color w:val="7E0000"/>
          <w:sz w:val="24"/>
          <w:szCs w:val="24"/>
          <w:lang w:val="en-US"/>
        </w:rPr>
      </w:pPr>
      <w:r w:rsidRPr="00FA3D5E">
        <w:rPr>
          <w:rFonts w:ascii="Garamond" w:hAnsi="Garamond"/>
          <w:color w:val="7E0000"/>
          <w:sz w:val="24"/>
          <w:szCs w:val="24"/>
          <w:lang w:val="en-US"/>
        </w:rPr>
        <w:t>The temporal trajectory of d</w:t>
      </w:r>
      <w:r>
        <w:rPr>
          <w:rFonts w:ascii="Garamond" w:hAnsi="Garamond"/>
          <w:color w:val="7E0000"/>
          <w:sz w:val="24"/>
          <w:szCs w:val="24"/>
          <w:lang w:val="en-US"/>
        </w:rPr>
        <w:t>iet costs reveals that the 2022-2023 inflationary episode was broadly symmetric across dietary standards in nominal terms, with year-on-year variations of 32% - 39% across all three diet models, outpacing the general food and non-alcoholic beverages CPI, which averaged 24.6% - 25.7% in 2022 and 14.7% - 15.9% in 2023 across the three cities (see Appendix X).</w:t>
      </w:r>
      <w:r w:rsidR="009B256F">
        <w:rPr>
          <w:rFonts w:ascii="Garamond" w:hAnsi="Garamond"/>
          <w:color w:val="7E0000"/>
          <w:sz w:val="24"/>
          <w:szCs w:val="24"/>
          <w:lang w:val="en-US"/>
        </w:rPr>
        <w:t xml:space="preserve"> </w:t>
      </w:r>
      <w:r w:rsidR="009B256F" w:rsidRPr="009B256F">
        <w:rPr>
          <w:rFonts w:ascii="Garamond" w:hAnsi="Garamond"/>
          <w:color w:val="7E0000"/>
          <w:sz w:val="24"/>
          <w:szCs w:val="24"/>
          <w:lang w:val="en-US"/>
        </w:rPr>
        <w:t>In real terms, the post-inflationary period revealed</w:t>
      </w:r>
      <w:r w:rsidR="009B256F">
        <w:rPr>
          <w:rFonts w:ascii="Garamond" w:hAnsi="Garamond"/>
          <w:color w:val="7E0000"/>
          <w:sz w:val="24"/>
          <w:szCs w:val="24"/>
          <w:lang w:val="en-US"/>
        </w:rPr>
        <w:t xml:space="preserve"> deep asymmetries across dietary standards.</w:t>
      </w:r>
      <w:r w:rsidR="000241A8">
        <w:rPr>
          <w:rFonts w:ascii="Garamond" w:hAnsi="Garamond"/>
          <w:color w:val="7E0000"/>
          <w:sz w:val="24"/>
          <w:szCs w:val="24"/>
          <w:lang w:val="en-US"/>
        </w:rPr>
        <w:t xml:space="preserve"> </w:t>
      </w:r>
      <w:r w:rsidR="009B256F">
        <w:rPr>
          <w:rFonts w:ascii="Garamond" w:hAnsi="Garamond"/>
          <w:color w:val="7E0000"/>
          <w:sz w:val="24"/>
          <w:szCs w:val="24"/>
          <w:lang w:val="en-US"/>
        </w:rPr>
        <w:t xml:space="preserve">Real </w:t>
      </w:r>
      <w:proofErr w:type="spellStart"/>
      <w:r w:rsidR="009B256F">
        <w:rPr>
          <w:rFonts w:ascii="Garamond" w:hAnsi="Garamond"/>
          <w:color w:val="7E0000"/>
          <w:sz w:val="24"/>
          <w:szCs w:val="24"/>
          <w:lang w:val="en-US"/>
        </w:rPr>
        <w:t>CoCA</w:t>
      </w:r>
      <w:proofErr w:type="spellEnd"/>
      <w:r w:rsidR="009B256F">
        <w:rPr>
          <w:rFonts w:ascii="Garamond" w:hAnsi="Garamond"/>
          <w:color w:val="7E0000"/>
          <w:sz w:val="24"/>
          <w:szCs w:val="24"/>
          <w:lang w:val="en-US"/>
        </w:rPr>
        <w:t xml:space="preserve"> fell by as much as -28.7% in Bogotá in June 2024; by contrast, </w:t>
      </w:r>
      <w:proofErr w:type="spellStart"/>
      <w:r w:rsidR="009B256F">
        <w:rPr>
          <w:rFonts w:ascii="Garamond" w:hAnsi="Garamond"/>
          <w:color w:val="7E0000"/>
          <w:sz w:val="24"/>
          <w:szCs w:val="24"/>
          <w:lang w:val="en-US"/>
        </w:rPr>
        <w:t>CoNA</w:t>
      </w:r>
      <w:proofErr w:type="spellEnd"/>
      <w:r w:rsidR="009B256F">
        <w:rPr>
          <w:rFonts w:ascii="Garamond" w:hAnsi="Garamond"/>
          <w:color w:val="7E0000"/>
          <w:sz w:val="24"/>
          <w:szCs w:val="24"/>
          <w:lang w:val="en-US"/>
        </w:rPr>
        <w:t xml:space="preserve"> and </w:t>
      </w:r>
      <w:proofErr w:type="spellStart"/>
      <w:r w:rsidR="009B256F">
        <w:rPr>
          <w:rFonts w:ascii="Garamond" w:hAnsi="Garamond"/>
          <w:color w:val="7E0000"/>
          <w:sz w:val="24"/>
          <w:szCs w:val="24"/>
          <w:lang w:val="en-US"/>
        </w:rPr>
        <w:t>CoRD</w:t>
      </w:r>
      <w:proofErr w:type="spellEnd"/>
      <w:r w:rsidR="009B256F">
        <w:rPr>
          <w:rFonts w:ascii="Garamond" w:hAnsi="Garamond"/>
          <w:color w:val="7E0000"/>
          <w:sz w:val="24"/>
          <w:szCs w:val="24"/>
          <w:lang w:val="en-US"/>
        </w:rPr>
        <w:t xml:space="preserve"> remained far more contained at -4.1% to -7.9%. </w:t>
      </w:r>
      <w:r w:rsidR="009B256F" w:rsidRPr="009B256F">
        <w:rPr>
          <w:rFonts w:ascii="Garamond" w:hAnsi="Garamond"/>
          <w:color w:val="7E0000"/>
          <w:sz w:val="24"/>
          <w:szCs w:val="24"/>
          <w:lang w:val="en-US"/>
        </w:rPr>
        <w:t>An analogous asymmetry is documented by Bai et al. (2026) for China, where real costs of recommended diets grew m</w:t>
      </w:r>
      <w:r w:rsidR="009B256F">
        <w:rPr>
          <w:rFonts w:ascii="Garamond" w:hAnsi="Garamond"/>
          <w:color w:val="7E0000"/>
          <w:sz w:val="24"/>
          <w:szCs w:val="24"/>
          <w:lang w:val="en-US"/>
        </w:rPr>
        <w:t xml:space="preserve">ore slowly than the food CPI across most provinces, revealing that the low-cost foods satisfying dietary recommendations experienced lower inflation than the average food consumed. </w:t>
      </w:r>
      <w:r w:rsidR="009B256F" w:rsidRPr="00577B37">
        <w:rPr>
          <w:rFonts w:ascii="Garamond" w:hAnsi="Garamond"/>
          <w:color w:val="7E0000"/>
          <w:sz w:val="24"/>
          <w:szCs w:val="24"/>
          <w:lang w:val="en-US"/>
        </w:rPr>
        <w:t>[</w:t>
      </w:r>
      <w:proofErr w:type="spellStart"/>
      <w:r w:rsidR="009B256F" w:rsidRPr="00577B37">
        <w:rPr>
          <w:rFonts w:ascii="Garamond" w:hAnsi="Garamond"/>
          <w:color w:val="7E0000"/>
          <w:sz w:val="24"/>
          <w:szCs w:val="24"/>
          <w:lang w:val="en-US"/>
        </w:rPr>
        <w:t>Pendiente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referencia</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evidencia</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adicional</w:t>
      </w:r>
      <w:proofErr w:type="spellEnd"/>
      <w:r w:rsidR="009B256F" w:rsidRPr="00577B37">
        <w:rPr>
          <w:rFonts w:ascii="Garamond" w:hAnsi="Garamond"/>
          <w:color w:val="7E0000"/>
          <w:sz w:val="24"/>
          <w:szCs w:val="24"/>
          <w:lang w:val="en-US"/>
        </w:rPr>
        <w:t xml:space="preserve"> de </w:t>
      </w:r>
      <w:proofErr w:type="spellStart"/>
      <w:r w:rsidR="009B256F" w:rsidRPr="00577B37">
        <w:rPr>
          <w:rFonts w:ascii="Garamond" w:hAnsi="Garamond"/>
          <w:color w:val="7E0000"/>
          <w:sz w:val="24"/>
          <w:szCs w:val="24"/>
          <w:lang w:val="en-US"/>
        </w:rPr>
        <w:t>otros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contextos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sobre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desacople</w:t>
      </w:r>
      <w:proofErr w:type="spellEnd"/>
      <w:r w:rsidR="009B256F" w:rsidRPr="00577B37">
        <w:rPr>
          <w:rFonts w:ascii="Garamond" w:hAnsi="Garamond"/>
          <w:color w:val="7E0000"/>
          <w:sz w:val="24"/>
          <w:szCs w:val="24"/>
          <w:lang w:val="en-US"/>
        </w:rPr>
        <w:t xml:space="preserve"> entre </w:t>
      </w:r>
      <w:proofErr w:type="spellStart"/>
      <w:r w:rsidR="009B256F" w:rsidRPr="00577B37">
        <w:rPr>
          <w:rFonts w:ascii="Garamond" w:hAnsi="Garamond"/>
          <w:color w:val="7E0000"/>
          <w:sz w:val="24"/>
          <w:szCs w:val="24"/>
          <w:lang w:val="en-US"/>
        </w:rPr>
        <w:t>precios</w:t>
      </w:r>
      <w:proofErr w:type="spellEnd"/>
      <w:r w:rsidR="009B256F" w:rsidRPr="00577B37">
        <w:rPr>
          <w:rFonts w:ascii="Garamond" w:hAnsi="Garamond"/>
          <w:color w:val="7E0000"/>
          <w:sz w:val="24"/>
          <w:szCs w:val="24"/>
          <w:lang w:val="en-US"/>
        </w:rPr>
        <w:t xml:space="preserve"> de </w:t>
      </w:r>
      <w:proofErr w:type="spellStart"/>
      <w:r w:rsidR="009B256F" w:rsidRPr="00577B37">
        <w:rPr>
          <w:rFonts w:ascii="Garamond" w:hAnsi="Garamond"/>
          <w:color w:val="7E0000"/>
          <w:sz w:val="24"/>
          <w:szCs w:val="24"/>
          <w:lang w:val="en-US"/>
        </w:rPr>
        <w:t>feculentos</w:t>
      </w:r>
      <w:proofErr w:type="spellEnd"/>
      <w:r w:rsidR="009B256F" w:rsidRPr="00577B37">
        <w:rPr>
          <w:rFonts w:ascii="Garamond" w:hAnsi="Garamond"/>
          <w:color w:val="7E0000"/>
          <w:sz w:val="24"/>
          <w:szCs w:val="24"/>
          <w:lang w:val="en-US"/>
        </w:rPr>
        <w:t xml:space="preserve"> y </w:t>
      </w:r>
      <w:proofErr w:type="spellStart"/>
      <w:r w:rsidR="009B256F" w:rsidRPr="00577B37">
        <w:rPr>
          <w:rFonts w:ascii="Garamond" w:hAnsi="Garamond"/>
          <w:color w:val="7E0000"/>
          <w:sz w:val="24"/>
          <w:szCs w:val="24"/>
          <w:lang w:val="en-US"/>
        </w:rPr>
        <w:t>alimentos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nutricionalmente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densos</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durante</w:t>
      </w:r>
      <w:proofErr w:type="spellEnd"/>
      <w:r w:rsidR="009B256F" w:rsidRPr="00577B37">
        <w:rPr>
          <w:rFonts w:ascii="Garamond" w:hAnsi="Garamond"/>
          <w:color w:val="7E0000"/>
          <w:sz w:val="24"/>
          <w:szCs w:val="24"/>
          <w:lang w:val="en-US"/>
        </w:rPr>
        <w:t xml:space="preserve"> </w:t>
      </w:r>
      <w:proofErr w:type="spellStart"/>
      <w:r w:rsidR="009B256F" w:rsidRPr="00577B37">
        <w:rPr>
          <w:rFonts w:ascii="Garamond" w:hAnsi="Garamond"/>
          <w:color w:val="7E0000"/>
          <w:sz w:val="24"/>
          <w:szCs w:val="24"/>
          <w:lang w:val="en-US"/>
        </w:rPr>
        <w:t>episodios</w:t>
      </w:r>
      <w:proofErr w:type="spellEnd"/>
      <w:r w:rsidR="009B256F" w:rsidRPr="00577B37">
        <w:rPr>
          <w:rFonts w:ascii="Garamond" w:hAnsi="Garamond"/>
          <w:color w:val="7E0000"/>
          <w:sz w:val="24"/>
          <w:szCs w:val="24"/>
          <w:lang w:val="en-US"/>
        </w:rPr>
        <w:t xml:space="preserve"> de </w:t>
      </w:r>
      <w:proofErr w:type="spellStart"/>
      <w:r w:rsidR="009B256F" w:rsidRPr="00577B37">
        <w:rPr>
          <w:rFonts w:ascii="Garamond" w:hAnsi="Garamond"/>
          <w:color w:val="7E0000"/>
          <w:sz w:val="24"/>
          <w:szCs w:val="24"/>
          <w:lang w:val="en-US"/>
        </w:rPr>
        <w:t>desinflación</w:t>
      </w:r>
      <w:proofErr w:type="spellEnd"/>
      <w:proofErr w:type="gramStart"/>
      <w:r w:rsidR="009B256F" w:rsidRPr="00577B37">
        <w:rPr>
          <w:rFonts w:ascii="Garamond" w:hAnsi="Garamond"/>
          <w:color w:val="7E0000"/>
          <w:sz w:val="24"/>
          <w:szCs w:val="24"/>
          <w:lang w:val="en-US"/>
        </w:rPr>
        <w:t>].</w:t>
      </w:r>
      <w:r w:rsidR="00765A35" w:rsidRPr="00765A35">
        <w:rPr>
          <w:rFonts w:ascii="Garamond" w:hAnsi="Garamond"/>
          <w:color w:val="7E0000"/>
          <w:sz w:val="24"/>
          <w:szCs w:val="24"/>
          <w:lang w:val="en-US"/>
        </w:rPr>
        <w:t>An</w:t>
      </w:r>
      <w:proofErr w:type="gramEnd"/>
      <w:r w:rsidR="00765A35" w:rsidRPr="00765A35">
        <w:rPr>
          <w:rFonts w:ascii="Garamond" w:hAnsi="Garamond"/>
          <w:color w:val="7E0000"/>
          <w:sz w:val="24"/>
          <w:szCs w:val="24"/>
          <w:lang w:val="en-US"/>
        </w:rPr>
        <w:t xml:space="preserve"> explanation lies in the structure of the </w:t>
      </w:r>
      <w:proofErr w:type="spellStart"/>
      <w:r w:rsidR="00765A35" w:rsidRPr="00765A35">
        <w:rPr>
          <w:rFonts w:ascii="Garamond" w:hAnsi="Garamond"/>
          <w:color w:val="7E0000"/>
          <w:sz w:val="24"/>
          <w:szCs w:val="24"/>
          <w:lang w:val="en-US"/>
        </w:rPr>
        <w:t>CoCA</w:t>
      </w:r>
      <w:proofErr w:type="spellEnd"/>
      <w:r w:rsidR="00765A35" w:rsidRPr="00765A35">
        <w:rPr>
          <w:rFonts w:ascii="Garamond" w:hAnsi="Garamond"/>
          <w:color w:val="7E0000"/>
          <w:sz w:val="24"/>
          <w:szCs w:val="24"/>
          <w:lang w:val="en-US"/>
        </w:rPr>
        <w:t xml:space="preserve"> m</w:t>
      </w:r>
      <w:r w:rsidR="00765A35">
        <w:rPr>
          <w:rFonts w:ascii="Garamond" w:hAnsi="Garamond"/>
          <w:color w:val="7E0000"/>
          <w:sz w:val="24"/>
          <w:szCs w:val="24"/>
          <w:lang w:val="en-US"/>
        </w:rPr>
        <w:t xml:space="preserve">odel, which is determined by whichever food offers the lowest price per kilocalorie in each market </w:t>
      </w:r>
      <w:r w:rsidR="00765A35" w:rsidRPr="000241A8">
        <w:rPr>
          <w:rFonts w:ascii="Garamond" w:hAnsi="Garamond"/>
          <w:color w:val="7E0000"/>
          <w:sz w:val="24"/>
          <w:szCs w:val="24"/>
          <w:highlight w:val="yellow"/>
          <w:lang w:val="en-US"/>
        </w:rPr>
        <w:t>(Mahrt et al., 2019; AÑADIR MÁS REFERENCIAS).</w:t>
      </w:r>
      <w:r w:rsidR="00765A35">
        <w:rPr>
          <w:rFonts w:ascii="Garamond" w:hAnsi="Garamond"/>
          <w:color w:val="7E0000"/>
          <w:sz w:val="24"/>
          <w:szCs w:val="24"/>
          <w:lang w:val="en-US"/>
        </w:rPr>
        <w:t xml:space="preserve"> </w:t>
      </w:r>
    </w:p>
    <w:p w:rsidR="00765A35" w:rsidRPr="00765A35" w:rsidRDefault="00765A35" w:rsidP="00765A35">
      <w:pPr>
        <w:ind w:firstLine="709"/>
        <w:jc w:val="both"/>
        <w:rPr>
          <w:rFonts w:ascii="Garamond" w:hAnsi="Garamond"/>
          <w:color w:val="7E0000"/>
          <w:sz w:val="24"/>
          <w:szCs w:val="24"/>
          <w:lang w:val="en-US"/>
        </w:rPr>
      </w:pPr>
      <w:r w:rsidRPr="00765A35">
        <w:rPr>
          <w:rFonts w:ascii="Garamond" w:hAnsi="Garamond"/>
          <w:color w:val="7E0000"/>
          <w:sz w:val="24"/>
          <w:szCs w:val="24"/>
          <w:lang w:val="en-US"/>
        </w:rPr>
        <w:lastRenderedPageBreak/>
        <w:t>In the three Colombian cities, that role was played by rice, wheat flour, and pre-cooked flour, whose CPI subclasses averaged nominal year-on-year variations of just 0.1% - 0.3% and between -0.1% and -0.9% in 2024, against a general food CPI of 2.7% - 3.2% in the same year (see Appendix X). These foods thus fell in price even in nominal t</w:t>
      </w:r>
      <w:r>
        <w:rPr>
          <w:rFonts w:ascii="Garamond" w:hAnsi="Garamond"/>
          <w:color w:val="7E0000"/>
          <w:sz w:val="24"/>
          <w:szCs w:val="24"/>
          <w:lang w:val="en-US"/>
        </w:rPr>
        <w:t>erms as the general food price level continued to rise, which expanded the cost gap between caloric sufficiency and nutritional adequacy.</w:t>
      </w:r>
      <w:r w:rsidRPr="00765A35">
        <w:rPr>
          <w:lang w:val="en-US"/>
        </w:rPr>
        <w:t xml:space="preserve"> </w:t>
      </w:r>
      <w:r w:rsidRPr="00765A35">
        <w:rPr>
          <w:rFonts w:ascii="Garamond" w:hAnsi="Garamond"/>
          <w:color w:val="7E0000"/>
          <w:sz w:val="24"/>
          <w:szCs w:val="24"/>
          <w:lang w:val="en-US"/>
        </w:rPr>
        <w:t>Post-inflationary disinflation can thus cheapen basic caloric access in relative terms without proportionally relieving the cost of nutritional adequacy, and it is precisely the low-income households most dependent on starchy staple-based diets that bear the distributional consequences of this divergence</w:t>
      </w:r>
      <w:r>
        <w:rPr>
          <w:rFonts w:ascii="Garamond" w:hAnsi="Garamond"/>
          <w:color w:val="7E0000"/>
          <w:sz w:val="24"/>
          <w:szCs w:val="24"/>
          <w:lang w:val="en-US"/>
        </w:rPr>
        <w:t>.</w:t>
      </w:r>
    </w:p>
    <w:p w:rsidR="00B93538" w:rsidRPr="00B93538" w:rsidRDefault="00B93538" w:rsidP="00B93538">
      <w:pPr>
        <w:pStyle w:val="Prrafodelista"/>
        <w:numPr>
          <w:ilvl w:val="0"/>
          <w:numId w:val="3"/>
        </w:numPr>
        <w:rPr>
          <w:rFonts w:ascii="Garamond" w:hAnsi="Garamond"/>
          <w:b/>
          <w:sz w:val="24"/>
          <w:szCs w:val="24"/>
          <w:lang w:val="es-MX"/>
        </w:rPr>
      </w:pPr>
      <w:r>
        <w:rPr>
          <w:rFonts w:ascii="Garamond" w:hAnsi="Garamond"/>
          <w:b/>
          <w:sz w:val="24"/>
          <w:szCs w:val="24"/>
          <w:lang w:val="es-MX"/>
        </w:rPr>
        <w:t>Alimentos críticos y composición</w:t>
      </w:r>
    </w:p>
    <w:p w:rsidR="001342E5" w:rsidRDefault="00386962" w:rsidP="000F5C5A">
      <w:pPr>
        <w:ind w:firstLine="709"/>
        <w:jc w:val="both"/>
        <w:rPr>
          <w:rFonts w:ascii="Garamond" w:hAnsi="Garamond"/>
          <w:sz w:val="24"/>
          <w:szCs w:val="24"/>
          <w:lang w:val="en-US"/>
        </w:rPr>
      </w:pPr>
      <w:r>
        <w:rPr>
          <w:rFonts w:ascii="Garamond" w:hAnsi="Garamond"/>
          <w:sz w:val="24"/>
          <w:szCs w:val="24"/>
          <w:lang w:val="en-US"/>
        </w:rPr>
        <w:t xml:space="preserve">Sensitivity and compositional analysis of the </w:t>
      </w:r>
      <w:proofErr w:type="spellStart"/>
      <w:r>
        <w:rPr>
          <w:rFonts w:ascii="Garamond" w:hAnsi="Garamond"/>
          <w:sz w:val="24"/>
          <w:szCs w:val="24"/>
          <w:lang w:val="en-US"/>
        </w:rPr>
        <w:t>CoNA</w:t>
      </w:r>
      <w:proofErr w:type="spellEnd"/>
      <w:r>
        <w:rPr>
          <w:rFonts w:ascii="Garamond" w:hAnsi="Garamond"/>
          <w:sz w:val="24"/>
          <w:szCs w:val="24"/>
          <w:lang w:val="en-US"/>
        </w:rPr>
        <w:t xml:space="preserve"> model identifies calcium as the most expensive nutritional constraint to satisfy in the LP model. This finding corroborates international evidence (Bai et al., 2022b), evidence from Brazil where calcium emerged as the costliest nutrient to satisfy regardless of income level (</w:t>
      </w:r>
      <w:proofErr w:type="spellStart"/>
      <w:r>
        <w:rPr>
          <w:rFonts w:ascii="Garamond" w:hAnsi="Garamond"/>
          <w:sz w:val="24"/>
          <w:szCs w:val="24"/>
          <w:lang w:val="en-US"/>
        </w:rPr>
        <w:t>Verly</w:t>
      </w:r>
      <w:proofErr w:type="spellEnd"/>
      <w:r>
        <w:rPr>
          <w:rFonts w:ascii="Garamond" w:hAnsi="Garamond"/>
          <w:sz w:val="24"/>
          <w:szCs w:val="24"/>
          <w:lang w:val="en-US"/>
        </w:rPr>
        <w:t xml:space="preserve"> et al., 2021), and prior results for Cali </w:t>
      </w:r>
      <w:r w:rsidR="0045748F">
        <w:rPr>
          <w:rFonts w:ascii="Garamond" w:hAnsi="Garamond"/>
          <w:sz w:val="24"/>
          <w:szCs w:val="24"/>
          <w:lang w:val="en-US"/>
        </w:rPr>
        <w:t>(Yoshioka et al., 2025).</w:t>
      </w:r>
      <w:r w:rsidR="00F961BE">
        <w:rPr>
          <w:rFonts w:ascii="Garamond" w:hAnsi="Garamond"/>
          <w:sz w:val="24"/>
          <w:szCs w:val="24"/>
          <w:lang w:val="en-US"/>
        </w:rPr>
        <w:t xml:space="preserve"> A single food source, pasteurized milk, drives this concentration, </w:t>
      </w:r>
      <w:r w:rsidR="005155DF">
        <w:rPr>
          <w:rFonts w:ascii="Garamond" w:hAnsi="Garamond"/>
          <w:sz w:val="24"/>
          <w:szCs w:val="24"/>
          <w:lang w:val="en-US"/>
        </w:rPr>
        <w:t xml:space="preserve">and it supplies between 64% and 85% of total dietary calcium in the optimal </w:t>
      </w:r>
      <w:proofErr w:type="spellStart"/>
      <w:r w:rsidR="005155DF">
        <w:rPr>
          <w:rFonts w:ascii="Garamond" w:hAnsi="Garamond"/>
          <w:sz w:val="24"/>
          <w:szCs w:val="24"/>
          <w:lang w:val="en-US"/>
        </w:rPr>
        <w:t>CoNA</w:t>
      </w:r>
      <w:proofErr w:type="spellEnd"/>
      <w:r w:rsidR="005155DF">
        <w:rPr>
          <w:rFonts w:ascii="Garamond" w:hAnsi="Garamond"/>
          <w:sz w:val="24"/>
          <w:szCs w:val="24"/>
          <w:lang w:val="en-US"/>
        </w:rPr>
        <w:t xml:space="preserve"> and between 97% and 99% of vitamin B12, which translates into a cost share of 35.1% - 40.6% of total minimum diet cost. Such dependence on a single food item, both nutritionally and economically, exposes the </w:t>
      </w:r>
      <w:proofErr w:type="spellStart"/>
      <w:r w:rsidR="005155DF">
        <w:rPr>
          <w:rFonts w:ascii="Garamond" w:hAnsi="Garamond"/>
          <w:sz w:val="24"/>
          <w:szCs w:val="24"/>
          <w:lang w:val="en-US"/>
        </w:rPr>
        <w:t>CoNA</w:t>
      </w:r>
      <w:proofErr w:type="spellEnd"/>
      <w:r w:rsidR="005155DF">
        <w:rPr>
          <w:rFonts w:ascii="Garamond" w:hAnsi="Garamond"/>
          <w:sz w:val="24"/>
          <w:szCs w:val="24"/>
          <w:lang w:val="en-US"/>
        </w:rPr>
        <w:t xml:space="preserve"> to dairy price fluctuations, in line with evidence from middle-income countries where dairy products are relatively expensive and unsubsidized (</w:t>
      </w:r>
      <w:proofErr w:type="spellStart"/>
      <w:r w:rsidR="005155DF">
        <w:rPr>
          <w:rFonts w:ascii="Garamond" w:hAnsi="Garamond"/>
          <w:sz w:val="24"/>
          <w:szCs w:val="24"/>
          <w:lang w:val="en-US"/>
        </w:rPr>
        <w:t>Passarelli</w:t>
      </w:r>
      <w:proofErr w:type="spellEnd"/>
      <w:r w:rsidR="005155DF">
        <w:rPr>
          <w:rFonts w:ascii="Garamond" w:hAnsi="Garamond"/>
          <w:sz w:val="24"/>
          <w:szCs w:val="24"/>
          <w:lang w:val="en-US"/>
        </w:rPr>
        <w:t xml:space="preserve"> et al., 2024; Bai et al., 2022b) </w:t>
      </w:r>
      <w:r w:rsidR="00F0667A" w:rsidRPr="00356D24">
        <w:rPr>
          <w:rFonts w:ascii="Garamond" w:hAnsi="Garamond"/>
          <w:color w:val="C00000"/>
          <w:sz w:val="24"/>
          <w:szCs w:val="24"/>
          <w:lang w:val="en-US"/>
        </w:rPr>
        <w:t>[REVISAR ESTAS REFERENCIAS]</w:t>
      </w:r>
      <w:r w:rsidR="005155DF">
        <w:rPr>
          <w:rFonts w:ascii="Garamond" w:hAnsi="Garamond"/>
          <w:sz w:val="24"/>
          <w:szCs w:val="24"/>
          <w:lang w:val="en-US"/>
        </w:rPr>
        <w:t xml:space="preserve">. This strengthens the argument for targeted interventions on critical food items over general dietary approaches, </w:t>
      </w:r>
      <w:r w:rsidR="00356D24">
        <w:rPr>
          <w:rFonts w:ascii="Garamond" w:hAnsi="Garamond"/>
          <w:sz w:val="24"/>
          <w:szCs w:val="24"/>
          <w:lang w:val="en-US"/>
        </w:rPr>
        <w:t xml:space="preserve">following </w:t>
      </w:r>
      <w:proofErr w:type="spellStart"/>
      <w:r w:rsidR="00356D24" w:rsidRPr="00356D24">
        <w:rPr>
          <w:rFonts w:ascii="Garamond" w:hAnsi="Garamond"/>
          <w:sz w:val="24"/>
          <w:szCs w:val="24"/>
          <w:lang w:val="en-US"/>
        </w:rPr>
        <w:t>Frega</w:t>
      </w:r>
      <w:proofErr w:type="spellEnd"/>
      <w:r w:rsidR="00356D24" w:rsidRPr="00356D24">
        <w:rPr>
          <w:rFonts w:ascii="Garamond" w:hAnsi="Garamond"/>
          <w:sz w:val="24"/>
          <w:szCs w:val="24"/>
          <w:lang w:val="en-US"/>
        </w:rPr>
        <w:t xml:space="preserve"> et al.</w:t>
      </w:r>
      <w:r w:rsidR="00356D24">
        <w:rPr>
          <w:rFonts w:ascii="Garamond" w:hAnsi="Garamond"/>
          <w:sz w:val="24"/>
          <w:szCs w:val="24"/>
          <w:lang w:val="en-US"/>
        </w:rPr>
        <w:t xml:space="preserve"> (</w:t>
      </w:r>
      <w:r w:rsidR="00356D24" w:rsidRPr="00356D24">
        <w:rPr>
          <w:rFonts w:ascii="Garamond" w:hAnsi="Garamond"/>
          <w:sz w:val="24"/>
          <w:szCs w:val="24"/>
          <w:lang w:val="en-US"/>
        </w:rPr>
        <w:t>2012</w:t>
      </w:r>
      <w:r w:rsidR="00356D24">
        <w:rPr>
          <w:rFonts w:ascii="Garamond" w:hAnsi="Garamond"/>
          <w:sz w:val="24"/>
          <w:szCs w:val="24"/>
          <w:lang w:val="en-US"/>
        </w:rPr>
        <w:t>) and</w:t>
      </w:r>
      <w:r w:rsidR="00356D24" w:rsidRPr="00356D24">
        <w:rPr>
          <w:rFonts w:ascii="Garamond" w:hAnsi="Garamond"/>
          <w:sz w:val="24"/>
          <w:szCs w:val="24"/>
          <w:lang w:val="en-US"/>
        </w:rPr>
        <w:t xml:space="preserve"> Schneider</w:t>
      </w:r>
      <w:r w:rsidR="00356D24">
        <w:rPr>
          <w:rFonts w:ascii="Garamond" w:hAnsi="Garamond"/>
          <w:sz w:val="24"/>
          <w:szCs w:val="24"/>
          <w:lang w:val="en-US"/>
        </w:rPr>
        <w:t xml:space="preserve"> (</w:t>
      </w:r>
      <w:r w:rsidR="00356D24" w:rsidRPr="00356D24">
        <w:rPr>
          <w:rFonts w:ascii="Garamond" w:hAnsi="Garamond"/>
          <w:sz w:val="24"/>
          <w:szCs w:val="24"/>
          <w:lang w:val="en-US"/>
        </w:rPr>
        <w:t>2022)</w:t>
      </w:r>
      <w:r w:rsidR="00356D24">
        <w:rPr>
          <w:rFonts w:ascii="Garamond" w:hAnsi="Garamond"/>
          <w:sz w:val="24"/>
          <w:szCs w:val="24"/>
          <w:lang w:val="en-US"/>
        </w:rPr>
        <w:t xml:space="preserve"> </w:t>
      </w:r>
      <w:r w:rsidR="00356D24" w:rsidRPr="00356D24">
        <w:rPr>
          <w:rFonts w:ascii="Garamond" w:hAnsi="Garamond"/>
          <w:color w:val="C00000"/>
          <w:sz w:val="24"/>
          <w:szCs w:val="24"/>
          <w:lang w:val="en-US"/>
        </w:rPr>
        <w:t>[AYÚDAME REVISANDO SI HAY OTRAS REFERENCIAS]</w:t>
      </w:r>
      <w:r w:rsidR="003D5C26">
        <w:rPr>
          <w:rFonts w:ascii="Garamond" w:hAnsi="Garamond"/>
          <w:sz w:val="24"/>
          <w:szCs w:val="24"/>
          <w:lang w:val="en-US"/>
        </w:rPr>
        <w:t>. Disaggregating by city, intercity variations in calcium’s SPE align with dairy price inflation across markets. In 2022 – 2023, Cali recorded the highest milk inflation across the three cities (</w:t>
      </w:r>
      <w:r w:rsidR="00356D24" w:rsidRPr="00356D24">
        <w:rPr>
          <w:rFonts w:ascii="Garamond" w:hAnsi="Garamond"/>
          <w:sz w:val="24"/>
          <w:szCs w:val="24"/>
          <w:lang w:val="en-US"/>
        </w:rPr>
        <w:t>26.7% and 20.5%, respectively), followed by Medellín (25.3% y 19.2 %) a</w:t>
      </w:r>
      <w:r w:rsidR="00356D24">
        <w:rPr>
          <w:rFonts w:ascii="Garamond" w:hAnsi="Garamond"/>
          <w:sz w:val="24"/>
          <w:szCs w:val="24"/>
          <w:lang w:val="en-US"/>
        </w:rPr>
        <w:t xml:space="preserve">nd Bogotá (24.4% and 17.3%), and </w:t>
      </w:r>
      <w:r w:rsidR="003D5C26">
        <w:rPr>
          <w:rFonts w:ascii="Garamond" w:hAnsi="Garamond"/>
          <w:sz w:val="24"/>
          <w:szCs w:val="24"/>
          <w:lang w:val="en-US"/>
        </w:rPr>
        <w:t xml:space="preserve">in 2024 the disinflation of this food item was more contained in Cali </w:t>
      </w:r>
      <w:r w:rsidR="00356D24">
        <w:rPr>
          <w:rFonts w:ascii="Garamond" w:hAnsi="Garamond"/>
          <w:sz w:val="24"/>
          <w:szCs w:val="24"/>
          <w:lang w:val="en-US"/>
        </w:rPr>
        <w:t xml:space="preserve">(4.8%) than in Bogotá (2.5%), </w:t>
      </w:r>
      <w:r w:rsidR="003D5C26">
        <w:rPr>
          <w:rFonts w:ascii="Garamond" w:hAnsi="Garamond"/>
          <w:sz w:val="24"/>
          <w:szCs w:val="24"/>
          <w:lang w:val="en-US"/>
        </w:rPr>
        <w:t>precisely the city where calcium’s SPE has remained the highest throughout the period.</w:t>
      </w:r>
      <w:r w:rsidR="000E4D4C">
        <w:rPr>
          <w:rFonts w:ascii="Garamond" w:hAnsi="Garamond"/>
          <w:sz w:val="24"/>
          <w:szCs w:val="24"/>
          <w:lang w:val="en-US"/>
        </w:rPr>
        <w:t xml:space="preserve"> </w:t>
      </w:r>
      <w:r w:rsidR="003D5C26">
        <w:rPr>
          <w:rFonts w:ascii="Garamond" w:hAnsi="Garamond"/>
          <w:sz w:val="24"/>
          <w:szCs w:val="24"/>
          <w:lang w:val="en-US"/>
        </w:rPr>
        <w:t xml:space="preserve">The upward trend in calcium’s SPE over the full period, rising from 0.304 – 0.498 in 2019 to 0.386 – 0.601 in 2024 across cities and household members, </w:t>
      </w:r>
      <w:r w:rsidR="006D3DDF">
        <w:rPr>
          <w:rFonts w:ascii="Garamond" w:hAnsi="Garamond"/>
          <w:sz w:val="24"/>
          <w:szCs w:val="24"/>
          <w:lang w:val="en-US"/>
        </w:rPr>
        <w:t xml:space="preserve">attests to a progressive increase in the marginal cost of meeting minimum calcium requirement, and consequently depends the exposure of nutritional adequacy costs to sustained real dairy price increases </w:t>
      </w:r>
      <w:r w:rsidR="00B93538" w:rsidRPr="00B47995">
        <w:rPr>
          <w:rFonts w:ascii="Garamond" w:hAnsi="Garamond"/>
          <w:color w:val="C00000"/>
          <w:sz w:val="24"/>
          <w:szCs w:val="24"/>
          <w:lang w:val="en-US"/>
        </w:rPr>
        <w:t xml:space="preserve">(FAO, 2023; [AÑADIR CITA </w:t>
      </w:r>
      <w:proofErr w:type="spellStart"/>
      <w:r w:rsidR="00B93538" w:rsidRPr="00B47995">
        <w:rPr>
          <w:rFonts w:ascii="Garamond" w:hAnsi="Garamond"/>
          <w:color w:val="C00000"/>
          <w:sz w:val="24"/>
          <w:szCs w:val="24"/>
          <w:lang w:val="en-US"/>
        </w:rPr>
        <w:t>específica</w:t>
      </w:r>
      <w:proofErr w:type="spellEnd"/>
      <w:r w:rsidR="00B93538" w:rsidRPr="00B47995">
        <w:rPr>
          <w:rFonts w:ascii="Garamond" w:hAnsi="Garamond"/>
          <w:color w:val="C00000"/>
          <w:sz w:val="24"/>
          <w:szCs w:val="24"/>
          <w:lang w:val="en-US"/>
        </w:rPr>
        <w:t xml:space="preserve"> para Colombia o LAC]</w:t>
      </w:r>
      <w:r w:rsidR="000F5C5A">
        <w:rPr>
          <w:rFonts w:ascii="Garamond" w:hAnsi="Garamond"/>
          <w:color w:val="C00000"/>
          <w:sz w:val="24"/>
          <w:szCs w:val="24"/>
          <w:lang w:val="en-US"/>
        </w:rPr>
        <w:t>).</w:t>
      </w:r>
      <w:r w:rsidR="00DD1786">
        <w:rPr>
          <w:rFonts w:ascii="Garamond" w:hAnsi="Garamond"/>
          <w:sz w:val="24"/>
          <w:szCs w:val="24"/>
          <w:lang w:val="en-US"/>
        </w:rPr>
        <w:t xml:space="preserve">  </w:t>
      </w:r>
    </w:p>
    <w:p w:rsidR="00710246" w:rsidRPr="00C71F7B" w:rsidRDefault="006D3DDF" w:rsidP="00255CAB">
      <w:pPr>
        <w:ind w:firstLine="709"/>
        <w:jc w:val="both"/>
        <w:rPr>
          <w:rFonts w:ascii="Garamond" w:hAnsi="Garamond"/>
          <w:sz w:val="24"/>
          <w:szCs w:val="24"/>
          <w:lang w:val="en-US"/>
        </w:rPr>
      </w:pPr>
      <w:r>
        <w:rPr>
          <w:rFonts w:ascii="Garamond" w:hAnsi="Garamond"/>
          <w:sz w:val="24"/>
          <w:szCs w:val="24"/>
          <w:lang w:val="en-US"/>
        </w:rPr>
        <w:t>Beyond these aggregated patterns, it bears noting that underlying difference</w:t>
      </w:r>
      <w:r w:rsidR="009476BD">
        <w:rPr>
          <w:rFonts w:ascii="Garamond" w:hAnsi="Garamond"/>
          <w:sz w:val="24"/>
          <w:szCs w:val="24"/>
          <w:lang w:val="en-US"/>
        </w:rPr>
        <w:t>s</w:t>
      </w:r>
      <w:r>
        <w:rPr>
          <w:rFonts w:ascii="Garamond" w:hAnsi="Garamond"/>
          <w:sz w:val="24"/>
          <w:szCs w:val="24"/>
          <w:lang w:val="en-US"/>
        </w:rPr>
        <w:t xml:space="preserve"> in nutritional requirements yield distinct constraint profiles across household members</w:t>
      </w:r>
      <w:r w:rsidR="002A28D5">
        <w:rPr>
          <w:rFonts w:ascii="Garamond" w:hAnsi="Garamond"/>
          <w:sz w:val="24"/>
          <w:szCs w:val="24"/>
          <w:lang w:val="en-US"/>
        </w:rPr>
        <w:t xml:space="preserve">. Calcium bears its greatest economic weight for the </w:t>
      </w:r>
      <w:proofErr w:type="gramStart"/>
      <w:r w:rsidR="002A28D5">
        <w:rPr>
          <w:rFonts w:ascii="Garamond" w:hAnsi="Garamond"/>
          <w:sz w:val="24"/>
          <w:szCs w:val="24"/>
          <w:lang w:val="en-US"/>
        </w:rPr>
        <w:t>10-14 year-old</w:t>
      </w:r>
      <w:proofErr w:type="gramEnd"/>
      <w:r w:rsidR="002A28D5">
        <w:rPr>
          <w:rFonts w:ascii="Garamond" w:hAnsi="Garamond"/>
          <w:sz w:val="24"/>
          <w:szCs w:val="24"/>
          <w:lang w:val="en-US"/>
        </w:rPr>
        <w:t xml:space="preserve"> girl, whose elevated growth-phase requirements translate into SPE of 0.486 – 0.523; as global evidence would lead one to expect for adult males (Bai et al., 2022b), zinc displaces calcium as the d</w:t>
      </w:r>
      <w:r w:rsidR="00E94525">
        <w:rPr>
          <w:rFonts w:ascii="Garamond" w:hAnsi="Garamond"/>
          <w:sz w:val="24"/>
          <w:szCs w:val="24"/>
          <w:lang w:val="en-US"/>
        </w:rPr>
        <w:t>ominant constraint in Bogotá and Medellín (SPE: 0.564 and 0.486).</w:t>
      </w:r>
      <w:r w:rsidR="00C71F7B">
        <w:rPr>
          <w:rFonts w:ascii="Garamond" w:hAnsi="Garamond"/>
          <w:sz w:val="24"/>
          <w:szCs w:val="24"/>
          <w:lang w:val="en-US"/>
        </w:rPr>
        <w:t xml:space="preserve"> </w:t>
      </w:r>
      <w:r w:rsidR="00DD1786">
        <w:rPr>
          <w:rFonts w:ascii="Garamond" w:hAnsi="Garamond"/>
          <w:sz w:val="24"/>
          <w:szCs w:val="24"/>
          <w:lang w:val="en-US"/>
        </w:rPr>
        <w:t>There exists a marked intercity heterogeneity in zinc’s SPE for the adult male, mainly driven by legume price dynamics (AÑADIR CITAS)</w:t>
      </w:r>
      <w:r w:rsidR="00C71F7B">
        <w:rPr>
          <w:rFonts w:ascii="Garamond" w:hAnsi="Garamond"/>
          <w:sz w:val="24"/>
          <w:szCs w:val="24"/>
          <w:lang w:val="en-US"/>
        </w:rPr>
        <w:t xml:space="preserve">. </w:t>
      </w:r>
      <w:r w:rsidR="006325F0">
        <w:rPr>
          <w:rFonts w:ascii="Garamond" w:hAnsi="Garamond"/>
          <w:sz w:val="24"/>
          <w:szCs w:val="24"/>
          <w:lang w:val="en-US"/>
        </w:rPr>
        <w:t xml:space="preserve">In Bogotá it remains high and persistent throughout the period, averaging 0.564; in Medellín it is intermediate but volatile, with a mean of 0.486; and in Cali it declines steadily from 0.401 in 2019 to virtually zero by 2024. </w:t>
      </w:r>
      <w:r w:rsidR="00B47995">
        <w:rPr>
          <w:rFonts w:ascii="Garamond" w:hAnsi="Garamond"/>
          <w:sz w:val="24"/>
          <w:szCs w:val="24"/>
          <w:lang w:val="en-US"/>
        </w:rPr>
        <w:t xml:space="preserve">Since pasteurized milk supplies 61% - 64% of total dietary zinc and dried legumes </w:t>
      </w:r>
      <w:r w:rsidR="00B47995">
        <w:rPr>
          <w:rFonts w:ascii="Garamond" w:hAnsi="Garamond"/>
          <w:sz w:val="24"/>
          <w:szCs w:val="24"/>
          <w:lang w:val="en-US"/>
        </w:rPr>
        <w:lastRenderedPageBreak/>
        <w:t xml:space="preserve">a further 22% - 27%, the differential evolution of legume and dairy prices across markets offers a compelling account of the observed intercity divergence. In Bogotá, real legume prices exceeded the general food CPI by 10.6 and 10.9 p.p. in 2022 and 2023, a sustained differential that kept the zinc constraint economically relevant; in Cali, the dynamic reversed after 2022, with legume inflation falling to +4.4 p.p. points above the general food CPI in 2023 before turning strongly negative in 2024 (-17.1 p.p.), </w:t>
      </w:r>
      <w:r w:rsidR="000F5C5A">
        <w:rPr>
          <w:rFonts w:ascii="Garamond" w:hAnsi="Garamond"/>
          <w:sz w:val="24"/>
          <w:szCs w:val="24"/>
          <w:lang w:val="en-US"/>
        </w:rPr>
        <w:t>in step with the progressive reduction in zinc’s SPE observed in that market.</w:t>
      </w:r>
    </w:p>
    <w:p w:rsidR="000F49B8" w:rsidRDefault="000F49B8" w:rsidP="00255CAB">
      <w:pPr>
        <w:ind w:firstLine="709"/>
        <w:jc w:val="both"/>
        <w:rPr>
          <w:rFonts w:ascii="Garamond" w:hAnsi="Garamond"/>
          <w:color w:val="000000" w:themeColor="text1"/>
          <w:sz w:val="24"/>
          <w:szCs w:val="24"/>
          <w:lang w:val="en-US"/>
        </w:rPr>
      </w:pPr>
      <w:r w:rsidRPr="000F49B8">
        <w:rPr>
          <w:rFonts w:ascii="Garamond" w:hAnsi="Garamond"/>
          <w:color w:val="000000" w:themeColor="text1"/>
          <w:sz w:val="24"/>
          <w:szCs w:val="24"/>
          <w:lang w:val="en-US"/>
        </w:rPr>
        <w:t xml:space="preserve">The compositional analysis of </w:t>
      </w:r>
      <w:proofErr w:type="spellStart"/>
      <w:r w:rsidRPr="000F49B8">
        <w:rPr>
          <w:rFonts w:ascii="Garamond" w:hAnsi="Garamond"/>
          <w:color w:val="000000" w:themeColor="text1"/>
          <w:sz w:val="24"/>
          <w:szCs w:val="24"/>
          <w:lang w:val="en-US"/>
        </w:rPr>
        <w:t>CoRD</w:t>
      </w:r>
      <w:proofErr w:type="spellEnd"/>
      <w:r w:rsidRPr="000F49B8">
        <w:rPr>
          <w:rFonts w:ascii="Garamond" w:hAnsi="Garamond"/>
          <w:color w:val="000000" w:themeColor="text1"/>
          <w:sz w:val="24"/>
          <w:szCs w:val="24"/>
          <w:lang w:val="en-US"/>
        </w:rPr>
        <w:t xml:space="preserve"> adds a fundamental insight to the </w:t>
      </w:r>
      <w:proofErr w:type="spellStart"/>
      <w:r w:rsidRPr="000F49B8">
        <w:rPr>
          <w:rFonts w:ascii="Garamond" w:hAnsi="Garamond"/>
          <w:color w:val="000000" w:themeColor="text1"/>
          <w:sz w:val="24"/>
          <w:szCs w:val="24"/>
          <w:lang w:val="en-US"/>
        </w:rPr>
        <w:t>CoNA</w:t>
      </w:r>
      <w:proofErr w:type="spellEnd"/>
      <w:r w:rsidRPr="000F49B8">
        <w:rPr>
          <w:rFonts w:ascii="Garamond" w:hAnsi="Garamond"/>
          <w:color w:val="000000" w:themeColor="text1"/>
          <w:sz w:val="24"/>
          <w:szCs w:val="24"/>
          <w:lang w:val="en-US"/>
        </w:rPr>
        <w:t xml:space="preserve"> findings, </w:t>
      </w:r>
      <w:r>
        <w:rPr>
          <w:rFonts w:ascii="Garamond" w:hAnsi="Garamond"/>
          <w:color w:val="000000" w:themeColor="text1"/>
          <w:sz w:val="24"/>
          <w:szCs w:val="24"/>
          <w:lang w:val="en-US"/>
        </w:rPr>
        <w:t xml:space="preserve">demonstrating </w:t>
      </w:r>
      <w:r w:rsidRPr="000F49B8">
        <w:rPr>
          <w:rFonts w:ascii="Garamond" w:hAnsi="Garamond"/>
          <w:color w:val="000000" w:themeColor="text1"/>
          <w:sz w:val="24"/>
          <w:szCs w:val="24"/>
          <w:lang w:val="en-US"/>
        </w:rPr>
        <w:t>that the cost of recommended dietary diversity is determined not by which food groups demand more servings, but by the relative price of the foods the model selects within each group.</w:t>
      </w:r>
      <w:r>
        <w:rPr>
          <w:rFonts w:ascii="Garamond" w:hAnsi="Garamond"/>
          <w:color w:val="000000" w:themeColor="text1"/>
          <w:sz w:val="24"/>
          <w:szCs w:val="24"/>
          <w:lang w:val="en-US"/>
        </w:rPr>
        <w:t xml:space="preserve"> </w:t>
      </w:r>
      <w:r w:rsidRPr="000F49B8">
        <w:rPr>
          <w:rFonts w:ascii="Garamond" w:hAnsi="Garamond"/>
          <w:color w:val="000000" w:themeColor="text1"/>
          <w:sz w:val="24"/>
          <w:szCs w:val="24"/>
          <w:lang w:val="en-US"/>
        </w:rPr>
        <w:t>Indeed, dairy products, with only 4.16 – 4.31 daily servings, account for b</w:t>
      </w:r>
      <w:r>
        <w:rPr>
          <w:rFonts w:ascii="Garamond" w:hAnsi="Garamond"/>
          <w:color w:val="000000" w:themeColor="text1"/>
          <w:sz w:val="24"/>
          <w:szCs w:val="24"/>
          <w:lang w:val="en-US"/>
        </w:rPr>
        <w:t xml:space="preserve">etween 63.3% and 68% of total </w:t>
      </w:r>
      <w:proofErr w:type="spellStart"/>
      <w:r>
        <w:rPr>
          <w:rFonts w:ascii="Garamond" w:hAnsi="Garamond"/>
          <w:color w:val="000000" w:themeColor="text1"/>
          <w:sz w:val="24"/>
          <w:szCs w:val="24"/>
          <w:lang w:val="en-US"/>
        </w:rPr>
        <w:t>CoRD</w:t>
      </w:r>
      <w:proofErr w:type="spellEnd"/>
      <w:r>
        <w:rPr>
          <w:rFonts w:ascii="Garamond" w:hAnsi="Garamond"/>
          <w:color w:val="000000" w:themeColor="text1"/>
          <w:sz w:val="24"/>
          <w:szCs w:val="24"/>
          <w:lang w:val="en-US"/>
        </w:rPr>
        <w:t xml:space="preserve"> across the three cities; in contrast to fats, the highest-volume group in terms of servings, which represent just 3.2% - 4.4% of total cost [AÑADIR REFERENCIA. </w:t>
      </w:r>
      <w:r w:rsidRPr="000F49B8">
        <w:rPr>
          <w:rFonts w:ascii="Garamond" w:hAnsi="Garamond"/>
          <w:color w:val="000000" w:themeColor="text1"/>
          <w:sz w:val="24"/>
          <w:szCs w:val="24"/>
        </w:rPr>
        <w:t xml:space="preserve">¿QUÉ ESTUDIO HA ENCONTRADO LO MISMO?]. </w:t>
      </w:r>
      <w:r w:rsidRPr="000F49B8">
        <w:rPr>
          <w:rFonts w:ascii="Garamond" w:hAnsi="Garamond"/>
          <w:color w:val="000000" w:themeColor="text1"/>
          <w:sz w:val="24"/>
          <w:szCs w:val="24"/>
          <w:lang w:val="en-US"/>
        </w:rPr>
        <w:t>Same asymmetry holds for fruits, which despite contributing just 1.08 – 1.12 d</w:t>
      </w:r>
      <w:r>
        <w:rPr>
          <w:rFonts w:ascii="Garamond" w:hAnsi="Garamond"/>
          <w:color w:val="000000" w:themeColor="text1"/>
          <w:sz w:val="24"/>
          <w:szCs w:val="24"/>
          <w:lang w:val="en-US"/>
        </w:rPr>
        <w:t xml:space="preserve">aily servings account for 8% - 9.5% of total cost, </w:t>
      </w:r>
      <w:r w:rsidR="009512E1">
        <w:rPr>
          <w:rFonts w:ascii="Garamond" w:hAnsi="Garamond"/>
          <w:color w:val="000000" w:themeColor="text1"/>
          <w:sz w:val="24"/>
          <w:szCs w:val="24"/>
          <w:lang w:val="en-US"/>
        </w:rPr>
        <w:t xml:space="preserve">economically outweighing groups that require more servings. </w:t>
      </w:r>
      <w:r w:rsidR="009512E1" w:rsidRPr="009512E1">
        <w:rPr>
          <w:rFonts w:ascii="Garamond" w:hAnsi="Garamond"/>
          <w:color w:val="000000" w:themeColor="text1"/>
          <w:sz w:val="24"/>
          <w:szCs w:val="24"/>
          <w:lang w:val="en-US"/>
        </w:rPr>
        <w:t xml:space="preserve">Food selection within each group is governed by local relative prices, and it is precisely this feature that drives intercity cost heterogeneity in the </w:t>
      </w:r>
      <w:proofErr w:type="spellStart"/>
      <w:r w:rsidR="009512E1" w:rsidRPr="009512E1">
        <w:rPr>
          <w:rFonts w:ascii="Garamond" w:hAnsi="Garamond"/>
          <w:color w:val="000000" w:themeColor="text1"/>
          <w:sz w:val="24"/>
          <w:szCs w:val="24"/>
          <w:lang w:val="en-US"/>
        </w:rPr>
        <w:t>CoRD</w:t>
      </w:r>
      <w:proofErr w:type="spellEnd"/>
      <w:r w:rsidR="009512E1" w:rsidRPr="009512E1">
        <w:rPr>
          <w:rFonts w:ascii="Garamond" w:hAnsi="Garamond"/>
          <w:color w:val="000000" w:themeColor="text1"/>
          <w:sz w:val="24"/>
          <w:szCs w:val="24"/>
          <w:lang w:val="en-US"/>
        </w:rPr>
        <w:t xml:space="preserve">, since the FBDG-prescribed serving structure </w:t>
      </w:r>
      <w:r w:rsidR="009512E1">
        <w:rPr>
          <w:rFonts w:ascii="Garamond" w:hAnsi="Garamond"/>
          <w:color w:val="000000" w:themeColor="text1"/>
          <w:sz w:val="24"/>
          <w:szCs w:val="24"/>
          <w:lang w:val="en-US"/>
        </w:rPr>
        <w:t xml:space="preserve">does not vary significantly across cities, by construction (REFERENCIA). </w:t>
      </w:r>
      <w:r w:rsidR="009512E1" w:rsidRPr="009512E1">
        <w:rPr>
          <w:rFonts w:ascii="Garamond" w:hAnsi="Garamond"/>
          <w:color w:val="000000" w:themeColor="text1"/>
          <w:sz w:val="24"/>
          <w:szCs w:val="24"/>
          <w:lang w:val="en-US"/>
        </w:rPr>
        <w:t xml:space="preserve">Within the dairy group, Cali stands out as the only city where the model selects cheese alongside </w:t>
      </w:r>
      <w:proofErr w:type="spellStart"/>
      <w:r w:rsidR="009512E1" w:rsidRPr="009512E1">
        <w:rPr>
          <w:rFonts w:ascii="Garamond" w:hAnsi="Garamond"/>
          <w:color w:val="000000" w:themeColor="text1"/>
          <w:sz w:val="24"/>
          <w:szCs w:val="24"/>
          <w:lang w:val="en-US"/>
        </w:rPr>
        <w:t>pasteurised</w:t>
      </w:r>
      <w:proofErr w:type="spellEnd"/>
      <w:r w:rsidR="009512E1" w:rsidRPr="009512E1">
        <w:rPr>
          <w:rFonts w:ascii="Garamond" w:hAnsi="Garamond"/>
          <w:color w:val="000000" w:themeColor="text1"/>
          <w:sz w:val="24"/>
          <w:szCs w:val="24"/>
          <w:lang w:val="en-US"/>
        </w:rPr>
        <w:t xml:space="preserve"> milk, a city-specific substitution that partly accounts for its higher dairy cost share (68.0%). The fruit group illustrates the same mechanism across a richer set of alternatives, with Bogotá drawing on guava, banana, and tree tomato, Cali extending this basket to include orange, considerably cheaper in that market than in the other two cities, and Medellín combining blackberry, banana, and tree tomato.</w:t>
      </w:r>
      <w:r w:rsidR="00255CAB">
        <w:rPr>
          <w:rFonts w:ascii="Garamond" w:hAnsi="Garamond"/>
          <w:color w:val="000000" w:themeColor="text1"/>
          <w:sz w:val="24"/>
          <w:szCs w:val="24"/>
          <w:lang w:val="en-US"/>
        </w:rPr>
        <w:t xml:space="preserve"> </w:t>
      </w:r>
      <w:r w:rsidR="009512E1" w:rsidRPr="009512E1">
        <w:rPr>
          <w:rFonts w:ascii="Garamond" w:hAnsi="Garamond"/>
          <w:color w:val="000000" w:themeColor="text1"/>
          <w:sz w:val="24"/>
          <w:szCs w:val="24"/>
          <w:lang w:val="en-US"/>
        </w:rPr>
        <w:t>In vegetables, Cali again diverges, selecting four distinct items (carrot, green pea, cabbage, and onion) against the two chosen in Bogotá and Medellín, a breadth explained by the comparatively lower cost of vegetables in that market.</w:t>
      </w: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Default="00F54CC9" w:rsidP="00255CAB">
      <w:pPr>
        <w:ind w:firstLine="709"/>
        <w:jc w:val="both"/>
        <w:rPr>
          <w:rFonts w:ascii="Garamond" w:hAnsi="Garamond"/>
          <w:color w:val="000000" w:themeColor="text1"/>
          <w:sz w:val="24"/>
          <w:szCs w:val="24"/>
          <w:lang w:val="en-US"/>
        </w:rPr>
      </w:pPr>
    </w:p>
    <w:p w:rsidR="00F54CC9" w:rsidRPr="000F49B8" w:rsidRDefault="00F54CC9" w:rsidP="00255CAB">
      <w:pPr>
        <w:ind w:firstLine="709"/>
        <w:jc w:val="both"/>
        <w:rPr>
          <w:rFonts w:ascii="Garamond" w:hAnsi="Garamond"/>
          <w:color w:val="000000" w:themeColor="text1"/>
          <w:sz w:val="24"/>
          <w:szCs w:val="24"/>
          <w:lang w:val="en-US"/>
        </w:rPr>
      </w:pPr>
    </w:p>
    <w:p w:rsidR="00E85F11" w:rsidRDefault="00255CAB" w:rsidP="00255CAB">
      <w:pPr>
        <w:pStyle w:val="Prrafodelista"/>
        <w:numPr>
          <w:ilvl w:val="0"/>
          <w:numId w:val="3"/>
        </w:numPr>
        <w:jc w:val="both"/>
        <w:rPr>
          <w:rFonts w:ascii="Garamond" w:hAnsi="Garamond"/>
          <w:b/>
          <w:sz w:val="24"/>
          <w:szCs w:val="24"/>
          <w:lang w:val="en-US"/>
        </w:rPr>
      </w:pPr>
      <w:r w:rsidRPr="00255CAB">
        <w:rPr>
          <w:rFonts w:ascii="Garamond" w:hAnsi="Garamond"/>
          <w:b/>
          <w:sz w:val="24"/>
          <w:szCs w:val="24"/>
          <w:lang w:val="en-US"/>
        </w:rPr>
        <w:lastRenderedPageBreak/>
        <w:t>Dietary Unaffordability and Income Constraints</w:t>
      </w:r>
    </w:p>
    <w:p w:rsidR="00F54CC9" w:rsidRPr="00F54CC9" w:rsidRDefault="00F54CC9" w:rsidP="00255CAB">
      <w:pPr>
        <w:jc w:val="both"/>
        <w:rPr>
          <w:rFonts w:ascii="Garamond" w:hAnsi="Garamond"/>
          <w:color w:val="C00000"/>
          <w:sz w:val="24"/>
          <w:szCs w:val="24"/>
        </w:rPr>
      </w:pPr>
      <w:r w:rsidRPr="00F54CC9">
        <w:rPr>
          <w:rFonts w:ascii="Garamond" w:hAnsi="Garamond"/>
          <w:color w:val="C00000"/>
          <w:sz w:val="24"/>
          <w:szCs w:val="24"/>
          <w:highlight w:val="cyan"/>
        </w:rPr>
        <w:t>HAY QUE PASAR ESTO A INGLÉS:</w:t>
      </w:r>
    </w:p>
    <w:p w:rsidR="00CE28BD" w:rsidRDefault="009718B8" w:rsidP="0044560C">
      <w:pPr>
        <w:jc w:val="both"/>
        <w:rPr>
          <w:rFonts w:ascii="Garamond" w:hAnsi="Garamond"/>
          <w:sz w:val="24"/>
          <w:szCs w:val="24"/>
          <w:lang w:val="en-US"/>
        </w:rPr>
      </w:pPr>
      <w:r>
        <w:rPr>
          <w:rFonts w:ascii="Garamond" w:hAnsi="Garamond"/>
          <w:sz w:val="24"/>
          <w:szCs w:val="24"/>
          <w:lang w:val="en-US"/>
        </w:rPr>
        <w:t>A peak in the unaffordability of least-cost diets emerges in 2020 across all three cities. Similar results are well documented globally. Laborde et al. (2021) estimate that 141 million additional people were unable to afford a healthy diet in 2020 relative to a no-pandemic contrafactual</w:t>
      </w:r>
      <w:r w:rsidRPr="009718B8">
        <w:rPr>
          <w:rFonts w:ascii="Garamond" w:hAnsi="Garamond"/>
          <w:color w:val="C00000"/>
          <w:sz w:val="24"/>
          <w:szCs w:val="24"/>
          <w:lang w:val="en-US"/>
        </w:rPr>
        <w:t xml:space="preserve"> </w:t>
      </w:r>
      <w:r w:rsidR="00F54CC9" w:rsidRPr="009718B8">
        <w:rPr>
          <w:rFonts w:ascii="Garamond" w:hAnsi="Garamond"/>
          <w:color w:val="C00000"/>
          <w:sz w:val="24"/>
          <w:szCs w:val="24"/>
          <w:lang w:val="en-US"/>
        </w:rPr>
        <w:t xml:space="preserve">[NECESITAMOS VERIFICAR BIEN ESTE DATO, PORQUE EN TU DOCUMENTO APARECEN RESULTADOS DIFERENTES. </w:t>
      </w:r>
      <w:r w:rsidR="00F54CC9">
        <w:rPr>
          <w:rFonts w:ascii="Garamond" w:hAnsi="Garamond"/>
          <w:color w:val="C00000"/>
          <w:sz w:val="24"/>
          <w:szCs w:val="24"/>
        </w:rPr>
        <w:t>EN ALGUNOS LUGARES DICE 43% - 50% DE FALTA DE ASEQUIBILIDAD, Y EN OTROS LUGARES, 74%]</w:t>
      </w:r>
      <w:r>
        <w:rPr>
          <w:rFonts w:ascii="Garamond" w:hAnsi="Garamond"/>
          <w:color w:val="000000" w:themeColor="text1"/>
          <w:sz w:val="24"/>
          <w:szCs w:val="24"/>
        </w:rPr>
        <w:t xml:space="preserve">, and FAO et al. </w:t>
      </w:r>
      <w:r w:rsidRPr="009718B8">
        <w:rPr>
          <w:rFonts w:ascii="Garamond" w:hAnsi="Garamond"/>
          <w:color w:val="000000" w:themeColor="text1"/>
          <w:sz w:val="24"/>
          <w:szCs w:val="24"/>
          <w:lang w:val="en-US"/>
        </w:rPr>
        <w:t>(2022) confirm that Latin America and t</w:t>
      </w:r>
      <w:r>
        <w:rPr>
          <w:rFonts w:ascii="Garamond" w:hAnsi="Garamond"/>
          <w:color w:val="000000" w:themeColor="text1"/>
          <w:sz w:val="24"/>
          <w:szCs w:val="24"/>
          <w:lang w:val="en-US"/>
        </w:rPr>
        <w:t xml:space="preserve">he Caribbean recorded the highest cost of a healthy diet (in purchasing power parity terms) with simultaneous income losses as the central mechanism of deterioration. Although the </w:t>
      </w:r>
      <w:r w:rsidR="004D2C3A">
        <w:rPr>
          <w:rFonts w:ascii="Garamond" w:hAnsi="Garamond"/>
          <w:color w:val="000000" w:themeColor="text1"/>
          <w:sz w:val="24"/>
          <w:szCs w:val="24"/>
          <w:lang w:val="en-US"/>
        </w:rPr>
        <w:t>t</w:t>
      </w:r>
      <w:r>
        <w:rPr>
          <w:rFonts w:ascii="Garamond" w:hAnsi="Garamond"/>
          <w:color w:val="000000" w:themeColor="text1"/>
          <w:sz w:val="24"/>
          <w:szCs w:val="24"/>
          <w:lang w:val="en-US"/>
        </w:rPr>
        <w:t>hree cities shared the shock</w:t>
      </w:r>
      <w:r w:rsidR="004D2C3A">
        <w:rPr>
          <w:rFonts w:ascii="Garamond" w:hAnsi="Garamond"/>
          <w:color w:val="000000" w:themeColor="text1"/>
          <w:sz w:val="24"/>
          <w:szCs w:val="24"/>
          <w:lang w:val="en-US"/>
        </w:rPr>
        <w:t xml:space="preserve">, Cali stands out as the case of most pronounced and persistent divergence across the three least-cost diets analyzed. Under </w:t>
      </w:r>
      <w:proofErr w:type="spellStart"/>
      <w:r w:rsidR="004D2C3A">
        <w:rPr>
          <w:rFonts w:ascii="Garamond" w:hAnsi="Garamond"/>
          <w:color w:val="000000" w:themeColor="text1"/>
          <w:sz w:val="24"/>
          <w:szCs w:val="24"/>
          <w:lang w:val="en-US"/>
        </w:rPr>
        <w:t>CoCA</w:t>
      </w:r>
      <w:proofErr w:type="spellEnd"/>
      <w:r w:rsidR="004D2C3A">
        <w:rPr>
          <w:rFonts w:ascii="Garamond" w:hAnsi="Garamond"/>
          <w:color w:val="000000" w:themeColor="text1"/>
          <w:sz w:val="24"/>
          <w:szCs w:val="24"/>
          <w:lang w:val="en-US"/>
        </w:rPr>
        <w:t xml:space="preserve">, first-decile unaffordability in Cali worsened by 6.8 p.p. between 2019 and 2024 while improving in Bogotá and Medellín; under </w:t>
      </w:r>
      <w:proofErr w:type="spellStart"/>
      <w:r w:rsidR="004D2C3A">
        <w:rPr>
          <w:rFonts w:ascii="Garamond" w:hAnsi="Garamond"/>
          <w:color w:val="000000" w:themeColor="text1"/>
          <w:sz w:val="24"/>
          <w:szCs w:val="24"/>
          <w:lang w:val="en-US"/>
        </w:rPr>
        <w:t>CoCA</w:t>
      </w:r>
      <w:proofErr w:type="spellEnd"/>
      <w:r w:rsidR="004D2C3A">
        <w:rPr>
          <w:rFonts w:ascii="Garamond" w:hAnsi="Garamond"/>
          <w:color w:val="000000" w:themeColor="text1"/>
          <w:sz w:val="24"/>
          <w:szCs w:val="24"/>
          <w:lang w:val="en-US"/>
        </w:rPr>
        <w:t xml:space="preserve">, Cali’s 2024 rate of 20% was nearly double Bogotá’s 8.3%; and under </w:t>
      </w:r>
      <w:proofErr w:type="spellStart"/>
      <w:r w:rsidR="004D2C3A">
        <w:rPr>
          <w:rFonts w:ascii="Garamond" w:hAnsi="Garamond"/>
          <w:color w:val="000000" w:themeColor="text1"/>
          <w:sz w:val="24"/>
          <w:szCs w:val="24"/>
          <w:lang w:val="en-US"/>
        </w:rPr>
        <w:t>CoRD</w:t>
      </w:r>
      <w:proofErr w:type="spellEnd"/>
      <w:r w:rsidR="004D2C3A">
        <w:rPr>
          <w:rFonts w:ascii="Garamond" w:hAnsi="Garamond"/>
          <w:color w:val="000000" w:themeColor="text1"/>
          <w:sz w:val="24"/>
          <w:szCs w:val="24"/>
          <w:lang w:val="en-US"/>
        </w:rPr>
        <w:t xml:space="preserve">, Cali reached 37% of its population affected by 2024, the highest level of the period outside 2020. This asymmetric recovery finds support in prior research. </w:t>
      </w:r>
      <w:proofErr w:type="spellStart"/>
      <w:r w:rsidR="004D2C3A">
        <w:rPr>
          <w:rFonts w:ascii="Garamond" w:hAnsi="Garamond"/>
          <w:color w:val="000000" w:themeColor="text1"/>
          <w:sz w:val="24"/>
          <w:szCs w:val="24"/>
          <w:lang w:val="en-US"/>
        </w:rPr>
        <w:t>Rosero</w:t>
      </w:r>
      <w:proofErr w:type="spellEnd"/>
      <w:r w:rsidR="004D2C3A">
        <w:rPr>
          <w:rFonts w:ascii="Garamond" w:hAnsi="Garamond"/>
          <w:color w:val="000000" w:themeColor="text1"/>
          <w:sz w:val="24"/>
          <w:szCs w:val="24"/>
          <w:lang w:val="en-US"/>
        </w:rPr>
        <w:t xml:space="preserve"> </w:t>
      </w:r>
      <w:proofErr w:type="spellStart"/>
      <w:r w:rsidR="004D2C3A">
        <w:rPr>
          <w:rFonts w:ascii="Garamond" w:hAnsi="Garamond"/>
          <w:color w:val="000000" w:themeColor="text1"/>
          <w:sz w:val="24"/>
          <w:szCs w:val="24"/>
          <w:lang w:val="en-US"/>
        </w:rPr>
        <w:t>Moncayo</w:t>
      </w:r>
      <w:proofErr w:type="spellEnd"/>
      <w:r w:rsidR="004D2C3A">
        <w:rPr>
          <w:rFonts w:ascii="Garamond" w:hAnsi="Garamond"/>
          <w:color w:val="000000" w:themeColor="text1"/>
          <w:sz w:val="24"/>
          <w:szCs w:val="24"/>
          <w:lang w:val="en-US"/>
        </w:rPr>
        <w:t xml:space="preserve"> et al. (2023) document that post-pandemic recovery was uneven even among countries of the same income group</w:t>
      </w:r>
      <w:r w:rsidR="00F54CC9" w:rsidRPr="004D2C3A">
        <w:rPr>
          <w:rFonts w:ascii="Garamond" w:hAnsi="Garamond"/>
          <w:sz w:val="24"/>
          <w:szCs w:val="24"/>
          <w:lang w:val="en-US"/>
        </w:rPr>
        <w:t xml:space="preserve"> </w:t>
      </w:r>
      <w:r w:rsidR="00F54CC9" w:rsidRPr="004D2C3A">
        <w:rPr>
          <w:rFonts w:ascii="Garamond" w:hAnsi="Garamond"/>
          <w:color w:val="C00000"/>
          <w:sz w:val="24"/>
          <w:szCs w:val="24"/>
          <w:lang w:val="en-US"/>
        </w:rPr>
        <w:t>[SERÍA MEJOR PONER EL DATO DE LAS ECONOMÍAS DE INGRESO MEDIO O MEDIO-ALTO, PARA QUE SEA COMPARABLE]</w:t>
      </w:r>
      <w:r w:rsidR="004D2C3A">
        <w:rPr>
          <w:rFonts w:ascii="Garamond" w:hAnsi="Garamond"/>
          <w:sz w:val="24"/>
          <w:szCs w:val="24"/>
          <w:lang w:val="en-US"/>
        </w:rPr>
        <w:t>. FAO et al. (2025</w:t>
      </w:r>
      <w:r w:rsidR="00CE28BD">
        <w:rPr>
          <w:rFonts w:ascii="Garamond" w:hAnsi="Garamond"/>
          <w:sz w:val="24"/>
          <w:szCs w:val="24"/>
          <w:lang w:val="en-US"/>
        </w:rPr>
        <w:t xml:space="preserve">) demonstrate that Latin America has not fully recovered from the pandemic-induced decline in dietary affordability. Specifically, the number of individuals unable to afford healthy diets increased by 7.9 million between 2020 and 2021, with only a partial correction observed thereafter. </w:t>
      </w:r>
      <w:r w:rsidR="00CE28BD" w:rsidRPr="00CE28BD">
        <w:rPr>
          <w:rFonts w:ascii="Garamond" w:hAnsi="Garamond"/>
          <w:sz w:val="24"/>
          <w:szCs w:val="24"/>
          <w:lang w:val="en-US"/>
        </w:rPr>
        <w:t xml:space="preserve">By comparing Bangkok and Manila, </w:t>
      </w:r>
      <w:proofErr w:type="spellStart"/>
      <w:r w:rsidR="00CE28BD" w:rsidRPr="00CE28BD">
        <w:rPr>
          <w:rFonts w:ascii="Garamond" w:hAnsi="Garamond"/>
          <w:sz w:val="24"/>
          <w:szCs w:val="24"/>
          <w:lang w:val="en-US"/>
        </w:rPr>
        <w:t>Mwambi</w:t>
      </w:r>
      <w:proofErr w:type="spellEnd"/>
      <w:r w:rsidR="00CE28BD" w:rsidRPr="00CE28BD">
        <w:rPr>
          <w:rFonts w:ascii="Garamond" w:hAnsi="Garamond"/>
          <w:sz w:val="24"/>
          <w:szCs w:val="24"/>
          <w:lang w:val="en-US"/>
        </w:rPr>
        <w:t xml:space="preserve"> et al. (2023) also show that the trajectory of recovery is uneven and depends more on local price structures and food supply than on the national aggregate impact of the pandemic shock alone</w:t>
      </w:r>
      <w:r w:rsidR="00CE28BD">
        <w:rPr>
          <w:rFonts w:ascii="Garamond" w:hAnsi="Garamond"/>
          <w:sz w:val="24"/>
          <w:szCs w:val="24"/>
          <w:lang w:val="en-US"/>
        </w:rPr>
        <w:t xml:space="preserve"> </w:t>
      </w:r>
      <w:r w:rsidR="00CE28BD">
        <w:rPr>
          <w:rFonts w:ascii="Garamond" w:hAnsi="Garamond"/>
          <w:color w:val="C00000"/>
          <w:sz w:val="24"/>
          <w:szCs w:val="24"/>
          <w:lang w:val="en-US"/>
        </w:rPr>
        <w:t>[REVISAR ESTO]</w:t>
      </w:r>
      <w:r w:rsidR="00CE28BD" w:rsidRPr="00CE28BD">
        <w:rPr>
          <w:rFonts w:ascii="Garamond" w:hAnsi="Garamond"/>
          <w:sz w:val="24"/>
          <w:szCs w:val="24"/>
          <w:lang w:val="en-US"/>
        </w:rPr>
        <w:t>.</w:t>
      </w:r>
    </w:p>
    <w:p w:rsidR="00D71F93" w:rsidRDefault="009A6072" w:rsidP="0044560C">
      <w:pPr>
        <w:jc w:val="both"/>
        <w:rPr>
          <w:rFonts w:ascii="Garamond" w:hAnsi="Garamond"/>
          <w:color w:val="C00000"/>
          <w:sz w:val="24"/>
          <w:szCs w:val="24"/>
          <w:lang w:val="en-US"/>
        </w:rPr>
      </w:pPr>
      <w:r w:rsidRPr="004B6FF7">
        <w:rPr>
          <w:rFonts w:ascii="Garamond" w:hAnsi="Garamond"/>
          <w:sz w:val="24"/>
          <w:szCs w:val="24"/>
          <w:lang w:val="en-US"/>
        </w:rPr>
        <w:t>This vulnerability, as documented i</w:t>
      </w:r>
      <w:r>
        <w:rPr>
          <w:rFonts w:ascii="Garamond" w:hAnsi="Garamond"/>
          <w:sz w:val="24"/>
          <w:szCs w:val="24"/>
          <w:lang w:val="en-US"/>
        </w:rPr>
        <w:t xml:space="preserve">n the case of Cali, mirrors underlying structural features rather than representing only a temporary episode caused by the pandemic shock. </w:t>
      </w:r>
      <w:r w:rsidRPr="004B6FF7">
        <w:rPr>
          <w:rFonts w:ascii="Garamond" w:hAnsi="Garamond"/>
          <w:sz w:val="24"/>
          <w:szCs w:val="24"/>
          <w:lang w:val="en-US"/>
        </w:rPr>
        <w:t xml:space="preserve">As </w:t>
      </w:r>
      <w:proofErr w:type="spellStart"/>
      <w:r w:rsidRPr="004B6FF7">
        <w:rPr>
          <w:rFonts w:ascii="Garamond" w:hAnsi="Garamond"/>
          <w:sz w:val="24"/>
          <w:szCs w:val="24"/>
          <w:lang w:val="en-US"/>
        </w:rPr>
        <w:t>Cattaneo</w:t>
      </w:r>
      <w:proofErr w:type="spellEnd"/>
      <w:r w:rsidRPr="004B6FF7">
        <w:rPr>
          <w:rFonts w:ascii="Garamond" w:hAnsi="Garamond"/>
          <w:sz w:val="24"/>
          <w:szCs w:val="24"/>
          <w:lang w:val="en-US"/>
        </w:rPr>
        <w:t xml:space="preserve"> et al. (2023) pointed out in their global study, up to 260 million additional people</w:t>
      </w:r>
      <w:r>
        <w:rPr>
          <w:rFonts w:ascii="Garamond" w:hAnsi="Garamond"/>
          <w:sz w:val="24"/>
          <w:szCs w:val="24"/>
          <w:lang w:val="en-US"/>
        </w:rPr>
        <w:t xml:space="preserve">, </w:t>
      </w:r>
      <w:r w:rsidRPr="004B6FF7">
        <w:rPr>
          <w:rFonts w:ascii="Garamond" w:hAnsi="Garamond"/>
          <w:sz w:val="24"/>
          <w:szCs w:val="24"/>
          <w:lang w:val="en-US"/>
        </w:rPr>
        <w:t>primarily concentrated in low- and lower-middle-income countries</w:t>
      </w:r>
      <w:r>
        <w:rPr>
          <w:rFonts w:ascii="Garamond" w:hAnsi="Garamond"/>
          <w:sz w:val="24"/>
          <w:szCs w:val="24"/>
          <w:lang w:val="en-US"/>
        </w:rPr>
        <w:t xml:space="preserve">, </w:t>
      </w:r>
      <w:r w:rsidRPr="004B6FF7">
        <w:rPr>
          <w:rFonts w:ascii="Garamond" w:hAnsi="Garamond"/>
          <w:sz w:val="24"/>
          <w:szCs w:val="24"/>
          <w:lang w:val="en-US"/>
        </w:rPr>
        <w:t>could be at risk of insufficient energy affordability in the event of a hypothetical shock that reduces real income by as much as one third.</w:t>
      </w:r>
      <w:r>
        <w:rPr>
          <w:rFonts w:ascii="Garamond" w:hAnsi="Garamond"/>
          <w:sz w:val="24"/>
          <w:szCs w:val="24"/>
          <w:lang w:val="en-US"/>
        </w:rPr>
        <w:t xml:space="preserve"> </w:t>
      </w:r>
      <w:r w:rsidR="00CD4AA1" w:rsidRPr="00CD4AA1">
        <w:rPr>
          <w:rFonts w:ascii="Garamond" w:hAnsi="Garamond"/>
          <w:sz w:val="24"/>
          <w:szCs w:val="24"/>
          <w:lang w:val="en-US"/>
        </w:rPr>
        <w:t>These results suggest that income inequality is a determining factor in persistent unaffordability, which helps explain the slow recovery trajectory observed in Cali. This pattern persists even when mean income recovers in nominal terms, given Cali’s Gini coefficient of 0.53</w:t>
      </w:r>
      <w:r w:rsidR="00CD4AA1">
        <w:rPr>
          <w:rFonts w:ascii="Garamond" w:hAnsi="Garamond"/>
          <w:sz w:val="24"/>
          <w:szCs w:val="24"/>
          <w:lang w:val="en-US"/>
        </w:rPr>
        <w:t xml:space="preserve">, </w:t>
      </w:r>
      <w:r w:rsidR="00CD4AA1" w:rsidRPr="00CD4AA1">
        <w:rPr>
          <w:rFonts w:ascii="Garamond" w:hAnsi="Garamond"/>
          <w:sz w:val="24"/>
          <w:szCs w:val="24"/>
          <w:lang w:val="en-US"/>
        </w:rPr>
        <w:t>the highest among the 13 main urban areas in the country.</w:t>
      </w:r>
      <w:r w:rsidR="00CD4AA1">
        <w:rPr>
          <w:rFonts w:ascii="Garamond" w:hAnsi="Garamond"/>
          <w:sz w:val="24"/>
          <w:szCs w:val="24"/>
          <w:lang w:val="en-US"/>
        </w:rPr>
        <w:t xml:space="preserve"> </w:t>
      </w:r>
      <w:r w:rsidR="00CD4AA1" w:rsidRPr="00CD4AA1">
        <w:rPr>
          <w:rFonts w:ascii="Garamond" w:hAnsi="Garamond"/>
          <w:sz w:val="24"/>
          <w:szCs w:val="24"/>
          <w:lang w:val="en-US"/>
        </w:rPr>
        <w:t xml:space="preserve">As prior research has shown, there is also supply-side vulnerability. Specifically, the wholesale market in Cali trades only 20,841 </w:t>
      </w:r>
      <w:proofErr w:type="spellStart"/>
      <w:r w:rsidR="00CD4AA1" w:rsidRPr="00CD4AA1">
        <w:rPr>
          <w:rFonts w:ascii="Garamond" w:hAnsi="Garamond"/>
          <w:sz w:val="24"/>
          <w:szCs w:val="24"/>
          <w:lang w:val="en-US"/>
        </w:rPr>
        <w:t>tonnes</w:t>
      </w:r>
      <w:proofErr w:type="spellEnd"/>
      <w:r w:rsidR="00CD4AA1" w:rsidRPr="00CD4AA1">
        <w:rPr>
          <w:rFonts w:ascii="Garamond" w:hAnsi="Garamond"/>
          <w:sz w:val="24"/>
          <w:szCs w:val="24"/>
          <w:lang w:val="en-US"/>
        </w:rPr>
        <w:t>, compared to 79,000 in Medellín and 110,000 in Bogotá. Furthermore, 11 large firms control 85% of the assets in the retail food sector, with a markedly unequal spatial distribution of retail outlets across the city’s districts</w:t>
      </w:r>
      <w:r w:rsidR="00CD4AA1">
        <w:rPr>
          <w:rFonts w:ascii="Garamond" w:hAnsi="Garamond"/>
          <w:sz w:val="24"/>
          <w:szCs w:val="24"/>
          <w:lang w:val="en-US"/>
        </w:rPr>
        <w:t xml:space="preserve"> (Temple et al., 2016). Rankin et al. (2021) further note that within a period of just 18 months, Cali faced not only a pandemic-related shock but also a significant supply shock resulting from the 2021 national strike. This dual shock further exacerbated existing vulnerabilities in Cali’s food system</w:t>
      </w:r>
      <w:r w:rsidR="00D263F3" w:rsidRPr="00CD4AA1">
        <w:rPr>
          <w:rFonts w:ascii="Garamond" w:hAnsi="Garamond"/>
          <w:color w:val="000000" w:themeColor="text1"/>
          <w:sz w:val="24"/>
          <w:szCs w:val="24"/>
          <w:lang w:val="en-US"/>
        </w:rPr>
        <w:t xml:space="preserve"> </w:t>
      </w:r>
      <w:r w:rsidR="00D263F3" w:rsidRPr="00CD4AA1">
        <w:rPr>
          <w:rFonts w:ascii="Garamond" w:hAnsi="Garamond"/>
          <w:color w:val="C00000"/>
          <w:sz w:val="24"/>
          <w:szCs w:val="24"/>
          <w:lang w:val="en-US"/>
        </w:rPr>
        <w:t>[</w:t>
      </w:r>
      <w:r w:rsidR="00D263F3" w:rsidRPr="00CD4AA1">
        <w:rPr>
          <w:rFonts w:ascii="Garamond" w:hAnsi="Garamond"/>
          <w:color w:val="C00000"/>
          <w:sz w:val="24"/>
          <w:szCs w:val="24"/>
          <w:lang w:val="en-US"/>
        </w:rPr>
        <w:t>PROFUNDIZAR MÁS AQUÍ PORQUE EL LECTOR INTERNACIONAL PUEDE NO ENTENDER</w:t>
      </w:r>
      <w:r w:rsidR="00D263F3" w:rsidRPr="00CD4AA1">
        <w:rPr>
          <w:rFonts w:ascii="Garamond" w:hAnsi="Garamond"/>
          <w:color w:val="C00000"/>
          <w:sz w:val="24"/>
          <w:szCs w:val="24"/>
          <w:lang w:val="en-US"/>
        </w:rPr>
        <w:t>]</w:t>
      </w:r>
      <w:r w:rsidR="0044560C" w:rsidRPr="00CD4AA1">
        <w:rPr>
          <w:rFonts w:ascii="Garamond" w:hAnsi="Garamond"/>
          <w:color w:val="000000" w:themeColor="text1"/>
          <w:sz w:val="24"/>
          <w:szCs w:val="24"/>
          <w:lang w:val="en-US"/>
        </w:rPr>
        <w:t>.</w:t>
      </w:r>
      <w:r w:rsidR="0099488D">
        <w:rPr>
          <w:rFonts w:ascii="Garamond" w:hAnsi="Garamond"/>
          <w:color w:val="000000" w:themeColor="text1"/>
          <w:sz w:val="24"/>
          <w:szCs w:val="24"/>
          <w:lang w:val="en-US"/>
        </w:rPr>
        <w:t xml:space="preserve"> </w:t>
      </w:r>
      <w:r w:rsidR="0099488D" w:rsidRPr="0099488D">
        <w:rPr>
          <w:rFonts w:ascii="Garamond" w:hAnsi="Garamond"/>
          <w:color w:val="000000" w:themeColor="text1"/>
          <w:sz w:val="24"/>
          <w:szCs w:val="24"/>
          <w:lang w:val="en-US"/>
        </w:rPr>
        <w:t xml:space="preserve">This effect has been exacerbated by the high transaction costs between producer regions and destination </w:t>
      </w:r>
      <w:r w:rsidR="0099488D" w:rsidRPr="0099488D">
        <w:rPr>
          <w:rFonts w:ascii="Garamond" w:hAnsi="Garamond"/>
          <w:color w:val="000000" w:themeColor="text1"/>
          <w:sz w:val="24"/>
          <w:szCs w:val="24"/>
          <w:lang w:val="en-US"/>
        </w:rPr>
        <w:lastRenderedPageBreak/>
        <w:t>markets. Recent national studies have estimated that these costs represent up to 42% of origin prices</w:t>
      </w:r>
      <w:r w:rsidR="0099488D">
        <w:rPr>
          <w:rFonts w:ascii="Garamond" w:hAnsi="Garamond"/>
          <w:color w:val="000000" w:themeColor="text1"/>
          <w:sz w:val="24"/>
          <w:szCs w:val="24"/>
          <w:lang w:val="en-US"/>
        </w:rPr>
        <w:t xml:space="preserve">, </w:t>
      </w:r>
      <w:r w:rsidR="0099488D" w:rsidRPr="0099488D">
        <w:rPr>
          <w:rFonts w:ascii="Garamond" w:hAnsi="Garamond"/>
          <w:color w:val="000000" w:themeColor="text1"/>
          <w:sz w:val="24"/>
          <w:szCs w:val="24"/>
          <w:lang w:val="en-US"/>
        </w:rPr>
        <w:t>a comparatively greater burden for Cali, given its greater geographical distance from the country’s main agricultural hubs (Ortega et al., 2020</w:t>
      </w:r>
      <w:proofErr w:type="gramStart"/>
      <w:r w:rsidR="0099488D" w:rsidRPr="0099488D">
        <w:rPr>
          <w:rFonts w:ascii="Garamond" w:hAnsi="Garamond"/>
          <w:color w:val="000000" w:themeColor="text1"/>
          <w:sz w:val="24"/>
          <w:szCs w:val="24"/>
          <w:lang w:val="en-US"/>
        </w:rPr>
        <w:t>).</w:t>
      </w:r>
      <w:r w:rsidR="0044560C" w:rsidRPr="0099488D">
        <w:rPr>
          <w:rFonts w:ascii="Garamond" w:hAnsi="Garamond"/>
          <w:color w:val="C00000"/>
          <w:sz w:val="24"/>
          <w:szCs w:val="24"/>
          <w:lang w:val="en-US"/>
        </w:rPr>
        <w:t>[</w:t>
      </w:r>
      <w:proofErr w:type="gramEnd"/>
      <w:r w:rsidR="00D263F3" w:rsidRPr="0099488D">
        <w:rPr>
          <w:rFonts w:ascii="Garamond" w:hAnsi="Garamond"/>
          <w:color w:val="C00000"/>
          <w:sz w:val="24"/>
          <w:szCs w:val="24"/>
          <w:lang w:val="en-US"/>
        </w:rPr>
        <w:t>¿ELLOS SÍ OBTIENEN UN DATO ESPECÍFICO PARA CALI?</w:t>
      </w:r>
      <w:r w:rsidR="0044560C" w:rsidRPr="0099488D">
        <w:rPr>
          <w:rFonts w:ascii="Garamond" w:hAnsi="Garamond"/>
          <w:color w:val="C00000"/>
          <w:sz w:val="24"/>
          <w:szCs w:val="24"/>
          <w:lang w:val="en-US"/>
        </w:rPr>
        <w:t>]</w:t>
      </w:r>
    </w:p>
    <w:p w:rsidR="00D35673" w:rsidRDefault="00C01EAF" w:rsidP="00D35673">
      <w:pPr>
        <w:ind w:firstLine="709"/>
        <w:jc w:val="both"/>
        <w:rPr>
          <w:rFonts w:ascii="Garamond" w:hAnsi="Garamond"/>
          <w:color w:val="000000" w:themeColor="text1"/>
          <w:sz w:val="24"/>
          <w:szCs w:val="24"/>
          <w:lang w:val="en-US"/>
        </w:rPr>
      </w:pPr>
      <w:r w:rsidRPr="00C01EAF">
        <w:rPr>
          <w:rFonts w:ascii="Garamond" w:hAnsi="Garamond"/>
          <w:color w:val="000000" w:themeColor="text1"/>
          <w:sz w:val="24"/>
          <w:szCs w:val="24"/>
          <w:lang w:val="en-US"/>
        </w:rPr>
        <w:t xml:space="preserve">An illustrative example of these dynamics is the deterioration observed in the second decile in Cali, where the </w:t>
      </w:r>
      <w:proofErr w:type="spellStart"/>
      <w:r w:rsidRPr="00C01EAF">
        <w:rPr>
          <w:rFonts w:ascii="Garamond" w:hAnsi="Garamond"/>
          <w:color w:val="000000" w:themeColor="text1"/>
          <w:sz w:val="24"/>
          <w:szCs w:val="24"/>
          <w:lang w:val="en-US"/>
        </w:rPr>
        <w:t>CoNA</w:t>
      </w:r>
      <w:proofErr w:type="spellEnd"/>
      <w:r w:rsidRPr="00C01EAF">
        <w:rPr>
          <w:rFonts w:ascii="Garamond" w:hAnsi="Garamond"/>
          <w:color w:val="000000" w:themeColor="text1"/>
          <w:sz w:val="24"/>
          <w:szCs w:val="24"/>
          <w:lang w:val="en-US"/>
        </w:rPr>
        <w:t xml:space="preserve"> unaffordability rate rose from 12.9% in 2019 to 81.9% in 2024, an increase of 69 percentage points. This trend exemplifies the phenomenon known as “near-poor households.”</w:t>
      </w:r>
      <w:r w:rsidR="00D71F93" w:rsidRPr="00D71F93">
        <w:rPr>
          <w:rFonts w:ascii="Garamond" w:hAnsi="Garamond"/>
          <w:color w:val="000000" w:themeColor="text1"/>
          <w:sz w:val="24"/>
          <w:szCs w:val="24"/>
          <w:lang w:val="en-US"/>
        </w:rPr>
        <w:t xml:space="preserve"> In this context, these groups are typically above the vulnerability threshold under normal conditions but are pushed into nutritional unaffordability when faced with income shocks combined with the relative increase in the cost of nutritious foods.</w:t>
      </w:r>
      <w:r w:rsidR="00B31266" w:rsidRPr="00B31266">
        <w:rPr>
          <w:lang w:val="en-US"/>
        </w:rPr>
        <w:t xml:space="preserve"> </w:t>
      </w:r>
      <w:r w:rsidR="00B31266" w:rsidRPr="00B31266">
        <w:rPr>
          <w:rFonts w:ascii="Garamond" w:hAnsi="Garamond"/>
          <w:color w:val="000000" w:themeColor="text1"/>
          <w:sz w:val="24"/>
          <w:szCs w:val="24"/>
          <w:lang w:val="en-US"/>
        </w:rPr>
        <w:t>In their study of food insecurity in Mexico during the pandemic, Mundo Rosas et al. (2020) show that food insecurity was reported in 10–26% of households located in the middle strata of the socioeconomic scale.</w:t>
      </w:r>
      <w:r w:rsidR="00D35673">
        <w:rPr>
          <w:rFonts w:ascii="Garamond" w:hAnsi="Garamond"/>
          <w:color w:val="000000" w:themeColor="text1"/>
          <w:sz w:val="24"/>
          <w:szCs w:val="24"/>
          <w:lang w:val="en-US"/>
        </w:rPr>
        <w:t xml:space="preserve"> </w:t>
      </w:r>
      <w:r w:rsidR="00D35673" w:rsidRPr="00D35673">
        <w:rPr>
          <w:rFonts w:ascii="Garamond" w:hAnsi="Garamond"/>
          <w:color w:val="000000" w:themeColor="text1"/>
          <w:sz w:val="24"/>
          <w:szCs w:val="24"/>
          <w:lang w:val="en-US"/>
        </w:rPr>
        <w:t xml:space="preserve">This finding characterizes these households as “newly food insecure,” attributing their condition </w:t>
      </w:r>
      <w:r w:rsidR="00B31266" w:rsidRPr="00B31266">
        <w:rPr>
          <w:rFonts w:ascii="Garamond" w:hAnsi="Garamond"/>
          <w:color w:val="000000" w:themeColor="text1"/>
          <w:sz w:val="24"/>
          <w:szCs w:val="24"/>
          <w:lang w:val="en-US"/>
        </w:rPr>
        <w:t>directly to the impact of the pandemic, rather than as a continuation of pre-existing vulnerability.</w:t>
      </w:r>
      <w:r w:rsidR="00D35673">
        <w:rPr>
          <w:rFonts w:ascii="Garamond" w:hAnsi="Garamond"/>
          <w:color w:val="000000" w:themeColor="text1"/>
          <w:sz w:val="24"/>
          <w:szCs w:val="24"/>
          <w:lang w:val="en-US"/>
        </w:rPr>
        <w:t xml:space="preserve"> </w:t>
      </w:r>
      <w:r w:rsidR="00B31266" w:rsidRPr="00B31266">
        <w:rPr>
          <w:rFonts w:ascii="Garamond" w:hAnsi="Garamond"/>
          <w:color w:val="000000" w:themeColor="text1"/>
          <w:sz w:val="24"/>
          <w:szCs w:val="24"/>
          <w:lang w:val="en-US"/>
        </w:rPr>
        <w:t>A study conducted in 2020 found that even months after the initial shock had subsided, one in four highly vulnerable households in Latin America remained food insecure, demonstrating the same asymmetry in persistence observed in subnational cases such as Cali (World Bank, 2020).</w:t>
      </w:r>
    </w:p>
    <w:p w:rsidR="00D35673" w:rsidRDefault="00B31266" w:rsidP="00B31266">
      <w:pPr>
        <w:ind w:firstLine="709"/>
        <w:jc w:val="both"/>
        <w:rPr>
          <w:rFonts w:ascii="Garamond" w:hAnsi="Garamond"/>
          <w:color w:val="000000" w:themeColor="text1"/>
          <w:sz w:val="24"/>
          <w:szCs w:val="24"/>
          <w:lang w:val="en-US"/>
        </w:rPr>
      </w:pPr>
      <w:r w:rsidRPr="00B31266">
        <w:rPr>
          <w:lang w:val="en-US"/>
        </w:rPr>
        <w:t xml:space="preserve"> </w:t>
      </w:r>
      <w:r w:rsidRPr="00B31266">
        <w:rPr>
          <w:rFonts w:ascii="Garamond" w:hAnsi="Garamond"/>
          <w:color w:val="000000" w:themeColor="text1"/>
          <w:sz w:val="24"/>
          <w:szCs w:val="24"/>
          <w:lang w:val="en-US"/>
        </w:rPr>
        <w:t>In the same vein, Lustig et al. (2021) show that the increase in poverty induced by the pandemic was not limited to those who were already poor before the crisis, but also resulted in transitions into poverty from previously non-poor strata.</w:t>
      </w:r>
      <w:r>
        <w:rPr>
          <w:rFonts w:ascii="Garamond" w:hAnsi="Garamond"/>
          <w:color w:val="000000" w:themeColor="text1"/>
          <w:sz w:val="24"/>
          <w:szCs w:val="24"/>
          <w:lang w:val="en-US"/>
        </w:rPr>
        <w:t xml:space="preserve"> </w:t>
      </w:r>
    </w:p>
    <w:p w:rsidR="00D35673" w:rsidRDefault="00B31266" w:rsidP="00B31266">
      <w:pPr>
        <w:ind w:firstLine="709"/>
        <w:jc w:val="both"/>
        <w:rPr>
          <w:rFonts w:ascii="Garamond" w:hAnsi="Garamond"/>
          <w:color w:val="000000" w:themeColor="text1"/>
          <w:sz w:val="24"/>
          <w:szCs w:val="24"/>
          <w:lang w:val="en-US"/>
        </w:rPr>
      </w:pPr>
      <w:r w:rsidRPr="00B31266">
        <w:rPr>
          <w:rFonts w:ascii="Garamond" w:hAnsi="Garamond"/>
          <w:color w:val="000000" w:themeColor="text1"/>
          <w:sz w:val="24"/>
          <w:szCs w:val="24"/>
          <w:lang w:val="en-US"/>
        </w:rPr>
        <w:t xml:space="preserve">Expanding on this, Pereira and Oliveira (2020) identify the specific causal mechanism underlying these transitions: labor informality and the loss of formal employment were the primary channels through which food insecurity increased among groups not previously considered structurally poor. </w:t>
      </w:r>
    </w:p>
    <w:p w:rsidR="00B31266" w:rsidRPr="00B31266" w:rsidRDefault="00B31266" w:rsidP="00B31266">
      <w:pPr>
        <w:ind w:firstLine="709"/>
        <w:jc w:val="both"/>
        <w:rPr>
          <w:rFonts w:ascii="Garamond" w:hAnsi="Garamond"/>
          <w:color w:val="000000" w:themeColor="text1"/>
          <w:sz w:val="24"/>
          <w:szCs w:val="24"/>
          <w:lang w:val="en-US"/>
        </w:rPr>
      </w:pPr>
      <w:r w:rsidRPr="00B31266">
        <w:rPr>
          <w:rFonts w:ascii="Garamond" w:hAnsi="Garamond"/>
          <w:color w:val="000000" w:themeColor="text1"/>
          <w:sz w:val="24"/>
          <w:szCs w:val="24"/>
          <w:lang w:val="en-US"/>
        </w:rPr>
        <w:t>This mechanism is particularly relevant for Cali, a city characterized by a relatively high level of labor informality within the national context.</w:t>
      </w:r>
      <w:proofErr w:type="gramStart"/>
      <w:r w:rsidRPr="0099488D">
        <w:rPr>
          <w:rFonts w:ascii="Garamond" w:hAnsi="Garamond"/>
          <w:color w:val="000000" w:themeColor="text1"/>
          <w:sz w:val="24"/>
          <w:szCs w:val="24"/>
          <w:lang w:val="en-US"/>
        </w:rPr>
        <w:t>).</w:t>
      </w:r>
      <w:r w:rsidRPr="0099488D">
        <w:rPr>
          <w:rFonts w:ascii="Garamond" w:hAnsi="Garamond"/>
          <w:color w:val="C00000"/>
          <w:sz w:val="24"/>
          <w:szCs w:val="24"/>
          <w:lang w:val="en-US"/>
        </w:rPr>
        <w:t>[</w:t>
      </w:r>
      <w:proofErr w:type="gramEnd"/>
      <w:r>
        <w:rPr>
          <w:rFonts w:ascii="Garamond" w:hAnsi="Garamond"/>
          <w:color w:val="C00000"/>
          <w:sz w:val="24"/>
          <w:szCs w:val="24"/>
          <w:lang w:val="en-US"/>
        </w:rPr>
        <w:t>REVISAR LAS REFERENCIAS DE ESTE PÁRRAFO</w:t>
      </w:r>
      <w:r w:rsidRPr="0099488D">
        <w:rPr>
          <w:rFonts w:ascii="Garamond" w:hAnsi="Garamond"/>
          <w:color w:val="C00000"/>
          <w:sz w:val="24"/>
          <w:szCs w:val="24"/>
          <w:lang w:val="en-US"/>
        </w:rPr>
        <w:t>]</w:t>
      </w:r>
    </w:p>
    <w:p w:rsidR="00CD5385" w:rsidRDefault="0099488D" w:rsidP="00B26C06">
      <w:pPr>
        <w:ind w:firstLine="709"/>
        <w:jc w:val="both"/>
        <w:rPr>
          <w:rFonts w:ascii="Garamond" w:hAnsi="Garamond"/>
          <w:color w:val="1F3864" w:themeColor="accent1" w:themeShade="80"/>
          <w:sz w:val="24"/>
          <w:szCs w:val="24"/>
          <w:highlight w:val="cyan"/>
        </w:rPr>
      </w:pPr>
      <w:r w:rsidRPr="00657B15">
        <w:rPr>
          <w:rFonts w:ascii="Garamond" w:hAnsi="Garamond"/>
          <w:color w:val="1F3864" w:themeColor="accent1" w:themeShade="80"/>
          <w:sz w:val="24"/>
          <w:szCs w:val="24"/>
          <w:highlight w:val="cyan"/>
        </w:rPr>
        <w:t>CERRAR</w:t>
      </w:r>
      <w:bookmarkStart w:id="0" w:name="_GoBack"/>
      <w:bookmarkEnd w:id="0"/>
      <w:r w:rsidRPr="00657B15">
        <w:rPr>
          <w:rFonts w:ascii="Garamond" w:hAnsi="Garamond"/>
          <w:color w:val="1F3864" w:themeColor="accent1" w:themeShade="80"/>
          <w:sz w:val="24"/>
          <w:szCs w:val="24"/>
          <w:highlight w:val="cyan"/>
        </w:rPr>
        <w:t xml:space="preserve"> CON EL CONTRAFACTUAL DEL GASTO = INGRESO</w:t>
      </w:r>
    </w:p>
    <w:p w:rsidR="00D71F93" w:rsidRPr="00D71F93" w:rsidRDefault="00D71F93" w:rsidP="00B26C06">
      <w:pPr>
        <w:ind w:firstLine="709"/>
        <w:jc w:val="both"/>
        <w:rPr>
          <w:rFonts w:ascii="Garamond" w:hAnsi="Garamond"/>
          <w:color w:val="1F3864" w:themeColor="accent1" w:themeShade="80"/>
          <w:sz w:val="24"/>
          <w:szCs w:val="24"/>
          <w:lang w:val="en-US"/>
        </w:rPr>
      </w:pPr>
      <w:r w:rsidRPr="00D71F93">
        <w:rPr>
          <w:rFonts w:ascii="Garamond" w:hAnsi="Garamond"/>
          <w:color w:val="1F3864" w:themeColor="accent1" w:themeShade="80"/>
          <w:sz w:val="24"/>
          <w:szCs w:val="24"/>
          <w:lang w:val="en-US"/>
        </w:rPr>
        <w:t xml:space="preserve">The robustness analysis, in which households are assumed to allocate their entire per capita income to food, confirms that unaffordability among the poorest decile does not stem from the food-expenditure-share assumption but reflects a structural income insufficiency, particularly acute in Cali. This exercise is methodologically analogous to that of </w:t>
      </w:r>
      <w:proofErr w:type="spellStart"/>
      <w:r w:rsidRPr="00D71F93">
        <w:rPr>
          <w:rFonts w:ascii="Garamond" w:hAnsi="Garamond"/>
          <w:color w:val="1F3864" w:themeColor="accent1" w:themeShade="80"/>
          <w:sz w:val="24"/>
          <w:szCs w:val="24"/>
          <w:lang w:val="en-US"/>
        </w:rPr>
        <w:t>Hirvonen</w:t>
      </w:r>
      <w:proofErr w:type="spellEnd"/>
      <w:r w:rsidRPr="00D71F93">
        <w:rPr>
          <w:rFonts w:ascii="Garamond" w:hAnsi="Garamond"/>
          <w:color w:val="1F3864" w:themeColor="accent1" w:themeShade="80"/>
          <w:sz w:val="24"/>
          <w:szCs w:val="24"/>
          <w:lang w:val="en-US"/>
        </w:rPr>
        <w:t xml:space="preserve"> et al. (2020), who calculate for 159 countries the share of people for whom the cost of the EAT-Lancet reference diet exceeds their total available income, finding that this condition affects a substantial proportion of the population in middle-income countries. The use of the full FGT framework --- incidence, gap, and severity --- is grounded in Foster et al. (1984) and its specific application to food security by Gundersen (2008), who shows that reporting only the incidence rate is insufficient to capture the heterogeneous experience of affected households. That the large majority of the diet cost and affordability literature reports predominantly incidence without systematically decomposing into gap and severity (Bai et al., 2021) reinforces the methodological contribution of this work. The policy implication is direct: interventions focused </w:t>
      </w:r>
      <w:r w:rsidRPr="00D71F93">
        <w:rPr>
          <w:rFonts w:ascii="Garamond" w:hAnsi="Garamond"/>
          <w:color w:val="1F3864" w:themeColor="accent1" w:themeShade="80"/>
          <w:sz w:val="24"/>
          <w:szCs w:val="24"/>
          <w:lang w:val="en-US"/>
        </w:rPr>
        <w:lastRenderedPageBreak/>
        <w:t>exclusively on dietary education or behavior change are insufficient to close the nutritional adequacy affordability gap in these cities. Income transfers, price subsidies for nutritionally dense foods --- particularly dairy products --- and supply-side cost reductions in Cali are necessary rather than alternative conditions for improving access to quality diets among the urban poor.</w:t>
      </w:r>
    </w:p>
    <w:p w:rsidR="002D49E8" w:rsidRPr="002D49E8" w:rsidRDefault="002D49E8" w:rsidP="00FA76C8">
      <w:pPr>
        <w:ind w:firstLine="709"/>
        <w:jc w:val="both"/>
        <w:rPr>
          <w:rFonts w:ascii="Garamond" w:hAnsi="Garamond"/>
          <w:color w:val="1F3864" w:themeColor="accent1" w:themeShade="80"/>
          <w:sz w:val="24"/>
          <w:szCs w:val="24"/>
          <w:lang w:val="es-MX"/>
        </w:rPr>
      </w:pPr>
      <w:r w:rsidRPr="002D49E8">
        <w:rPr>
          <w:rFonts w:ascii="Garamond" w:hAnsi="Garamond"/>
          <w:color w:val="1F3864" w:themeColor="accent1" w:themeShade="80"/>
          <w:sz w:val="24"/>
          <w:szCs w:val="24"/>
          <w:lang w:val="es-MX"/>
        </w:rPr>
        <w:t xml:space="preserve">Desde el punto de vista nutricional, entre el 74,1% y el 90,2% de las combinaciones nutriente--miembro--mes se sitúan dentro del rango de ingesta seguro, con la vitamina C como único nutriente con incumplimiento sistemático, particularmente en Medellín --- resultado coherente con la sustitución de guayaba por frutas de menor densidad de vitamina C en ese mercado (véase </w:t>
      </w:r>
      <w:proofErr w:type="spellStart"/>
      <w:r w:rsidRPr="002D49E8">
        <w:rPr>
          <w:rFonts w:ascii="Garamond" w:hAnsi="Garamond"/>
          <w:color w:val="1F3864" w:themeColor="accent1" w:themeShade="80"/>
          <w:sz w:val="24"/>
          <w:szCs w:val="24"/>
          <w:lang w:val="es-MX"/>
        </w:rPr>
        <w:t>Apéndice~C</w:t>
      </w:r>
      <w:proofErr w:type="spellEnd"/>
      <w:r w:rsidRPr="002D49E8">
        <w:rPr>
          <w:rFonts w:ascii="Garamond" w:hAnsi="Garamond"/>
          <w:color w:val="1F3864" w:themeColor="accent1" w:themeShade="80"/>
          <w:sz w:val="24"/>
          <w:szCs w:val="24"/>
          <w:lang w:val="es-MX"/>
        </w:rPr>
        <w:t>).</w:t>
      </w:r>
    </w:p>
    <w:p w:rsidR="002D49E8" w:rsidRPr="00B93538" w:rsidRDefault="002D49E8" w:rsidP="002D49E8">
      <w:pPr>
        <w:ind w:firstLine="709"/>
        <w:jc w:val="both"/>
        <w:rPr>
          <w:rFonts w:ascii="Garamond" w:hAnsi="Garamond"/>
          <w:sz w:val="24"/>
          <w:szCs w:val="24"/>
          <w:lang w:val="es-MX"/>
        </w:rPr>
      </w:pPr>
    </w:p>
    <w:sectPr w:rsidR="002D49E8" w:rsidRPr="00B935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24CC"/>
    <w:multiLevelType w:val="hybridMultilevel"/>
    <w:tmpl w:val="115AF1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54633B"/>
    <w:multiLevelType w:val="hybridMultilevel"/>
    <w:tmpl w:val="918E672E"/>
    <w:lvl w:ilvl="0" w:tplc="348A12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C0900EB"/>
    <w:multiLevelType w:val="hybridMultilevel"/>
    <w:tmpl w:val="CCD815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24F65FE"/>
    <w:multiLevelType w:val="hybridMultilevel"/>
    <w:tmpl w:val="CC345D6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A1326DE"/>
    <w:multiLevelType w:val="hybridMultilevel"/>
    <w:tmpl w:val="DBC4AD24"/>
    <w:lvl w:ilvl="0" w:tplc="09567B4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38"/>
    <w:rsid w:val="000241A8"/>
    <w:rsid w:val="000534DE"/>
    <w:rsid w:val="00083EA1"/>
    <w:rsid w:val="000C3EAE"/>
    <w:rsid w:val="000E4D4C"/>
    <w:rsid w:val="000F49B8"/>
    <w:rsid w:val="000F5C5A"/>
    <w:rsid w:val="00102AE5"/>
    <w:rsid w:val="001342E5"/>
    <w:rsid w:val="001B297A"/>
    <w:rsid w:val="00203413"/>
    <w:rsid w:val="00255CAB"/>
    <w:rsid w:val="002A28D5"/>
    <w:rsid w:val="002D49E8"/>
    <w:rsid w:val="00307565"/>
    <w:rsid w:val="00356D24"/>
    <w:rsid w:val="00357A9D"/>
    <w:rsid w:val="00386962"/>
    <w:rsid w:val="003A352E"/>
    <w:rsid w:val="003D5C26"/>
    <w:rsid w:val="003F30E3"/>
    <w:rsid w:val="004170C7"/>
    <w:rsid w:val="00432EE9"/>
    <w:rsid w:val="0044560C"/>
    <w:rsid w:val="0045748F"/>
    <w:rsid w:val="004B6FF7"/>
    <w:rsid w:val="004D2C3A"/>
    <w:rsid w:val="005155DF"/>
    <w:rsid w:val="005452B3"/>
    <w:rsid w:val="005623E0"/>
    <w:rsid w:val="00577B37"/>
    <w:rsid w:val="006325F0"/>
    <w:rsid w:val="00646D6C"/>
    <w:rsid w:val="00657B15"/>
    <w:rsid w:val="006D3DDF"/>
    <w:rsid w:val="00710246"/>
    <w:rsid w:val="0073307A"/>
    <w:rsid w:val="00765A35"/>
    <w:rsid w:val="00794029"/>
    <w:rsid w:val="00880CD9"/>
    <w:rsid w:val="00932628"/>
    <w:rsid w:val="009476BD"/>
    <w:rsid w:val="009512E1"/>
    <w:rsid w:val="0096681E"/>
    <w:rsid w:val="009718B8"/>
    <w:rsid w:val="0099488D"/>
    <w:rsid w:val="009A6072"/>
    <w:rsid w:val="009B256F"/>
    <w:rsid w:val="00A4487B"/>
    <w:rsid w:val="00A826CD"/>
    <w:rsid w:val="00A831C0"/>
    <w:rsid w:val="00AC1B76"/>
    <w:rsid w:val="00B26C06"/>
    <w:rsid w:val="00B31266"/>
    <w:rsid w:val="00B47995"/>
    <w:rsid w:val="00B71A50"/>
    <w:rsid w:val="00B93538"/>
    <w:rsid w:val="00C00E80"/>
    <w:rsid w:val="00C01EAF"/>
    <w:rsid w:val="00C570F5"/>
    <w:rsid w:val="00C71F7B"/>
    <w:rsid w:val="00CD4AA1"/>
    <w:rsid w:val="00CD5385"/>
    <w:rsid w:val="00CE28BD"/>
    <w:rsid w:val="00D263F3"/>
    <w:rsid w:val="00D35673"/>
    <w:rsid w:val="00D54151"/>
    <w:rsid w:val="00D71F93"/>
    <w:rsid w:val="00DD0E7B"/>
    <w:rsid w:val="00DD1786"/>
    <w:rsid w:val="00DE5381"/>
    <w:rsid w:val="00E21B19"/>
    <w:rsid w:val="00E85F11"/>
    <w:rsid w:val="00E94525"/>
    <w:rsid w:val="00F0667A"/>
    <w:rsid w:val="00F06EA7"/>
    <w:rsid w:val="00F340CC"/>
    <w:rsid w:val="00F54CC9"/>
    <w:rsid w:val="00F961BE"/>
    <w:rsid w:val="00FA3D5E"/>
    <w:rsid w:val="00FA76C8"/>
    <w:rsid w:val="00FC10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DCDD"/>
  <w15:chartTrackingRefBased/>
  <w15:docId w15:val="{EC21CF8E-100F-4986-ADE5-6AC3416E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3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058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1817</TotalTime>
  <Pages>7</Pages>
  <Words>3337</Words>
  <Characters>18357</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12</cp:revision>
  <dcterms:created xsi:type="dcterms:W3CDTF">2026-07-15T02:29:00Z</dcterms:created>
  <dcterms:modified xsi:type="dcterms:W3CDTF">2026-07-16T20:42:00Z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da51d2a6-bd44-4b64-9a99-dccd7ac1444f</vt:lpwstr>
  </property>
</Properties>
</file>