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4C0B" w:rsidRPr="003F4B66" w:rsidRDefault="003F4B66" w:rsidP="001A4B05">
      <w:pPr>
        <w:pStyle w:val="Prrafodelista"/>
        <w:numPr>
          <w:ilvl w:val="0"/>
          <w:numId w:val="1"/>
        </w:numPr>
        <w:jc w:val="both"/>
        <w:rPr>
          <w:rFonts w:ascii="Garamond" w:hAnsi="Garamond"/>
          <w:b/>
          <w:sz w:val="24"/>
          <w:szCs w:val="24"/>
          <w:lang w:val="es-MX"/>
        </w:rPr>
      </w:pPr>
      <w:r w:rsidRPr="003F4B66">
        <w:rPr>
          <w:rFonts w:ascii="Garamond" w:hAnsi="Garamond"/>
          <w:b/>
          <w:sz w:val="24"/>
          <w:szCs w:val="24"/>
          <w:lang w:val="es-MX"/>
        </w:rPr>
        <w:t>Metodología</w:t>
      </w:r>
    </w:p>
    <w:p w:rsidR="003F4B66" w:rsidRPr="003F4B66" w:rsidRDefault="003F4B66" w:rsidP="001A4B05">
      <w:pPr>
        <w:jc w:val="both"/>
        <w:rPr>
          <w:rFonts w:ascii="Garamond" w:hAnsi="Garamond"/>
          <w:b/>
          <w:sz w:val="24"/>
          <w:szCs w:val="24"/>
          <w:lang w:val="es-MX"/>
        </w:rPr>
      </w:pPr>
      <w:r w:rsidRPr="00315050">
        <w:rPr>
          <w:rFonts w:ascii="Garamond" w:hAnsi="Garamond"/>
          <w:b/>
          <w:sz w:val="24"/>
          <w:szCs w:val="24"/>
          <w:highlight w:val="yellow"/>
          <w:lang w:val="es-MX"/>
        </w:rPr>
        <w:t>[Descripción general]</w:t>
      </w:r>
    </w:p>
    <w:p w:rsidR="003F4B66" w:rsidRPr="003F4B66" w:rsidRDefault="003F4B66" w:rsidP="001A4B05">
      <w:pPr>
        <w:pStyle w:val="Prrafodelista"/>
        <w:numPr>
          <w:ilvl w:val="1"/>
          <w:numId w:val="1"/>
        </w:numPr>
        <w:jc w:val="both"/>
        <w:rPr>
          <w:rFonts w:ascii="Garamond" w:hAnsi="Garamond"/>
          <w:b/>
          <w:sz w:val="24"/>
          <w:szCs w:val="24"/>
          <w:lang w:val="es-MX"/>
        </w:rPr>
      </w:pPr>
      <w:r w:rsidRPr="003F4B66">
        <w:rPr>
          <w:rFonts w:ascii="Garamond" w:hAnsi="Garamond"/>
          <w:b/>
          <w:sz w:val="24"/>
          <w:szCs w:val="24"/>
          <w:lang w:val="es-MX"/>
        </w:rPr>
        <w:t xml:space="preserve"> Diseño del estudio</w:t>
      </w:r>
    </w:p>
    <w:p w:rsidR="003F4B66" w:rsidRPr="003F4B66" w:rsidRDefault="003F4B66" w:rsidP="001A4B05">
      <w:pPr>
        <w:spacing w:after="0" w:line="240" w:lineRule="auto"/>
        <w:jc w:val="both"/>
        <w:textAlignment w:val="baseline"/>
        <w:rPr>
          <w:rFonts w:ascii="Garamond" w:eastAsia="Times New Roman" w:hAnsi="Garamond" w:cs="Segoe UI"/>
          <w:sz w:val="24"/>
          <w:szCs w:val="24"/>
          <w:lang w:eastAsia="es-CO"/>
        </w:rPr>
      </w:pPr>
      <w:r w:rsidRPr="003F4B66">
        <w:rPr>
          <w:rFonts w:ascii="Garamond" w:eastAsia="Times New Roman" w:hAnsi="Garamond" w:cs="Segoe UI"/>
          <w:sz w:val="24"/>
          <w:szCs w:val="24"/>
          <w:lang w:eastAsia="es-CO"/>
        </w:rPr>
        <w:t>El diseño metodológico corresponde a un estudio cuantitativo aplicado de economía de alimentos. La unidad analítica para el costo de dietas es el individuo, mientras que la unidad de interpretación de asequibilidad es el hogar urbano. Esta distinción permite estimar dietas individualizadas para cada miembro del hogar representativo y luego agregar los costos al nivel familiar. El procedimiento evita asumir que todos los miembros del hogar comparten iguales requerimientos y permite capturar diferencias biológicas relevantes en energía, proteína, calcio, fósforo, zinc, vitamina B12 y otros nutrientes. </w:t>
      </w:r>
    </w:p>
    <w:p w:rsidR="003F4B66" w:rsidRPr="003F4B66" w:rsidRDefault="003F4B66" w:rsidP="001A4B05">
      <w:pPr>
        <w:spacing w:after="0" w:line="240" w:lineRule="auto"/>
        <w:jc w:val="both"/>
        <w:textAlignment w:val="baseline"/>
        <w:rPr>
          <w:rFonts w:ascii="Garamond" w:eastAsia="Times New Roman" w:hAnsi="Garamond" w:cs="Segoe UI"/>
          <w:sz w:val="24"/>
          <w:szCs w:val="24"/>
          <w:lang w:eastAsia="es-CO"/>
        </w:rPr>
      </w:pPr>
      <w:r w:rsidRPr="003F4B66">
        <w:rPr>
          <w:rFonts w:ascii="Garamond" w:eastAsia="Times New Roman" w:hAnsi="Garamond" w:cs="Segoe UI"/>
          <w:sz w:val="24"/>
          <w:szCs w:val="24"/>
          <w:lang w:eastAsia="es-CO"/>
        </w:rPr>
        <w:t> </w:t>
      </w:r>
    </w:p>
    <w:p w:rsidR="003F4B66" w:rsidRPr="003F4B66" w:rsidRDefault="003F4B66" w:rsidP="001A4B05">
      <w:pPr>
        <w:spacing w:after="0" w:line="240" w:lineRule="auto"/>
        <w:jc w:val="both"/>
        <w:textAlignment w:val="baseline"/>
        <w:rPr>
          <w:rFonts w:ascii="Garamond" w:eastAsia="Times New Roman" w:hAnsi="Garamond" w:cs="Segoe UI"/>
          <w:sz w:val="24"/>
          <w:szCs w:val="24"/>
          <w:lang w:eastAsia="es-CO"/>
        </w:rPr>
      </w:pPr>
      <w:r w:rsidRPr="003F4B66">
        <w:rPr>
          <w:rFonts w:ascii="Garamond" w:eastAsia="Times New Roman" w:hAnsi="Garamond" w:cs="Segoe UI"/>
          <w:sz w:val="24"/>
          <w:szCs w:val="24"/>
          <w:lang w:eastAsia="es-CO"/>
        </w:rPr>
        <w:t xml:space="preserve">El análisis se estructura en cuatro componentes, a saber, construcción de bases de precios y alimentos disponibles, armonización nutricional y </w:t>
      </w:r>
      <w:proofErr w:type="spellStart"/>
      <w:r w:rsidRPr="003F4B66">
        <w:rPr>
          <w:rFonts w:ascii="Garamond" w:eastAsia="Times New Roman" w:hAnsi="Garamond" w:cs="Segoe UI"/>
          <w:sz w:val="24"/>
          <w:szCs w:val="24"/>
          <w:lang w:eastAsia="es-CO"/>
        </w:rPr>
        <w:t>dietaria</w:t>
      </w:r>
      <w:proofErr w:type="spellEnd"/>
      <w:r w:rsidRPr="003F4B66">
        <w:rPr>
          <w:rFonts w:ascii="Garamond" w:eastAsia="Times New Roman" w:hAnsi="Garamond" w:cs="Segoe UI"/>
          <w:sz w:val="24"/>
          <w:szCs w:val="24"/>
          <w:lang w:eastAsia="es-CO"/>
        </w:rPr>
        <w:t>, estimación de costos mínimos mediante modelos de optimización y reglas de selección de alimentos, y evaluación de asequibilidad a partir de gasto e ingreso de los hogares.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7"/>
        <w:gridCol w:w="6145"/>
      </w:tblGrid>
      <w:tr w:rsidR="003F4B66" w:rsidRPr="003F4B66" w:rsidTr="003F4B66">
        <w:trPr>
          <w:trHeight w:val="300"/>
        </w:trPr>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b/>
                <w:bCs/>
                <w:sz w:val="24"/>
                <w:szCs w:val="24"/>
                <w:lang w:eastAsia="es-CO"/>
              </w:rPr>
              <w:t>Componente</w:t>
            </w:r>
            <w:r w:rsidRPr="003F4B66">
              <w:rPr>
                <w:rFonts w:ascii="Garamond" w:eastAsia="Times New Roman" w:hAnsi="Garamond" w:cs="Times New Roman"/>
                <w:sz w:val="24"/>
                <w:szCs w:val="24"/>
                <w:lang w:eastAsia="es-CO"/>
              </w:rPr>
              <w:t> </w:t>
            </w:r>
          </w:p>
        </w:tc>
        <w:tc>
          <w:tcPr>
            <w:tcW w:w="660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b/>
                <w:bCs/>
                <w:sz w:val="24"/>
                <w:szCs w:val="24"/>
                <w:lang w:eastAsia="es-CO"/>
              </w:rPr>
              <w:t>Descripción técnica</w:t>
            </w:r>
            <w:r w:rsidRPr="003F4B66">
              <w:rPr>
                <w:rFonts w:ascii="Garamond" w:eastAsia="Times New Roman" w:hAnsi="Garamond" w:cs="Times New Roman"/>
                <w:sz w:val="24"/>
                <w:szCs w:val="24"/>
                <w:lang w:eastAsia="es-CO"/>
              </w:rPr>
              <w:t> </w:t>
            </w:r>
          </w:p>
        </w:tc>
      </w:tr>
      <w:tr w:rsidR="003F4B66" w:rsidRPr="003F4B66" w:rsidTr="003F4B66">
        <w:trPr>
          <w:trHeight w:val="300"/>
        </w:trPr>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Precios y alimentos </w:t>
            </w:r>
          </w:p>
        </w:tc>
        <w:tc>
          <w:tcPr>
            <w:tcW w:w="660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Construcción de series mensuales de precios minoristas, con apoyo de IPC y procedimientos de extrapolación; revisión de información mayorista SIPSA para análisis complementario de transmisión. </w:t>
            </w:r>
          </w:p>
        </w:tc>
      </w:tr>
      <w:tr w:rsidR="003F4B66" w:rsidRPr="003F4B66" w:rsidTr="003F4B66">
        <w:trPr>
          <w:trHeight w:val="300"/>
        </w:trPr>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Composición nutricional </w:t>
            </w:r>
          </w:p>
        </w:tc>
        <w:tc>
          <w:tcPr>
            <w:tcW w:w="660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Homologación de alimentos con la TCAC y tratamiento de valores faltantes mediante emparejamiento e imputación técnica. </w:t>
            </w:r>
          </w:p>
        </w:tc>
      </w:tr>
      <w:tr w:rsidR="003F4B66" w:rsidRPr="003F4B66" w:rsidTr="003F4B66">
        <w:trPr>
          <w:trHeight w:val="300"/>
        </w:trPr>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Requerimientos </w:t>
            </w:r>
          </w:p>
        </w:tc>
        <w:tc>
          <w:tcPr>
            <w:tcW w:w="660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Definición de requerimientos energéticos y nutricionales según sexo, edad y características demográficas y antropométricas relevantes. </w:t>
            </w:r>
          </w:p>
        </w:tc>
      </w:tr>
      <w:tr w:rsidR="003F4B66" w:rsidRPr="003F4B66" w:rsidTr="003F4B66">
        <w:trPr>
          <w:trHeight w:val="300"/>
        </w:trPr>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Guías alimentarias </w:t>
            </w:r>
          </w:p>
        </w:tc>
        <w:tc>
          <w:tcPr>
            <w:tcW w:w="660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Uso de GABA para la clasificación de grupos y número de intercambios o porciones recomendadas. </w:t>
            </w:r>
          </w:p>
        </w:tc>
      </w:tr>
      <w:tr w:rsidR="003F4B66" w:rsidRPr="003F4B66" w:rsidTr="003F4B66">
        <w:trPr>
          <w:trHeight w:val="300"/>
        </w:trPr>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Asequibilidad </w:t>
            </w:r>
          </w:p>
        </w:tc>
        <w:tc>
          <w:tcPr>
            <w:tcW w:w="660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Comparación entre costo mínimo per cápita de la dieta del hogar representativo y gasto e ingreso per cápita en alimentación por decil. </w:t>
            </w:r>
          </w:p>
        </w:tc>
      </w:tr>
    </w:tbl>
    <w:p w:rsidR="003F4B66" w:rsidRPr="003F4B66" w:rsidRDefault="003F4B66" w:rsidP="001A4B05">
      <w:pPr>
        <w:spacing w:after="0" w:line="240" w:lineRule="auto"/>
        <w:jc w:val="both"/>
        <w:textAlignment w:val="baseline"/>
        <w:rPr>
          <w:rFonts w:ascii="Garamond" w:eastAsia="Times New Roman" w:hAnsi="Garamond" w:cs="Segoe UI"/>
          <w:sz w:val="24"/>
          <w:szCs w:val="24"/>
          <w:lang w:eastAsia="es-CO"/>
        </w:rPr>
      </w:pPr>
      <w:r w:rsidRPr="003F4B66">
        <w:rPr>
          <w:rFonts w:ascii="Garamond" w:eastAsia="Times New Roman" w:hAnsi="Garamond" w:cs="Segoe UI"/>
          <w:sz w:val="24"/>
          <w:szCs w:val="24"/>
          <w:lang w:eastAsia="es-CO"/>
        </w:rPr>
        <w:t> </w:t>
      </w:r>
    </w:p>
    <w:p w:rsidR="003F4B66" w:rsidRPr="003F4B66" w:rsidRDefault="003F4B66" w:rsidP="001A4B05">
      <w:pPr>
        <w:spacing w:after="0" w:line="240" w:lineRule="auto"/>
        <w:jc w:val="both"/>
        <w:textAlignment w:val="baseline"/>
        <w:rPr>
          <w:rFonts w:ascii="Garamond" w:eastAsia="Times New Roman" w:hAnsi="Garamond" w:cs="Segoe UI"/>
          <w:b/>
          <w:bCs/>
          <w:sz w:val="24"/>
          <w:szCs w:val="24"/>
          <w:lang w:eastAsia="es-CO"/>
        </w:rPr>
      </w:pPr>
    </w:p>
    <w:p w:rsidR="003F4B66" w:rsidRPr="003F4B66" w:rsidRDefault="003F4B66" w:rsidP="001A4B05">
      <w:pPr>
        <w:pStyle w:val="Prrafodelista"/>
        <w:numPr>
          <w:ilvl w:val="1"/>
          <w:numId w:val="1"/>
        </w:numPr>
        <w:spacing w:after="0" w:line="240" w:lineRule="auto"/>
        <w:jc w:val="both"/>
        <w:textAlignment w:val="baseline"/>
        <w:rPr>
          <w:rFonts w:ascii="Garamond" w:eastAsia="Times New Roman" w:hAnsi="Garamond" w:cs="Segoe UI"/>
          <w:sz w:val="24"/>
          <w:szCs w:val="24"/>
          <w:lang w:eastAsia="es-CO"/>
        </w:rPr>
      </w:pPr>
      <w:r>
        <w:rPr>
          <w:rFonts w:ascii="Garamond" w:eastAsia="Times New Roman" w:hAnsi="Garamond" w:cs="Segoe UI"/>
          <w:b/>
          <w:bCs/>
          <w:sz w:val="24"/>
          <w:szCs w:val="24"/>
          <w:lang w:eastAsia="es-CO"/>
        </w:rPr>
        <w:t xml:space="preserve"> </w:t>
      </w:r>
      <w:r w:rsidRPr="003F4B66">
        <w:rPr>
          <w:rFonts w:ascii="Garamond" w:eastAsia="Times New Roman" w:hAnsi="Garamond" w:cs="Segoe UI"/>
          <w:b/>
          <w:bCs/>
          <w:sz w:val="24"/>
          <w:szCs w:val="24"/>
          <w:lang w:eastAsia="es-CO"/>
        </w:rPr>
        <w:t>Fuentes de información</w:t>
      </w:r>
    </w:p>
    <w:p w:rsidR="003F4B66" w:rsidRDefault="003F4B66" w:rsidP="001A4B05">
      <w:pPr>
        <w:spacing w:after="0" w:line="240" w:lineRule="auto"/>
        <w:jc w:val="both"/>
        <w:textAlignment w:val="baseline"/>
        <w:rPr>
          <w:rFonts w:ascii="Garamond" w:eastAsia="Times New Roman" w:hAnsi="Garamond" w:cs="Segoe UI"/>
          <w:b/>
          <w:sz w:val="24"/>
          <w:szCs w:val="24"/>
          <w:highlight w:val="yellow"/>
          <w:lang w:eastAsia="es-CO"/>
        </w:rPr>
      </w:pPr>
      <w:r w:rsidRPr="00315050">
        <w:rPr>
          <w:rFonts w:ascii="Garamond" w:eastAsia="Times New Roman" w:hAnsi="Garamond" w:cs="Segoe UI"/>
          <w:b/>
          <w:sz w:val="24"/>
          <w:szCs w:val="24"/>
          <w:highlight w:val="yellow"/>
          <w:lang w:eastAsia="es-CO"/>
        </w:rPr>
        <w:t>[Párrafo de descripción]</w:t>
      </w:r>
    </w:p>
    <w:p w:rsidR="00315050" w:rsidRPr="003F4B66" w:rsidRDefault="00315050" w:rsidP="001A4B05">
      <w:pPr>
        <w:spacing w:after="0" w:line="240" w:lineRule="auto"/>
        <w:jc w:val="both"/>
        <w:textAlignment w:val="baseline"/>
        <w:rPr>
          <w:rFonts w:ascii="Garamond" w:eastAsia="Times New Roman" w:hAnsi="Garamond" w:cs="Segoe UI"/>
          <w:b/>
          <w:sz w:val="24"/>
          <w:szCs w:val="24"/>
          <w:lang w:eastAsia="es-CO"/>
        </w:rPr>
      </w:pPr>
      <w:r>
        <w:rPr>
          <w:rFonts w:ascii="Garamond" w:eastAsia="Times New Roman" w:hAnsi="Garamond" w:cs="Segoe UI"/>
          <w:b/>
          <w:sz w:val="24"/>
          <w:szCs w:val="24"/>
          <w:lang w:eastAsia="es-CO"/>
        </w:rPr>
        <w:t>[Añadir lo del mapeo del IPC]</w:t>
      </w:r>
    </w:p>
    <w:p w:rsidR="003F4B66" w:rsidRPr="003F4B66" w:rsidRDefault="003F4B66" w:rsidP="001A4B05">
      <w:pPr>
        <w:spacing w:after="0" w:line="240" w:lineRule="auto"/>
        <w:jc w:val="both"/>
        <w:textAlignment w:val="baseline"/>
        <w:rPr>
          <w:rFonts w:ascii="Garamond" w:eastAsia="Times New Roman" w:hAnsi="Garamond" w:cs="Segoe UI"/>
          <w:sz w:val="24"/>
          <w:szCs w:val="24"/>
          <w:lang w:eastAsia="es-CO"/>
        </w:rPr>
      </w:pPr>
      <w:r w:rsidRPr="003F4B66">
        <w:rPr>
          <w:rFonts w:ascii="Garamond" w:eastAsia="Times New Roman" w:hAnsi="Garamond" w:cs="Segoe UI"/>
          <w:sz w:val="24"/>
          <w:szCs w:val="24"/>
          <w:lang w:eastAsia="es-C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8"/>
        <w:gridCol w:w="4079"/>
        <w:gridCol w:w="2935"/>
      </w:tblGrid>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b/>
                <w:bCs/>
                <w:sz w:val="24"/>
                <w:szCs w:val="24"/>
                <w:lang w:eastAsia="es-CO"/>
              </w:rPr>
              <w:t>Fuente</w:t>
            </w:r>
            <w:r w:rsidRPr="003F4B66">
              <w:rPr>
                <w:rFonts w:ascii="Garamond" w:eastAsia="Times New Roman" w:hAnsi="Garamond" w:cs="Times New Roman"/>
                <w:sz w:val="24"/>
                <w:szCs w:val="24"/>
                <w:lang w:eastAsia="es-CO"/>
              </w:rPr>
              <w:t>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b/>
                <w:bCs/>
                <w:sz w:val="24"/>
                <w:szCs w:val="24"/>
                <w:lang w:eastAsia="es-CO"/>
              </w:rPr>
              <w:t>Uso en el proyecto</w:t>
            </w:r>
            <w:r w:rsidRPr="003F4B66">
              <w:rPr>
                <w:rFonts w:ascii="Garamond" w:eastAsia="Times New Roman" w:hAnsi="Garamond" w:cs="Times New Roman"/>
                <w:sz w:val="24"/>
                <w:szCs w:val="24"/>
                <w:lang w:eastAsia="es-CO"/>
              </w:rPr>
              <w:t>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b/>
                <w:bCs/>
                <w:sz w:val="24"/>
                <w:szCs w:val="24"/>
                <w:lang w:eastAsia="es-CO"/>
              </w:rPr>
              <w:t>Observación metodológica</w:t>
            </w:r>
            <w:r w:rsidRPr="003F4B66">
              <w:rPr>
                <w:rFonts w:ascii="Garamond" w:eastAsia="Times New Roman" w:hAnsi="Garamond" w:cs="Times New Roman"/>
                <w:sz w:val="24"/>
                <w:szCs w:val="24"/>
                <w:lang w:eastAsia="es-CO"/>
              </w:rPr>
              <w:t> </w:t>
            </w:r>
          </w:p>
        </w:tc>
      </w:tr>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DANE - IPC / precios minoristas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Construcción de precios minoristas urbanos para alimentos incluidos en la canasta representativa.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Base central para valorar alimentos a nivel de consumidor. </w:t>
            </w:r>
          </w:p>
        </w:tc>
      </w:tr>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DANE - SIPSA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Información de precios mayoristas y abastecimiento; soporte para análisis de transmisión de precios y correspondencia con IPC.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Permite evaluar relaciones mayorista-minorista y riesgos de extrapolación. </w:t>
            </w:r>
          </w:p>
        </w:tc>
      </w:tr>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lastRenderedPageBreak/>
              <w:t>TCAC 2018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Contenido de energía, macronutrientes y micronutrientes por alimento.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Se trabajó con precios por porción comestible o por 100 g para asegurar compatibilidad. </w:t>
            </w:r>
          </w:p>
        </w:tc>
      </w:tr>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GABA Colombia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 xml:space="preserve">Recomendaciones por grupos alimentarios para construir </w:t>
            </w:r>
            <w:proofErr w:type="spellStart"/>
            <w:r w:rsidRPr="003F4B66">
              <w:rPr>
                <w:rFonts w:ascii="Garamond" w:eastAsia="Times New Roman" w:hAnsi="Garamond" w:cs="Times New Roman"/>
                <w:sz w:val="24"/>
                <w:szCs w:val="24"/>
                <w:lang w:eastAsia="es-CO"/>
              </w:rPr>
              <w:t>CoRD</w:t>
            </w:r>
            <w:proofErr w:type="spellEnd"/>
            <w:r w:rsidRPr="003F4B66">
              <w:rPr>
                <w:rFonts w:ascii="Garamond" w:eastAsia="Times New Roman" w:hAnsi="Garamond" w:cs="Times New Roman"/>
                <w:sz w:val="24"/>
                <w:szCs w:val="24"/>
                <w:lang w:eastAsia="es-CO"/>
              </w:rPr>
              <w:t>.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Aporta la estructura normativa de dieta saludable recomendada. </w:t>
            </w:r>
          </w:p>
        </w:tc>
      </w:tr>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CNPV 2018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Definición del tamaño y composición del hogar representativo, y soporte demográfico.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Permite contextualizar la unidad familiar. </w:t>
            </w:r>
          </w:p>
        </w:tc>
      </w:tr>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ENSIN / SABE / RIEN / DRI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Requerimientos energéticos y nutricionales y parámetros antropométricos.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Apoya la diferenciación por edad, sexo y actividad física. </w:t>
            </w:r>
          </w:p>
        </w:tc>
      </w:tr>
      <w:tr w:rsidR="003F4B66" w:rsidRPr="003F4B66" w:rsidTr="003F4B66">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GEIH y ECV </w:t>
            </w:r>
          </w:p>
        </w:tc>
        <w:tc>
          <w:tcPr>
            <w:tcW w:w="4425"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Ingresos del hogar y distribución de gasto en alimentación. </w:t>
            </w:r>
          </w:p>
        </w:tc>
        <w:tc>
          <w:tcPr>
            <w:tcW w:w="3030" w:type="dxa"/>
            <w:tcBorders>
              <w:top w:val="single" w:sz="6" w:space="0" w:color="auto"/>
              <w:left w:val="single" w:sz="6" w:space="0" w:color="auto"/>
              <w:bottom w:val="single" w:sz="6" w:space="0" w:color="auto"/>
              <w:right w:val="single" w:sz="6" w:space="0" w:color="auto"/>
            </w:tcBorders>
            <w:shd w:val="clear" w:color="auto" w:fill="auto"/>
            <w:hideMark/>
          </w:tcPr>
          <w:p w:rsidR="003F4B66" w:rsidRPr="003F4B66" w:rsidRDefault="003F4B66" w:rsidP="001A4B05">
            <w:pPr>
              <w:spacing w:after="0" w:line="240" w:lineRule="auto"/>
              <w:jc w:val="both"/>
              <w:textAlignment w:val="baseline"/>
              <w:rPr>
                <w:rFonts w:ascii="Garamond" w:eastAsia="Times New Roman" w:hAnsi="Garamond" w:cs="Times New Roman"/>
                <w:sz w:val="24"/>
                <w:szCs w:val="24"/>
                <w:lang w:eastAsia="es-CO"/>
              </w:rPr>
            </w:pPr>
            <w:r w:rsidRPr="003F4B66">
              <w:rPr>
                <w:rFonts w:ascii="Garamond" w:eastAsia="Times New Roman" w:hAnsi="Garamond" w:cs="Times New Roman"/>
                <w:sz w:val="24"/>
                <w:szCs w:val="24"/>
                <w:lang w:eastAsia="es-CO"/>
              </w:rPr>
              <w:t>Base para medir no asequibilidad por deciles. </w:t>
            </w:r>
          </w:p>
        </w:tc>
      </w:tr>
    </w:tbl>
    <w:p w:rsidR="003F4B66" w:rsidRPr="003F4B66" w:rsidRDefault="003F4B66" w:rsidP="001A4B05">
      <w:pPr>
        <w:jc w:val="both"/>
        <w:rPr>
          <w:rFonts w:ascii="Garamond" w:hAnsi="Garamond"/>
          <w:b/>
          <w:sz w:val="24"/>
          <w:szCs w:val="24"/>
          <w:lang w:val="es-MX"/>
        </w:rPr>
      </w:pPr>
    </w:p>
    <w:p w:rsidR="003F4B66" w:rsidRDefault="003F4B66" w:rsidP="001A4B05">
      <w:pPr>
        <w:pStyle w:val="Prrafodelista"/>
        <w:numPr>
          <w:ilvl w:val="1"/>
          <w:numId w:val="1"/>
        </w:numPr>
        <w:jc w:val="both"/>
        <w:rPr>
          <w:rFonts w:ascii="Garamond" w:hAnsi="Garamond"/>
          <w:b/>
          <w:sz w:val="24"/>
          <w:szCs w:val="24"/>
          <w:lang w:val="es-MX"/>
        </w:rPr>
      </w:pPr>
      <w:r w:rsidRPr="003F4B66">
        <w:rPr>
          <w:rFonts w:ascii="Garamond" w:hAnsi="Garamond"/>
          <w:b/>
          <w:sz w:val="24"/>
          <w:szCs w:val="24"/>
          <w:lang w:val="es-MX"/>
        </w:rPr>
        <w:t xml:space="preserve"> Construcción</w:t>
      </w:r>
      <w:r w:rsidR="00910EE5">
        <w:rPr>
          <w:rFonts w:ascii="Garamond" w:hAnsi="Garamond"/>
          <w:b/>
          <w:sz w:val="24"/>
          <w:szCs w:val="24"/>
          <w:lang w:val="es-MX"/>
        </w:rPr>
        <w:t xml:space="preserve"> y </w:t>
      </w:r>
      <w:r w:rsidRPr="003F4B66">
        <w:rPr>
          <w:rFonts w:ascii="Garamond" w:hAnsi="Garamond"/>
          <w:b/>
          <w:sz w:val="24"/>
          <w:szCs w:val="24"/>
          <w:lang w:val="es-MX"/>
        </w:rPr>
        <w:t>extrapolación de precios minoristas</w:t>
      </w:r>
    </w:p>
    <w:p w:rsidR="003F4B66" w:rsidRDefault="003F4B66" w:rsidP="001A4B05">
      <w:pPr>
        <w:jc w:val="both"/>
        <w:rPr>
          <w:rFonts w:ascii="Garamond" w:hAnsi="Garamond"/>
          <w:sz w:val="24"/>
          <w:szCs w:val="24"/>
          <w:lang w:val="es-MX"/>
        </w:rPr>
      </w:pPr>
      <w:r>
        <w:rPr>
          <w:rFonts w:ascii="Garamond" w:hAnsi="Garamond"/>
          <w:sz w:val="24"/>
          <w:szCs w:val="24"/>
          <w:lang w:val="es-MX"/>
        </w:rPr>
        <w:t>Una dificultad central del proyecto fue la discontinuidad de las series de precios minoristas de alimentos necesarias para valorar las dietas de costo mínimo durante el horizonte de análisis. La serie de precios minoristas disponible cubre desde enero de 1999 hasta marzo de 2018, por lo cual se evaluaron diferentes metodologías para extender esta serie en el tiempo, hasta cubrir el período de estudio (desde enero de 1999 hasta diciembre de 2024). Las siguientes aproximaciones fueron evaluadas:</w:t>
      </w:r>
    </w:p>
    <w:p w:rsidR="003F4B66" w:rsidRPr="001A4B05" w:rsidRDefault="001A4B05" w:rsidP="001A4B05">
      <w:pPr>
        <w:pStyle w:val="Prrafodelista"/>
        <w:numPr>
          <w:ilvl w:val="2"/>
          <w:numId w:val="1"/>
        </w:numPr>
        <w:jc w:val="both"/>
        <w:rPr>
          <w:rFonts w:ascii="Garamond" w:hAnsi="Garamond"/>
          <w:b/>
          <w:i/>
          <w:sz w:val="24"/>
          <w:szCs w:val="24"/>
          <w:lang w:val="es-MX"/>
        </w:rPr>
      </w:pPr>
      <w:r>
        <w:rPr>
          <w:rFonts w:ascii="Garamond" w:hAnsi="Garamond"/>
          <w:b/>
          <w:i/>
          <w:sz w:val="24"/>
          <w:szCs w:val="24"/>
          <w:lang w:val="es-MX"/>
        </w:rPr>
        <w:t xml:space="preserve">Metodología A: </w:t>
      </w:r>
      <w:r w:rsidR="003F4B66" w:rsidRPr="001A4B05">
        <w:rPr>
          <w:rFonts w:ascii="Garamond" w:hAnsi="Garamond"/>
          <w:b/>
          <w:i/>
          <w:sz w:val="24"/>
          <w:szCs w:val="24"/>
          <w:lang w:val="es-MX"/>
        </w:rPr>
        <w:t>Extrapolación mediante el IPC</w:t>
      </w:r>
    </w:p>
    <w:p w:rsidR="00065FE4" w:rsidRDefault="003F4B66" w:rsidP="001A4B05">
      <w:pPr>
        <w:jc w:val="both"/>
        <w:rPr>
          <w:rFonts w:ascii="Garamond" w:hAnsi="Garamond"/>
          <w:sz w:val="24"/>
          <w:szCs w:val="24"/>
          <w:lang w:val="es-MX"/>
        </w:rPr>
      </w:pPr>
      <w:r>
        <w:rPr>
          <w:rFonts w:ascii="Garamond" w:hAnsi="Garamond"/>
          <w:sz w:val="24"/>
          <w:szCs w:val="24"/>
          <w:lang w:val="es-MX"/>
        </w:rPr>
        <w:t>Pa</w:t>
      </w:r>
      <w:bookmarkStart w:id="0" w:name="_GoBack"/>
      <w:bookmarkEnd w:id="0"/>
      <w:r>
        <w:rPr>
          <w:rFonts w:ascii="Garamond" w:hAnsi="Garamond"/>
          <w:sz w:val="24"/>
          <w:szCs w:val="24"/>
          <w:lang w:val="es-MX"/>
        </w:rPr>
        <w:t>ra estimar los precios minoristas hasta cubrir el período de estudio, se propone una estrategia basada en la variación mensual del IPC a nivel de subclase, con frecuencia mensual y con valores diferenciados por ciudad.</w:t>
      </w:r>
      <w:r w:rsidR="00065FE4">
        <w:rPr>
          <w:rFonts w:ascii="Garamond" w:hAnsi="Garamond"/>
          <w:sz w:val="24"/>
          <w:szCs w:val="24"/>
          <w:lang w:val="es-MX"/>
        </w:rPr>
        <w:t xml:space="preserve"> Sea </w:t>
      </w:r>
      <m:oMath>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i,c, τ</m:t>
            </m:r>
          </m:sub>
          <m:sup>
            <m:r>
              <w:rPr>
                <w:rFonts w:ascii="Cambria Math" w:hAnsi="Cambria Math"/>
                <w:sz w:val="24"/>
                <w:szCs w:val="24"/>
                <w:lang w:val="es-MX"/>
              </w:rPr>
              <m:t>obs</m:t>
            </m:r>
          </m:sup>
        </m:sSubSup>
      </m:oMath>
      <w:r w:rsidR="00065FE4">
        <w:rPr>
          <w:rFonts w:ascii="Garamond" w:eastAsiaTheme="minorEastAsia" w:hAnsi="Garamond"/>
          <w:sz w:val="24"/>
          <w:szCs w:val="24"/>
          <w:lang w:val="es-MX"/>
        </w:rPr>
        <w:t xml:space="preserve"> el último precio minorista observado del artículo </w:t>
      </w:r>
      <m:oMath>
        <m:r>
          <w:rPr>
            <w:rFonts w:ascii="Cambria Math" w:eastAsiaTheme="minorEastAsia" w:hAnsi="Cambria Math"/>
            <w:sz w:val="24"/>
            <w:szCs w:val="24"/>
            <w:lang w:val="es-MX"/>
          </w:rPr>
          <m:t>i</m:t>
        </m:r>
      </m:oMath>
      <w:r w:rsidR="00065FE4">
        <w:rPr>
          <w:rFonts w:ascii="Garamond" w:eastAsiaTheme="minorEastAsia" w:hAnsi="Garamond"/>
          <w:sz w:val="24"/>
          <w:szCs w:val="24"/>
          <w:lang w:val="es-MX"/>
        </w:rPr>
        <w:t xml:space="preserve"> en la ciudad </w:t>
      </w:r>
      <m:oMath>
        <m:r>
          <w:rPr>
            <w:rFonts w:ascii="Cambria Math" w:eastAsiaTheme="minorEastAsia" w:hAnsi="Cambria Math"/>
            <w:sz w:val="24"/>
            <w:szCs w:val="24"/>
            <w:lang w:val="es-MX"/>
          </w:rPr>
          <m:t>c</m:t>
        </m:r>
      </m:oMath>
      <w:r w:rsidR="00065FE4">
        <w:rPr>
          <w:rFonts w:ascii="Garamond" w:eastAsiaTheme="minorEastAsia" w:hAnsi="Garamond"/>
          <w:sz w:val="24"/>
          <w:szCs w:val="24"/>
          <w:lang w:val="es-MX"/>
        </w:rPr>
        <w:t xml:space="preserve"> en el período </w:t>
      </w:r>
      <m:oMath>
        <m:r>
          <w:rPr>
            <w:rFonts w:ascii="Cambria Math" w:hAnsi="Cambria Math"/>
            <w:sz w:val="24"/>
            <w:szCs w:val="24"/>
            <w:lang w:val="es-MX"/>
          </w:rPr>
          <m:t>τ</m:t>
        </m:r>
      </m:oMath>
      <w:r w:rsidR="00065FE4">
        <w:rPr>
          <w:rFonts w:ascii="Garamond" w:eastAsiaTheme="minorEastAsia" w:hAnsi="Garamond"/>
          <w:sz w:val="24"/>
          <w:szCs w:val="24"/>
          <w:lang w:val="es-MX"/>
        </w:rPr>
        <w:t xml:space="preserve">, y sea el </w:t>
      </w:r>
      <m:oMath>
        <m:sSub>
          <m:sSubPr>
            <m:ctrlPr>
              <w:rPr>
                <w:rFonts w:ascii="Cambria Math" w:hAnsi="Cambria Math"/>
                <w:i/>
                <w:sz w:val="24"/>
                <w:szCs w:val="24"/>
                <w:lang w:val="es-MX"/>
              </w:rPr>
            </m:ctrlPr>
          </m:sSubPr>
          <m:e>
            <m:r>
              <w:rPr>
                <w:rFonts w:ascii="Cambria Math" w:hAnsi="Cambria Math"/>
                <w:sz w:val="24"/>
                <w:szCs w:val="24"/>
                <w:lang w:val="es-MX"/>
              </w:rPr>
              <m:t>IPC</m:t>
            </m:r>
          </m:e>
          <m:sub>
            <m:r>
              <w:rPr>
                <w:rFonts w:ascii="Cambria Math" w:hAnsi="Cambria Math"/>
                <w:sz w:val="24"/>
                <w:szCs w:val="24"/>
                <w:lang w:val="es-MX"/>
              </w:rPr>
              <m:t>s</m:t>
            </m:r>
            <m:d>
              <m:dPr>
                <m:ctrlPr>
                  <w:rPr>
                    <w:rFonts w:ascii="Cambria Math" w:hAnsi="Cambria Math"/>
                    <w:i/>
                    <w:sz w:val="24"/>
                    <w:szCs w:val="24"/>
                    <w:lang w:val="es-MX"/>
                  </w:rPr>
                </m:ctrlPr>
              </m:dPr>
              <m:e>
                <m:r>
                  <w:rPr>
                    <w:rFonts w:ascii="Cambria Math" w:hAnsi="Cambria Math"/>
                    <w:sz w:val="24"/>
                    <w:szCs w:val="24"/>
                    <w:lang w:val="es-MX"/>
                  </w:rPr>
                  <m:t>i</m:t>
                </m:r>
              </m:e>
            </m:d>
            <m:r>
              <w:rPr>
                <w:rFonts w:ascii="Cambria Math" w:hAnsi="Cambria Math"/>
                <w:sz w:val="24"/>
                <w:szCs w:val="24"/>
                <w:lang w:val="es-MX"/>
              </w:rPr>
              <m:t>,c,t</m:t>
            </m:r>
          </m:sub>
        </m:sSub>
      </m:oMath>
      <w:r w:rsidR="00065FE4">
        <w:rPr>
          <w:rFonts w:ascii="Garamond" w:eastAsiaTheme="minorEastAsia" w:hAnsi="Garamond"/>
          <w:sz w:val="24"/>
          <w:szCs w:val="24"/>
          <w:lang w:val="es-MX"/>
        </w:rPr>
        <w:t xml:space="preserve"> el índice de precios de la subclase </w:t>
      </w:r>
      <m:oMath>
        <m:r>
          <w:rPr>
            <w:rFonts w:ascii="Cambria Math" w:hAnsi="Cambria Math"/>
            <w:sz w:val="24"/>
            <w:szCs w:val="24"/>
            <w:lang w:val="es-MX"/>
          </w:rPr>
          <m:t>s(i)</m:t>
        </m:r>
      </m:oMath>
      <w:r w:rsidR="00065FE4">
        <w:rPr>
          <w:rFonts w:ascii="Garamond" w:eastAsiaTheme="minorEastAsia" w:hAnsi="Garamond"/>
          <w:sz w:val="24"/>
          <w:szCs w:val="24"/>
          <w:lang w:val="es-MX"/>
        </w:rPr>
        <w:t xml:space="preserve"> a la que pertenece el artículo </w:t>
      </w:r>
      <m:oMath>
        <m:r>
          <w:rPr>
            <w:rFonts w:ascii="Cambria Math" w:hAnsi="Cambria Math"/>
            <w:sz w:val="24"/>
            <w:szCs w:val="24"/>
            <w:lang w:val="es-MX"/>
          </w:rPr>
          <m:t>i</m:t>
        </m:r>
      </m:oMath>
      <w:r w:rsidR="00065FE4">
        <w:rPr>
          <w:rFonts w:ascii="Garamond" w:eastAsiaTheme="minorEastAsia" w:hAnsi="Garamond"/>
          <w:sz w:val="24"/>
          <w:szCs w:val="24"/>
          <w:lang w:val="es-MX"/>
        </w:rPr>
        <w:t xml:space="preserve"> en la ciudad </w:t>
      </w:r>
      <m:oMath>
        <m:r>
          <w:rPr>
            <w:rFonts w:ascii="Cambria Math" w:eastAsiaTheme="minorEastAsia" w:hAnsi="Cambria Math"/>
            <w:sz w:val="24"/>
            <w:szCs w:val="24"/>
            <w:lang w:val="es-MX"/>
          </w:rPr>
          <m:t>c</m:t>
        </m:r>
      </m:oMath>
      <w:r w:rsidR="00065FE4">
        <w:rPr>
          <w:rFonts w:ascii="Garamond" w:eastAsiaTheme="minorEastAsia" w:hAnsi="Garamond"/>
          <w:sz w:val="24"/>
          <w:szCs w:val="24"/>
          <w:lang w:val="es-MX"/>
        </w:rPr>
        <w:t xml:space="preserve"> en el período </w:t>
      </w:r>
      <m:oMath>
        <m:r>
          <w:rPr>
            <w:rFonts w:ascii="Cambria Math" w:eastAsiaTheme="minorEastAsia" w:hAnsi="Cambria Math"/>
            <w:sz w:val="24"/>
            <w:szCs w:val="24"/>
            <w:lang w:val="es-MX"/>
          </w:rPr>
          <m:t>t</m:t>
        </m:r>
      </m:oMath>
      <w:r w:rsidR="00065FE4">
        <w:rPr>
          <w:rFonts w:ascii="Garamond" w:eastAsiaTheme="minorEastAsia" w:hAnsi="Garamond"/>
          <w:sz w:val="24"/>
          <w:szCs w:val="24"/>
          <w:lang w:val="es-MX"/>
        </w:rPr>
        <w:t xml:space="preserve">. El precio para cualquier periodo </w:t>
      </w:r>
      <m:oMath>
        <m:r>
          <w:rPr>
            <w:rFonts w:ascii="Cambria Math" w:eastAsiaTheme="minorEastAsia" w:hAnsi="Cambria Math"/>
            <w:sz w:val="24"/>
            <w:szCs w:val="24"/>
            <w:lang w:val="es-MX"/>
          </w:rPr>
          <m:t>t&gt;</m:t>
        </m:r>
        <m:r>
          <w:rPr>
            <w:rFonts w:ascii="Cambria Math" w:hAnsi="Cambria Math"/>
            <w:sz w:val="24"/>
            <w:szCs w:val="24"/>
            <w:lang w:val="es-MX"/>
          </w:rPr>
          <m:t>τ</m:t>
        </m:r>
      </m:oMath>
      <w:r w:rsidR="00065FE4">
        <w:rPr>
          <w:rFonts w:ascii="Garamond" w:eastAsiaTheme="minorEastAsia" w:hAnsi="Garamond"/>
          <w:sz w:val="24"/>
          <w:szCs w:val="24"/>
          <w:lang w:val="es-MX"/>
        </w:rPr>
        <w:t xml:space="preserve"> se obtiene mediante</w:t>
      </w:r>
    </w:p>
    <w:p w:rsidR="00065FE4" w:rsidRPr="00065FE4" w:rsidRDefault="00B32201" w:rsidP="001A4B05">
      <w:pPr>
        <w:jc w:val="both"/>
        <w:rPr>
          <w:rFonts w:ascii="Garamond" w:eastAsiaTheme="minorEastAsia" w:hAnsi="Garamond"/>
          <w:sz w:val="24"/>
          <w:szCs w:val="24"/>
          <w:lang w:val="es-MX"/>
        </w:rPr>
      </w:pPr>
      <m:oMathPara>
        <m:oMath>
          <m:sSub>
            <m:sSubPr>
              <m:ctrlPr>
                <w:rPr>
                  <w:rFonts w:ascii="Cambria Math" w:hAnsi="Cambria Math"/>
                  <w:i/>
                  <w:sz w:val="24"/>
                  <w:szCs w:val="24"/>
                  <w:lang w:val="es-MX"/>
                </w:rPr>
              </m:ctrlPr>
            </m:sSubPr>
            <m:e>
              <m:acc>
                <m:accPr>
                  <m:ctrlPr>
                    <w:rPr>
                      <w:rFonts w:ascii="Cambria Math" w:hAnsi="Cambria Math"/>
                      <w:i/>
                      <w:sz w:val="24"/>
                      <w:szCs w:val="24"/>
                      <w:lang w:val="es-MX"/>
                    </w:rPr>
                  </m:ctrlPr>
                </m:accPr>
                <m:e>
                  <m:r>
                    <w:rPr>
                      <w:rFonts w:ascii="Cambria Math" w:hAnsi="Cambria Math"/>
                      <w:sz w:val="24"/>
                      <w:szCs w:val="24"/>
                      <w:lang w:val="es-MX"/>
                    </w:rPr>
                    <m:t>p</m:t>
                  </m:r>
                </m:e>
              </m:acc>
            </m:e>
            <m:sub>
              <m:r>
                <w:rPr>
                  <w:rFonts w:ascii="Cambria Math" w:hAnsi="Cambria Math"/>
                  <w:sz w:val="24"/>
                  <w:szCs w:val="24"/>
                  <w:lang w:val="es-MX"/>
                </w:rPr>
                <m:t>ict</m:t>
              </m:r>
            </m:sub>
          </m:sSub>
          <m:r>
            <w:rPr>
              <w:rFonts w:ascii="Cambria Math" w:hAnsi="Cambria Math"/>
              <w:sz w:val="24"/>
              <w:szCs w:val="24"/>
              <w:lang w:val="es-MX"/>
            </w:rPr>
            <m:t>=</m:t>
          </m:r>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i,c, τ</m:t>
              </m:r>
            </m:sub>
            <m:sup>
              <m:r>
                <w:rPr>
                  <w:rFonts w:ascii="Cambria Math" w:hAnsi="Cambria Math"/>
                  <w:sz w:val="24"/>
                  <w:szCs w:val="24"/>
                  <w:lang w:val="es-MX"/>
                </w:rPr>
                <m:t>obs</m:t>
              </m:r>
            </m:sup>
          </m:sSubSup>
          <m:r>
            <w:rPr>
              <w:rFonts w:ascii="Cambria Math" w:hAnsi="Cambria Math"/>
              <w:sz w:val="24"/>
              <w:szCs w:val="24"/>
              <w:lang w:val="es-MX"/>
            </w:rPr>
            <m:t>×</m:t>
          </m:r>
          <m:nary>
            <m:naryPr>
              <m:chr m:val="∏"/>
              <m:limLoc m:val="undOvr"/>
              <m:ctrlPr>
                <w:rPr>
                  <w:rFonts w:ascii="Cambria Math" w:hAnsi="Cambria Math"/>
                  <w:i/>
                  <w:sz w:val="24"/>
                  <w:szCs w:val="24"/>
                  <w:lang w:val="es-MX"/>
                </w:rPr>
              </m:ctrlPr>
            </m:naryPr>
            <m:sub>
              <m:r>
                <w:rPr>
                  <w:rFonts w:ascii="Cambria Math" w:hAnsi="Cambria Math"/>
                  <w:sz w:val="24"/>
                  <w:szCs w:val="24"/>
                  <w:lang w:val="es-MX"/>
                </w:rPr>
                <m:t>k=τ</m:t>
              </m:r>
            </m:sub>
            <m:sup>
              <m:r>
                <w:rPr>
                  <w:rFonts w:ascii="Cambria Math" w:hAnsi="Cambria Math"/>
                  <w:sz w:val="24"/>
                  <w:szCs w:val="24"/>
                  <w:lang w:val="es-MX"/>
                </w:rPr>
                <m:t>t-1</m:t>
              </m:r>
            </m:sup>
            <m:e>
              <m:r>
                <w:rPr>
                  <w:rFonts w:ascii="Cambria Math" w:hAnsi="Cambria Math"/>
                  <w:sz w:val="24"/>
                  <w:szCs w:val="24"/>
                  <w:lang w:val="es-MX"/>
                </w:rPr>
                <m:t>(1+</m:t>
              </m:r>
              <m:sSub>
                <m:sSubPr>
                  <m:ctrlPr>
                    <w:rPr>
                      <w:rFonts w:ascii="Cambria Math" w:hAnsi="Cambria Math"/>
                      <w:i/>
                      <w:sz w:val="24"/>
                      <w:szCs w:val="24"/>
                      <w:lang w:val="es-MX"/>
                    </w:rPr>
                  </m:ctrlPr>
                </m:sSubPr>
                <m:e>
                  <m:r>
                    <w:rPr>
                      <w:rFonts w:ascii="Cambria Math" w:hAnsi="Cambria Math"/>
                      <w:sz w:val="24"/>
                      <w:szCs w:val="24"/>
                      <w:lang w:val="es-MX"/>
                    </w:rPr>
                    <m:t>π</m:t>
                  </m:r>
                </m:e>
                <m:sub>
                  <m:r>
                    <w:rPr>
                      <w:rFonts w:ascii="Cambria Math" w:hAnsi="Cambria Math"/>
                      <w:sz w:val="24"/>
                      <w:szCs w:val="24"/>
                      <w:lang w:val="es-MX"/>
                    </w:rPr>
                    <m:t>s</m:t>
                  </m:r>
                  <m:d>
                    <m:dPr>
                      <m:ctrlPr>
                        <w:rPr>
                          <w:rFonts w:ascii="Cambria Math" w:hAnsi="Cambria Math"/>
                          <w:i/>
                          <w:sz w:val="24"/>
                          <w:szCs w:val="24"/>
                          <w:lang w:val="es-MX"/>
                        </w:rPr>
                      </m:ctrlPr>
                    </m:dPr>
                    <m:e>
                      <m:r>
                        <w:rPr>
                          <w:rFonts w:ascii="Cambria Math" w:hAnsi="Cambria Math"/>
                          <w:sz w:val="24"/>
                          <w:szCs w:val="24"/>
                          <w:lang w:val="es-MX"/>
                        </w:rPr>
                        <m:t>i</m:t>
                      </m:r>
                    </m:e>
                  </m:d>
                  <m:r>
                    <w:rPr>
                      <w:rFonts w:ascii="Cambria Math" w:hAnsi="Cambria Math"/>
                      <w:sz w:val="24"/>
                      <w:szCs w:val="24"/>
                      <w:lang w:val="es-MX"/>
                    </w:rPr>
                    <m:t>,c,k+1</m:t>
                  </m:r>
                </m:sub>
              </m:sSub>
              <m:r>
                <w:rPr>
                  <w:rFonts w:ascii="Cambria Math" w:hAnsi="Cambria Math"/>
                  <w:sz w:val="24"/>
                  <w:szCs w:val="24"/>
                  <w:lang w:val="es-MX"/>
                </w:rPr>
                <m:t>)</m:t>
              </m:r>
            </m:e>
          </m:nary>
        </m:oMath>
      </m:oMathPara>
    </w:p>
    <w:p w:rsidR="00065FE4" w:rsidRDefault="00065FE4" w:rsidP="001A4B05">
      <w:pPr>
        <w:jc w:val="both"/>
        <w:rPr>
          <w:rFonts w:ascii="Garamond" w:hAnsi="Garamond"/>
          <w:sz w:val="24"/>
          <w:szCs w:val="24"/>
          <w:lang w:val="es-MX"/>
        </w:rPr>
      </w:pPr>
      <w:r>
        <w:rPr>
          <w:rFonts w:ascii="Garamond" w:hAnsi="Garamond"/>
          <w:sz w:val="24"/>
          <w:szCs w:val="24"/>
          <w:lang w:val="es-MX"/>
        </w:rPr>
        <w:t>Donde la variación mensual del IPC de la subclase se define como:</w:t>
      </w:r>
    </w:p>
    <w:p w:rsidR="00065FE4" w:rsidRPr="00065FE4" w:rsidRDefault="00B32201" w:rsidP="001A4B05">
      <w:pPr>
        <w:jc w:val="both"/>
        <w:rPr>
          <w:rFonts w:ascii="Garamond" w:eastAsiaTheme="minorEastAsia" w:hAnsi="Garamond"/>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π</m:t>
              </m:r>
            </m:e>
            <m:sub>
              <m:r>
                <w:rPr>
                  <w:rFonts w:ascii="Cambria Math" w:hAnsi="Cambria Math"/>
                  <w:sz w:val="24"/>
                  <w:szCs w:val="24"/>
                  <w:lang w:val="es-MX"/>
                </w:rPr>
                <m:t>s</m:t>
              </m:r>
              <m:d>
                <m:dPr>
                  <m:ctrlPr>
                    <w:rPr>
                      <w:rFonts w:ascii="Cambria Math" w:hAnsi="Cambria Math"/>
                      <w:i/>
                      <w:sz w:val="24"/>
                      <w:szCs w:val="24"/>
                      <w:lang w:val="es-MX"/>
                    </w:rPr>
                  </m:ctrlPr>
                </m:dPr>
                <m:e>
                  <m:r>
                    <w:rPr>
                      <w:rFonts w:ascii="Cambria Math" w:hAnsi="Cambria Math"/>
                      <w:sz w:val="24"/>
                      <w:szCs w:val="24"/>
                      <w:lang w:val="es-MX"/>
                    </w:rPr>
                    <m:t>i</m:t>
                  </m:r>
                </m:e>
              </m:d>
              <m:r>
                <w:rPr>
                  <w:rFonts w:ascii="Cambria Math" w:hAnsi="Cambria Math"/>
                  <w:sz w:val="24"/>
                  <w:szCs w:val="24"/>
                  <w:lang w:val="es-MX"/>
                </w:rPr>
                <m:t>,c,k+1</m:t>
              </m:r>
            </m:sub>
          </m:sSub>
          <m:r>
            <w:rPr>
              <w:rFonts w:ascii="Cambria Math" w:hAnsi="Cambria Math"/>
              <w:sz w:val="24"/>
              <w:szCs w:val="24"/>
              <w:lang w:val="es-MX"/>
            </w:rPr>
            <m:t xml:space="preserve">= </m:t>
          </m:r>
          <m:f>
            <m:fPr>
              <m:ctrlPr>
                <w:rPr>
                  <w:rFonts w:ascii="Cambria Math" w:hAnsi="Cambria Math"/>
                  <w:i/>
                  <w:sz w:val="24"/>
                  <w:szCs w:val="24"/>
                  <w:lang w:val="es-MX"/>
                </w:rPr>
              </m:ctrlPr>
            </m:fPr>
            <m:num>
              <m:sSub>
                <m:sSubPr>
                  <m:ctrlPr>
                    <w:rPr>
                      <w:rFonts w:ascii="Cambria Math" w:hAnsi="Cambria Math"/>
                      <w:i/>
                      <w:sz w:val="24"/>
                      <w:szCs w:val="24"/>
                      <w:lang w:val="es-MX"/>
                    </w:rPr>
                  </m:ctrlPr>
                </m:sSubPr>
                <m:e>
                  <m:r>
                    <w:rPr>
                      <w:rFonts w:ascii="Cambria Math" w:hAnsi="Cambria Math"/>
                      <w:sz w:val="24"/>
                      <w:szCs w:val="24"/>
                      <w:lang w:val="es-MX"/>
                    </w:rPr>
                    <m:t>IPC</m:t>
                  </m:r>
                </m:e>
                <m:sub>
                  <m:r>
                    <w:rPr>
                      <w:rFonts w:ascii="Cambria Math" w:hAnsi="Cambria Math"/>
                      <w:sz w:val="24"/>
                      <w:szCs w:val="24"/>
                      <w:lang w:val="es-MX"/>
                    </w:rPr>
                    <m:t>s</m:t>
                  </m:r>
                  <m:d>
                    <m:dPr>
                      <m:ctrlPr>
                        <w:rPr>
                          <w:rFonts w:ascii="Cambria Math" w:hAnsi="Cambria Math"/>
                          <w:i/>
                          <w:sz w:val="24"/>
                          <w:szCs w:val="24"/>
                          <w:lang w:val="es-MX"/>
                        </w:rPr>
                      </m:ctrlPr>
                    </m:dPr>
                    <m:e>
                      <m:r>
                        <w:rPr>
                          <w:rFonts w:ascii="Cambria Math" w:hAnsi="Cambria Math"/>
                          <w:sz w:val="24"/>
                          <w:szCs w:val="24"/>
                          <w:lang w:val="es-MX"/>
                        </w:rPr>
                        <m:t>i</m:t>
                      </m:r>
                    </m:e>
                  </m:d>
                  <m:r>
                    <w:rPr>
                      <w:rFonts w:ascii="Cambria Math" w:hAnsi="Cambria Math"/>
                      <w:sz w:val="24"/>
                      <w:szCs w:val="24"/>
                      <w:lang w:val="es-MX"/>
                    </w:rPr>
                    <m:t>,c,t</m:t>
                  </m:r>
                </m:sub>
              </m:sSub>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IPC</m:t>
                  </m:r>
                </m:e>
                <m:sub>
                  <m:r>
                    <w:rPr>
                      <w:rFonts w:ascii="Cambria Math" w:hAnsi="Cambria Math"/>
                      <w:sz w:val="24"/>
                      <w:szCs w:val="24"/>
                      <w:lang w:val="es-MX"/>
                    </w:rPr>
                    <m:t>s</m:t>
                  </m:r>
                  <m:d>
                    <m:dPr>
                      <m:ctrlPr>
                        <w:rPr>
                          <w:rFonts w:ascii="Cambria Math" w:hAnsi="Cambria Math"/>
                          <w:i/>
                          <w:sz w:val="24"/>
                          <w:szCs w:val="24"/>
                          <w:lang w:val="es-MX"/>
                        </w:rPr>
                      </m:ctrlPr>
                    </m:dPr>
                    <m:e>
                      <m:r>
                        <w:rPr>
                          <w:rFonts w:ascii="Cambria Math" w:hAnsi="Cambria Math"/>
                          <w:sz w:val="24"/>
                          <w:szCs w:val="24"/>
                          <w:lang w:val="es-MX"/>
                        </w:rPr>
                        <m:t>i</m:t>
                      </m:r>
                    </m:e>
                  </m:d>
                  <m:r>
                    <w:rPr>
                      <w:rFonts w:ascii="Cambria Math" w:hAnsi="Cambria Math"/>
                      <w:sz w:val="24"/>
                      <w:szCs w:val="24"/>
                      <w:lang w:val="es-MX"/>
                    </w:rPr>
                    <m:t>,c,t-1</m:t>
                  </m:r>
                </m:sub>
              </m:sSub>
            </m:num>
            <m:den>
              <m:sSub>
                <m:sSubPr>
                  <m:ctrlPr>
                    <w:rPr>
                      <w:rFonts w:ascii="Cambria Math" w:hAnsi="Cambria Math"/>
                      <w:i/>
                      <w:sz w:val="24"/>
                      <w:szCs w:val="24"/>
                      <w:lang w:val="es-MX"/>
                    </w:rPr>
                  </m:ctrlPr>
                </m:sSubPr>
                <m:e>
                  <m:r>
                    <w:rPr>
                      <w:rFonts w:ascii="Cambria Math" w:hAnsi="Cambria Math"/>
                      <w:sz w:val="24"/>
                      <w:szCs w:val="24"/>
                      <w:lang w:val="es-MX"/>
                    </w:rPr>
                    <m:t>IPC</m:t>
                  </m:r>
                </m:e>
                <m:sub>
                  <m:r>
                    <w:rPr>
                      <w:rFonts w:ascii="Cambria Math" w:hAnsi="Cambria Math"/>
                      <w:sz w:val="24"/>
                      <w:szCs w:val="24"/>
                      <w:lang w:val="es-MX"/>
                    </w:rPr>
                    <m:t>s</m:t>
                  </m:r>
                  <m:d>
                    <m:dPr>
                      <m:ctrlPr>
                        <w:rPr>
                          <w:rFonts w:ascii="Cambria Math" w:hAnsi="Cambria Math"/>
                          <w:i/>
                          <w:sz w:val="24"/>
                          <w:szCs w:val="24"/>
                          <w:lang w:val="es-MX"/>
                        </w:rPr>
                      </m:ctrlPr>
                    </m:dPr>
                    <m:e>
                      <m:r>
                        <w:rPr>
                          <w:rFonts w:ascii="Cambria Math" w:hAnsi="Cambria Math"/>
                          <w:sz w:val="24"/>
                          <w:szCs w:val="24"/>
                          <w:lang w:val="es-MX"/>
                        </w:rPr>
                        <m:t>i</m:t>
                      </m:r>
                    </m:e>
                  </m:d>
                  <m:r>
                    <w:rPr>
                      <w:rFonts w:ascii="Cambria Math" w:hAnsi="Cambria Math"/>
                      <w:sz w:val="24"/>
                      <w:szCs w:val="24"/>
                      <w:lang w:val="es-MX"/>
                    </w:rPr>
                    <m:t>,c,t-1</m:t>
                  </m:r>
                </m:sub>
              </m:sSub>
            </m:den>
          </m:f>
        </m:oMath>
      </m:oMathPara>
    </w:p>
    <w:p w:rsidR="00F3698A" w:rsidRPr="001A4B05" w:rsidRDefault="00065FE4" w:rsidP="001A4B05">
      <w:pPr>
        <w:jc w:val="both"/>
        <w:rPr>
          <w:rFonts w:ascii="Garamond" w:eastAsiaTheme="minorEastAsia" w:hAnsi="Garamond"/>
          <w:sz w:val="24"/>
          <w:szCs w:val="24"/>
          <w:lang w:val="es-MX"/>
        </w:rPr>
      </w:pPr>
      <w:r>
        <w:rPr>
          <w:rFonts w:ascii="Garamond" w:hAnsi="Garamond"/>
          <w:sz w:val="24"/>
          <w:szCs w:val="24"/>
          <w:lang w:val="es-MX"/>
        </w:rPr>
        <w:t xml:space="preserve">El procedimiento supone que el precio relativo del artículo </w:t>
      </w:r>
      <m:oMath>
        <m:r>
          <w:rPr>
            <w:rFonts w:ascii="Cambria Math" w:hAnsi="Cambria Math"/>
            <w:sz w:val="24"/>
            <w:szCs w:val="24"/>
            <w:lang w:val="es-MX"/>
          </w:rPr>
          <m:t>i</m:t>
        </m:r>
      </m:oMath>
      <w:r>
        <w:rPr>
          <w:rFonts w:ascii="Garamond" w:eastAsiaTheme="minorEastAsia" w:hAnsi="Garamond"/>
          <w:sz w:val="24"/>
          <w:szCs w:val="24"/>
          <w:lang w:val="es-MX"/>
        </w:rPr>
        <w:t xml:space="preserve"> dentro de su subclase </w:t>
      </w:r>
      <m:oMath>
        <m:r>
          <w:rPr>
            <w:rFonts w:ascii="Cambria Math" w:hAnsi="Cambria Math"/>
            <w:sz w:val="24"/>
            <w:szCs w:val="24"/>
            <w:lang w:val="es-MX"/>
          </w:rPr>
          <m:t>s(i)</m:t>
        </m:r>
      </m:oMath>
      <w:r>
        <w:rPr>
          <w:rFonts w:ascii="Garamond" w:eastAsiaTheme="minorEastAsia" w:hAnsi="Garamond"/>
          <w:sz w:val="24"/>
          <w:szCs w:val="24"/>
          <w:lang w:val="es-MX"/>
        </w:rPr>
        <w:t xml:space="preserve"> permanece constante a lo largo del horizonte de extrapolación, de modo tal que la dinámica de precios del artículo sigue completamente la del agregado de su categoría.</w:t>
      </w:r>
      <w:r w:rsidR="005C64FC">
        <w:rPr>
          <w:rFonts w:ascii="Garamond" w:eastAsiaTheme="minorEastAsia" w:hAnsi="Garamond"/>
          <w:sz w:val="24"/>
          <w:szCs w:val="24"/>
          <w:lang w:val="es-MX"/>
        </w:rPr>
        <w:t xml:space="preserve"> La fuente del IPC a nivel de subclase corresponde a la División (Alimentos y bebidas no alcohólicas) de la clasificación COICOP (DANE, 2018).</w:t>
      </w:r>
    </w:p>
    <w:p w:rsidR="003F4B66" w:rsidRPr="001A4B05" w:rsidRDefault="001A4B05" w:rsidP="001A4B05">
      <w:pPr>
        <w:pStyle w:val="Prrafodelista"/>
        <w:numPr>
          <w:ilvl w:val="2"/>
          <w:numId w:val="1"/>
        </w:numPr>
        <w:jc w:val="both"/>
        <w:rPr>
          <w:rFonts w:ascii="Garamond" w:hAnsi="Garamond"/>
          <w:b/>
          <w:i/>
          <w:sz w:val="24"/>
          <w:szCs w:val="24"/>
          <w:lang w:val="es-MX"/>
        </w:rPr>
      </w:pPr>
      <w:r>
        <w:rPr>
          <w:rFonts w:ascii="Garamond" w:hAnsi="Garamond"/>
          <w:b/>
          <w:i/>
          <w:sz w:val="24"/>
          <w:szCs w:val="24"/>
          <w:lang w:val="es-MX"/>
        </w:rPr>
        <w:lastRenderedPageBreak/>
        <w:t xml:space="preserve">Metodología B: </w:t>
      </w:r>
      <w:r w:rsidR="003F4B66" w:rsidRPr="001A4B05">
        <w:rPr>
          <w:rFonts w:ascii="Garamond" w:hAnsi="Garamond"/>
          <w:b/>
          <w:i/>
          <w:sz w:val="24"/>
          <w:szCs w:val="24"/>
          <w:lang w:val="es-MX"/>
        </w:rPr>
        <w:t>Estimación de márgenes de comercialización implícitos</w:t>
      </w:r>
    </w:p>
    <w:p w:rsidR="00C11379" w:rsidRDefault="001A4B05" w:rsidP="001A4B05">
      <w:pPr>
        <w:jc w:val="both"/>
        <w:rPr>
          <w:rFonts w:ascii="Garamond" w:hAnsi="Garamond"/>
          <w:sz w:val="24"/>
          <w:szCs w:val="24"/>
          <w:lang w:val="es-MX"/>
        </w:rPr>
      </w:pPr>
      <w:r>
        <w:rPr>
          <w:rFonts w:ascii="Garamond" w:hAnsi="Garamond"/>
          <w:sz w:val="24"/>
          <w:szCs w:val="24"/>
          <w:lang w:val="es-MX"/>
        </w:rPr>
        <w:t>A diferencia de la metodología anterior, la metodología B construye el precio minorista de forma independiente para cada período, con base en los datos de precios mayoristas reportados por el Sistema de Información de Precios del Sector Agropecuario (SIPSA) y de un margen de comercialización estimado históricamente para cada alimento. Esta metodología, en consecuencia, no requiere un precio minorista “ancla” ni depende de la continuidad temporal de la serie.</w:t>
      </w:r>
    </w:p>
    <w:p w:rsidR="001A4B05" w:rsidRDefault="001A4B05" w:rsidP="001A4B05">
      <w:pPr>
        <w:jc w:val="both"/>
        <w:rPr>
          <w:rFonts w:ascii="Garamond" w:eastAsiaTheme="minorEastAsia" w:hAnsi="Garamond"/>
          <w:sz w:val="24"/>
          <w:szCs w:val="24"/>
          <w:lang w:val="es-MX"/>
        </w:rPr>
      </w:pPr>
      <w:r>
        <w:rPr>
          <w:rFonts w:ascii="Garamond" w:hAnsi="Garamond"/>
          <w:sz w:val="24"/>
          <w:szCs w:val="24"/>
          <w:lang w:val="es-MX"/>
        </w:rPr>
        <w:t xml:space="preserve">Para cada alimento </w:t>
      </w:r>
      <m:oMath>
        <m:r>
          <w:rPr>
            <w:rFonts w:ascii="Cambria Math" w:hAnsi="Cambria Math"/>
            <w:sz w:val="24"/>
            <w:szCs w:val="24"/>
            <w:lang w:val="es-MX"/>
          </w:rPr>
          <m:t>k</m:t>
        </m:r>
      </m:oMath>
      <w:r>
        <w:rPr>
          <w:rFonts w:ascii="Garamond" w:eastAsiaTheme="minorEastAsia" w:hAnsi="Garamond"/>
          <w:sz w:val="24"/>
          <w:szCs w:val="24"/>
          <w:lang w:val="es-MX"/>
        </w:rPr>
        <w:t xml:space="preserve"> en los períodos en que se dispone simultáneamente de precio minorista observado, </w:t>
      </w:r>
      <m:oMath>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oMath>
      <w:r>
        <w:rPr>
          <w:rFonts w:ascii="Garamond" w:eastAsiaTheme="minorEastAsia" w:hAnsi="Garamond"/>
          <w:sz w:val="24"/>
          <w:szCs w:val="24"/>
          <w:lang w:val="es-MX"/>
        </w:rPr>
        <w:t xml:space="preserve">, y precio mayorista de SIPSA, </w:t>
      </w:r>
      <m:oMath>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oMath>
      <w:r>
        <w:rPr>
          <w:rFonts w:ascii="Garamond" w:eastAsiaTheme="minorEastAsia" w:hAnsi="Garamond"/>
          <w:sz w:val="24"/>
          <w:szCs w:val="24"/>
          <w:lang w:val="es-MX"/>
        </w:rPr>
        <w:t>, se estima el margen de comercialización como:</w:t>
      </w:r>
    </w:p>
    <w:p w:rsidR="001A4B05" w:rsidRPr="001A4B05" w:rsidRDefault="00B32201" w:rsidP="001A4B05">
      <w:pPr>
        <w:jc w:val="both"/>
        <w:rPr>
          <w:rFonts w:ascii="Garamond" w:eastAsiaTheme="minorEastAsia" w:hAnsi="Garamond"/>
          <w:sz w:val="24"/>
          <w:szCs w:val="24"/>
          <w:lang w:val="es-MX"/>
        </w:rPr>
      </w:pPr>
      <m:oMathPara>
        <m:oMath>
          <m:sSub>
            <m:sSubPr>
              <m:ctrlPr>
                <w:rPr>
                  <w:rFonts w:ascii="Cambria Math" w:hAnsi="Cambria Math"/>
                  <w:i/>
                  <w:sz w:val="24"/>
                  <w:szCs w:val="24"/>
                  <w:lang w:val="es-MX"/>
                </w:rPr>
              </m:ctrlPr>
            </m:sSubPr>
            <m:e>
              <m:r>
                <w:rPr>
                  <w:rFonts w:ascii="Cambria Math" w:hAnsi="Cambria Math"/>
                  <w:sz w:val="24"/>
                  <w:szCs w:val="24"/>
                  <w:lang w:val="es-MX"/>
                </w:rPr>
                <m:t>γ</m:t>
              </m:r>
            </m:e>
            <m:sub>
              <m:r>
                <w:rPr>
                  <w:rFonts w:ascii="Cambria Math" w:hAnsi="Cambria Math"/>
                  <w:sz w:val="24"/>
                  <w:szCs w:val="24"/>
                  <w:lang w:val="es-MX"/>
                </w:rPr>
                <m:t>kt</m:t>
              </m:r>
            </m:sub>
          </m:sSub>
          <m:r>
            <w:rPr>
              <w:rFonts w:ascii="Cambria Math" w:hAnsi="Cambria Math"/>
              <w:sz w:val="24"/>
              <w:szCs w:val="24"/>
              <w:lang w:val="es-MX"/>
            </w:rPr>
            <m:t>=</m:t>
          </m:r>
          <m:f>
            <m:fPr>
              <m:ctrlPr>
                <w:rPr>
                  <w:rFonts w:ascii="Cambria Math" w:hAnsi="Cambria Math"/>
                  <w:i/>
                  <w:sz w:val="24"/>
                  <w:szCs w:val="24"/>
                  <w:lang w:val="es-MX"/>
                </w:rPr>
              </m:ctrlPr>
            </m:fPr>
            <m:num>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r>
                <w:rPr>
                  <w:rFonts w:ascii="Cambria Math" w:hAnsi="Cambria Math"/>
                  <w:sz w:val="24"/>
                  <w:szCs w:val="24"/>
                  <w:lang w:val="es-MX"/>
                </w:rPr>
                <m:t xml:space="preserve">- </m:t>
              </m:r>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num>
            <m:den>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den>
          </m:f>
          <m:r>
            <w:rPr>
              <w:rFonts w:ascii="Cambria Math" w:eastAsiaTheme="minorEastAsia" w:hAnsi="Cambria Math"/>
              <w:sz w:val="24"/>
              <w:szCs w:val="24"/>
              <w:lang w:val="es-MX"/>
            </w:rPr>
            <m:t>×100</m:t>
          </m:r>
        </m:oMath>
      </m:oMathPara>
    </w:p>
    <w:p w:rsidR="001A4B05" w:rsidRDefault="001A4B05" w:rsidP="001A4B05">
      <w:pPr>
        <w:jc w:val="both"/>
        <w:rPr>
          <w:rFonts w:ascii="Garamond" w:eastAsiaTheme="minorEastAsia" w:hAnsi="Garamond"/>
          <w:sz w:val="24"/>
          <w:szCs w:val="24"/>
          <w:lang w:val="es-MX"/>
        </w:rPr>
      </w:pPr>
      <w:r>
        <w:rPr>
          <w:rFonts w:ascii="Garamond" w:hAnsi="Garamond"/>
          <w:sz w:val="24"/>
          <w:szCs w:val="24"/>
          <w:lang w:val="es-MX"/>
        </w:rPr>
        <w:t>Con el conjunto de datos histórico</w:t>
      </w:r>
      <w:r>
        <w:rPr>
          <w:rFonts w:ascii="Garamond" w:eastAsiaTheme="minorEastAsia" w:hAnsi="Garamond"/>
          <w:sz w:val="24"/>
          <w:szCs w:val="24"/>
          <w:lang w:val="es-MX"/>
        </w:rPr>
        <w:t xml:space="preserve"> </w:t>
      </w:r>
      <m:oMath>
        <m:sSub>
          <m:sSubPr>
            <m:ctrlPr>
              <w:rPr>
                <w:rFonts w:ascii="Cambria Math" w:hAnsi="Cambria Math"/>
                <w:i/>
                <w:sz w:val="24"/>
                <w:szCs w:val="24"/>
                <w:lang w:val="es-MX"/>
              </w:rPr>
            </m:ctrlPr>
          </m:sSubPr>
          <m:e>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γ</m:t>
                </m:r>
              </m:e>
              <m:sub>
                <m:r>
                  <w:rPr>
                    <w:rFonts w:ascii="Cambria Math" w:hAnsi="Cambria Math"/>
                    <w:sz w:val="24"/>
                    <w:szCs w:val="24"/>
                    <w:lang w:val="es-MX"/>
                  </w:rPr>
                  <m:t>kt</m:t>
                </m:r>
              </m:sub>
            </m:sSub>
            <m:r>
              <w:rPr>
                <w:rFonts w:ascii="Cambria Math" w:hAnsi="Cambria Math"/>
                <w:sz w:val="24"/>
                <w:szCs w:val="24"/>
                <w:lang w:val="es-MX"/>
              </w:rPr>
              <m:t>}</m:t>
            </m:r>
          </m:e>
          <m:sub>
            <m:r>
              <w:rPr>
                <w:rFonts w:ascii="Cambria Math" w:hAnsi="Cambria Math"/>
                <w:sz w:val="24"/>
                <w:szCs w:val="24"/>
                <w:lang w:val="es-MX"/>
              </w:rPr>
              <m:t>t∈</m:t>
            </m:r>
            <m:sSub>
              <m:sSubPr>
                <m:ctrlPr>
                  <w:rPr>
                    <w:rFonts w:ascii="Cambria Math" w:hAnsi="Cambria Math"/>
                    <w:i/>
                    <w:sz w:val="24"/>
                    <w:szCs w:val="24"/>
                    <w:lang w:val="es-MX"/>
                  </w:rPr>
                </m:ctrlPr>
              </m:sSubPr>
              <m:e>
                <m:r>
                  <m:rPr>
                    <m:scr m:val="script"/>
                  </m:rPr>
                  <w:rPr>
                    <w:rFonts w:ascii="Cambria Math" w:hAnsi="Cambria Math"/>
                    <w:sz w:val="24"/>
                    <w:szCs w:val="24"/>
                    <w:lang w:val="es-MX"/>
                  </w:rPr>
                  <m:t>T</m:t>
                </m:r>
              </m:e>
              <m:sub>
                <m:r>
                  <w:rPr>
                    <w:rFonts w:ascii="Cambria Math" w:hAnsi="Cambria Math"/>
                    <w:sz w:val="24"/>
                    <w:szCs w:val="24"/>
                    <w:lang w:val="es-MX"/>
                  </w:rPr>
                  <m:t>k</m:t>
                </m:r>
              </m:sub>
            </m:sSub>
          </m:sub>
        </m:sSub>
      </m:oMath>
      <w:r>
        <w:rPr>
          <w:rFonts w:ascii="Garamond" w:eastAsiaTheme="minorEastAsia" w:hAnsi="Garamond"/>
          <w:sz w:val="24"/>
          <w:szCs w:val="24"/>
          <w:lang w:val="es-MX"/>
        </w:rPr>
        <w:t xml:space="preserve">, donde </w:t>
      </w:r>
      <m:oMath>
        <m:sSub>
          <m:sSubPr>
            <m:ctrlPr>
              <w:rPr>
                <w:rFonts w:ascii="Cambria Math" w:hAnsi="Cambria Math"/>
                <w:i/>
                <w:sz w:val="24"/>
                <w:szCs w:val="24"/>
                <w:lang w:val="es-MX"/>
              </w:rPr>
            </m:ctrlPr>
          </m:sSubPr>
          <m:e>
            <m:r>
              <m:rPr>
                <m:scr m:val="script"/>
              </m:rPr>
              <w:rPr>
                <w:rFonts w:ascii="Cambria Math" w:hAnsi="Cambria Math"/>
                <w:sz w:val="24"/>
                <w:szCs w:val="24"/>
                <w:lang w:val="es-MX"/>
              </w:rPr>
              <m:t>T</m:t>
            </m:r>
          </m:e>
          <m:sub>
            <m:r>
              <w:rPr>
                <w:rFonts w:ascii="Cambria Math" w:hAnsi="Cambria Math"/>
                <w:sz w:val="24"/>
                <w:szCs w:val="24"/>
                <w:lang w:val="es-MX"/>
              </w:rPr>
              <m:t>k</m:t>
            </m:r>
          </m:sub>
        </m:sSub>
      </m:oMath>
      <w:r>
        <w:rPr>
          <w:rFonts w:ascii="Garamond" w:eastAsiaTheme="minorEastAsia" w:hAnsi="Garamond"/>
          <w:sz w:val="24"/>
          <w:szCs w:val="24"/>
          <w:lang w:val="es-MX"/>
        </w:rPr>
        <w:t xml:space="preserve"> denota los períodos con datos simultáneos de precios minoristas y mayoristas para el alimento, se caracteriza la distribución empírica del margen (</w:t>
      </w:r>
      <m:oMath>
        <m:sSub>
          <m:sSubPr>
            <m:ctrlPr>
              <w:rPr>
                <w:rFonts w:ascii="Cambria Math" w:hAnsi="Cambria Math"/>
                <w:i/>
                <w:sz w:val="24"/>
                <w:szCs w:val="24"/>
                <w:lang w:val="es-MX"/>
              </w:rPr>
            </m:ctrlPr>
          </m:sSubPr>
          <m:e>
            <m:r>
              <w:rPr>
                <w:rFonts w:ascii="Cambria Math" w:hAnsi="Cambria Math"/>
                <w:sz w:val="24"/>
                <w:szCs w:val="24"/>
                <w:lang w:val="es-MX"/>
              </w:rPr>
              <m:t>Q</m:t>
            </m:r>
          </m:e>
          <m:sub>
            <m:r>
              <w:rPr>
                <w:rFonts w:ascii="Cambria Math" w:hAnsi="Cambria Math"/>
                <w:sz w:val="24"/>
                <w:szCs w:val="24"/>
                <w:lang w:val="es-MX"/>
              </w:rPr>
              <m:t>2k</m:t>
            </m:r>
          </m:sub>
        </m:sSub>
      </m:oMath>
      <w:r>
        <w:rPr>
          <w:rFonts w:ascii="Garamond" w:eastAsiaTheme="minorEastAsia" w:hAnsi="Garamond"/>
          <w:sz w:val="24"/>
          <w:szCs w:val="24"/>
          <w:lang w:val="es-MX"/>
        </w:rPr>
        <w:t>) y se calculan la mediana y los percentiles 25 (</w:t>
      </w:r>
      <m:oMath>
        <m:sSub>
          <m:sSubPr>
            <m:ctrlPr>
              <w:rPr>
                <w:rFonts w:ascii="Cambria Math" w:hAnsi="Cambria Math"/>
                <w:i/>
                <w:sz w:val="24"/>
                <w:szCs w:val="24"/>
                <w:lang w:val="es-MX"/>
              </w:rPr>
            </m:ctrlPr>
          </m:sSubPr>
          <m:e>
            <m:r>
              <w:rPr>
                <w:rFonts w:ascii="Cambria Math" w:hAnsi="Cambria Math"/>
                <w:sz w:val="24"/>
                <w:szCs w:val="24"/>
                <w:lang w:val="es-MX"/>
              </w:rPr>
              <m:t>Q</m:t>
            </m:r>
          </m:e>
          <m:sub>
            <m:r>
              <w:rPr>
                <w:rFonts w:ascii="Cambria Math" w:hAnsi="Cambria Math"/>
                <w:sz w:val="24"/>
                <w:szCs w:val="24"/>
                <w:lang w:val="es-MX"/>
              </w:rPr>
              <m:t>1k</m:t>
            </m:r>
          </m:sub>
        </m:sSub>
        <m:r>
          <w:rPr>
            <w:rFonts w:ascii="Cambria Math" w:hAnsi="Cambria Math"/>
            <w:sz w:val="24"/>
            <w:szCs w:val="24"/>
            <w:lang w:val="es-MX"/>
          </w:rPr>
          <m:t>)</m:t>
        </m:r>
      </m:oMath>
      <w:r>
        <w:rPr>
          <w:rFonts w:ascii="Garamond" w:eastAsiaTheme="minorEastAsia" w:hAnsi="Garamond"/>
          <w:sz w:val="24"/>
          <w:szCs w:val="24"/>
          <w:lang w:val="es-MX"/>
        </w:rPr>
        <w:t xml:space="preserve"> y 75 </w:t>
      </w:r>
      <m:oMath>
        <m:sSub>
          <m:sSubPr>
            <m:ctrlPr>
              <w:rPr>
                <w:rFonts w:ascii="Cambria Math" w:hAnsi="Cambria Math"/>
                <w:i/>
                <w:sz w:val="24"/>
                <w:szCs w:val="24"/>
                <w:lang w:val="es-MX"/>
              </w:rPr>
            </m:ctrlPr>
          </m:sSubPr>
          <m:e>
            <m:r>
              <w:rPr>
                <w:rFonts w:ascii="Cambria Math" w:hAnsi="Cambria Math"/>
                <w:sz w:val="24"/>
                <w:szCs w:val="24"/>
                <w:lang w:val="es-MX"/>
              </w:rPr>
              <m:t>(Q</m:t>
            </m:r>
          </m:e>
          <m:sub>
            <m:r>
              <w:rPr>
                <w:rFonts w:ascii="Cambria Math" w:hAnsi="Cambria Math"/>
                <w:sz w:val="24"/>
                <w:szCs w:val="24"/>
                <w:lang w:val="es-MX"/>
              </w:rPr>
              <m:t>3k</m:t>
            </m:r>
          </m:sub>
        </m:sSub>
        <m:r>
          <w:rPr>
            <w:rFonts w:ascii="Cambria Math" w:hAnsi="Cambria Math"/>
            <w:sz w:val="24"/>
            <w:szCs w:val="24"/>
            <w:lang w:val="es-MX"/>
          </w:rPr>
          <m:t>)</m:t>
        </m:r>
      </m:oMath>
      <w:r>
        <w:rPr>
          <w:rFonts w:ascii="Garamond" w:eastAsiaTheme="minorEastAsia" w:hAnsi="Garamond"/>
          <w:sz w:val="24"/>
          <w:szCs w:val="24"/>
          <w:lang w:val="es-MX"/>
        </w:rPr>
        <w:t>. Así, el precio minorista se imputa aplicando el margen mediano al precio mayorista contemporáneo:</w:t>
      </w:r>
    </w:p>
    <w:p w:rsidR="001A4B05" w:rsidRPr="001A4B05" w:rsidRDefault="00B32201" w:rsidP="001A4B05">
      <w:pPr>
        <w:jc w:val="both"/>
        <w:rPr>
          <w:rFonts w:ascii="Garamond" w:eastAsiaTheme="minorEastAsia" w:hAnsi="Garamond"/>
          <w:sz w:val="24"/>
          <w:szCs w:val="24"/>
          <w:lang w:val="es-MX"/>
        </w:rPr>
      </w:pPr>
      <m:oMathPara>
        <m:oMath>
          <m:sSubSup>
            <m:sSubSupPr>
              <m:ctrlPr>
                <w:rPr>
                  <w:rFonts w:ascii="Cambria Math" w:hAnsi="Cambria Math"/>
                  <w:i/>
                  <w:sz w:val="24"/>
                  <w:szCs w:val="24"/>
                  <w:lang w:val="es-MX"/>
                </w:rPr>
              </m:ctrlPr>
            </m:sSubSupPr>
            <m:e>
              <m:acc>
                <m:accPr>
                  <m:ctrlPr>
                    <w:rPr>
                      <w:rFonts w:ascii="Cambria Math" w:hAnsi="Cambria Math"/>
                      <w:i/>
                      <w:sz w:val="24"/>
                      <w:szCs w:val="24"/>
                      <w:lang w:val="es-MX"/>
                    </w:rPr>
                  </m:ctrlPr>
                </m:accPr>
                <m:e>
                  <m:r>
                    <w:rPr>
                      <w:rFonts w:ascii="Cambria Math" w:hAnsi="Cambria Math"/>
                      <w:sz w:val="24"/>
                      <w:szCs w:val="24"/>
                      <w:lang w:val="es-MX"/>
                    </w:rPr>
                    <m:t>P</m:t>
                  </m:r>
                </m:e>
              </m:acc>
            </m:e>
            <m:sub>
              <m:r>
                <w:rPr>
                  <w:rFonts w:ascii="Cambria Math" w:hAnsi="Cambria Math"/>
                  <w:sz w:val="24"/>
                  <w:szCs w:val="24"/>
                  <w:lang w:val="es-MX"/>
                </w:rPr>
                <m:t>kt</m:t>
              </m:r>
            </m:sub>
            <m:sup>
              <m:r>
                <w:rPr>
                  <w:rFonts w:ascii="Cambria Math" w:hAnsi="Cambria Math"/>
                  <w:sz w:val="24"/>
                  <w:szCs w:val="24"/>
                  <w:lang w:val="es-MX"/>
                </w:rPr>
                <m:t>min</m:t>
              </m:r>
            </m:sup>
          </m:sSubSup>
          <m:r>
            <w:rPr>
              <w:rFonts w:ascii="Cambria Math" w:hAnsi="Cambria Math"/>
              <w:sz w:val="24"/>
              <w:szCs w:val="24"/>
              <w:lang w:val="es-MX"/>
            </w:rPr>
            <m:t>=</m:t>
          </m:r>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r>
            <w:rPr>
              <w:rFonts w:ascii="Cambria Math" w:eastAsiaTheme="minorEastAsia" w:hAnsi="Cambria Math"/>
              <w:sz w:val="24"/>
              <w:szCs w:val="24"/>
              <w:lang w:val="es-MX"/>
            </w:rPr>
            <m:t>×</m:t>
          </m:r>
          <m:d>
            <m:dPr>
              <m:ctrlPr>
                <w:rPr>
                  <w:rFonts w:ascii="Cambria Math" w:eastAsiaTheme="minorEastAsia" w:hAnsi="Cambria Math"/>
                  <w:i/>
                  <w:sz w:val="24"/>
                  <w:szCs w:val="24"/>
                  <w:lang w:val="es-MX"/>
                </w:rPr>
              </m:ctrlPr>
            </m:dPr>
            <m:e>
              <m:r>
                <w:rPr>
                  <w:rFonts w:ascii="Cambria Math" w:eastAsiaTheme="minorEastAsia" w:hAnsi="Cambria Math"/>
                  <w:sz w:val="24"/>
                  <w:szCs w:val="24"/>
                  <w:lang w:val="es-MX"/>
                </w:rPr>
                <m:t>1+</m:t>
              </m:r>
              <m:f>
                <m:fPr>
                  <m:ctrlPr>
                    <w:rPr>
                      <w:rFonts w:ascii="Cambria Math" w:eastAsiaTheme="minorEastAsia" w:hAnsi="Cambria Math"/>
                      <w:i/>
                      <w:sz w:val="24"/>
                      <w:szCs w:val="24"/>
                      <w:lang w:val="es-MX"/>
                    </w:rPr>
                  </m:ctrlPr>
                </m:fPr>
                <m:num>
                  <m:sSub>
                    <m:sSubPr>
                      <m:ctrlPr>
                        <w:rPr>
                          <w:rFonts w:ascii="Cambria Math" w:hAnsi="Cambria Math"/>
                          <w:i/>
                          <w:sz w:val="24"/>
                          <w:szCs w:val="24"/>
                          <w:lang w:val="es-MX"/>
                        </w:rPr>
                      </m:ctrlPr>
                    </m:sSubPr>
                    <m:e>
                      <m:r>
                        <w:rPr>
                          <w:rFonts w:ascii="Cambria Math" w:hAnsi="Cambria Math"/>
                          <w:sz w:val="24"/>
                          <w:szCs w:val="24"/>
                          <w:lang w:val="es-MX"/>
                        </w:rPr>
                        <m:t>Q</m:t>
                      </m:r>
                    </m:e>
                    <m:sub>
                      <m:r>
                        <w:rPr>
                          <w:rFonts w:ascii="Cambria Math" w:hAnsi="Cambria Math"/>
                          <w:sz w:val="24"/>
                          <w:szCs w:val="24"/>
                          <w:lang w:val="es-MX"/>
                        </w:rPr>
                        <m:t>2k</m:t>
                      </m:r>
                    </m:sub>
                  </m:sSub>
                </m:num>
                <m:den>
                  <m:r>
                    <w:rPr>
                      <w:rFonts w:ascii="Cambria Math" w:eastAsiaTheme="minorEastAsia" w:hAnsi="Cambria Math"/>
                      <w:sz w:val="24"/>
                      <w:szCs w:val="24"/>
                      <w:lang w:val="es-MX"/>
                    </w:rPr>
                    <m:t>100</m:t>
                  </m:r>
                </m:den>
              </m:f>
            </m:e>
          </m:d>
        </m:oMath>
      </m:oMathPara>
    </w:p>
    <w:p w:rsidR="001A4B05" w:rsidRPr="001A4B05" w:rsidRDefault="001A4B05" w:rsidP="001A4B05">
      <w:pPr>
        <w:jc w:val="both"/>
        <w:rPr>
          <w:rFonts w:ascii="Garamond" w:hAnsi="Garamond"/>
          <w:sz w:val="24"/>
          <w:szCs w:val="24"/>
          <w:lang w:val="es-MX"/>
        </w:rPr>
      </w:pPr>
      <w:r>
        <w:rPr>
          <w:rFonts w:ascii="Garamond" w:hAnsi="Garamond"/>
          <w:sz w:val="24"/>
          <w:szCs w:val="24"/>
          <w:lang w:val="es-MX"/>
        </w:rPr>
        <w:t xml:space="preserve">El intervalo </w:t>
      </w:r>
      <m:oMath>
        <m:r>
          <w:rPr>
            <w:rFonts w:ascii="Cambria Math" w:hAnsi="Cambria Math"/>
            <w:sz w:val="24"/>
            <w:szCs w:val="24"/>
            <w:lang w:val="es-MX"/>
          </w:rPr>
          <m:t>[</m:t>
        </m:r>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r>
          <w:rPr>
            <w:rFonts w:ascii="Cambria Math" w:eastAsiaTheme="minorEastAsia" w:hAnsi="Cambria Math"/>
            <w:sz w:val="24"/>
            <w:szCs w:val="24"/>
            <w:lang w:val="es-MX"/>
          </w:rPr>
          <m:t>×</m:t>
        </m:r>
        <m:d>
          <m:dPr>
            <m:ctrlPr>
              <w:rPr>
                <w:rFonts w:ascii="Cambria Math" w:eastAsiaTheme="minorEastAsia" w:hAnsi="Cambria Math"/>
                <w:i/>
                <w:sz w:val="24"/>
                <w:szCs w:val="24"/>
                <w:lang w:val="es-MX"/>
              </w:rPr>
            </m:ctrlPr>
          </m:dPr>
          <m:e>
            <m:r>
              <w:rPr>
                <w:rFonts w:ascii="Cambria Math" w:eastAsiaTheme="minorEastAsia" w:hAnsi="Cambria Math"/>
                <w:sz w:val="24"/>
                <w:szCs w:val="24"/>
                <w:lang w:val="es-MX"/>
              </w:rPr>
              <m:t>1+</m:t>
            </m:r>
            <m:f>
              <m:fPr>
                <m:ctrlPr>
                  <w:rPr>
                    <w:rFonts w:ascii="Cambria Math" w:eastAsiaTheme="minorEastAsia" w:hAnsi="Cambria Math"/>
                    <w:i/>
                    <w:sz w:val="24"/>
                    <w:szCs w:val="24"/>
                    <w:lang w:val="es-MX"/>
                  </w:rPr>
                </m:ctrlPr>
              </m:fPr>
              <m:num>
                <m:sSub>
                  <m:sSubPr>
                    <m:ctrlPr>
                      <w:rPr>
                        <w:rFonts w:ascii="Cambria Math" w:hAnsi="Cambria Math"/>
                        <w:i/>
                        <w:sz w:val="24"/>
                        <w:szCs w:val="24"/>
                        <w:lang w:val="es-MX"/>
                      </w:rPr>
                    </m:ctrlPr>
                  </m:sSubPr>
                  <m:e>
                    <m:r>
                      <w:rPr>
                        <w:rFonts w:ascii="Cambria Math" w:hAnsi="Cambria Math"/>
                        <w:sz w:val="24"/>
                        <w:szCs w:val="24"/>
                        <w:lang w:val="es-MX"/>
                      </w:rPr>
                      <m:t>Q</m:t>
                    </m:r>
                  </m:e>
                  <m:sub>
                    <m:r>
                      <w:rPr>
                        <w:rFonts w:ascii="Cambria Math" w:hAnsi="Cambria Math"/>
                        <w:sz w:val="24"/>
                        <w:szCs w:val="24"/>
                        <w:lang w:val="es-MX"/>
                      </w:rPr>
                      <m:t>1k</m:t>
                    </m:r>
                  </m:sub>
                </m:sSub>
              </m:num>
              <m:den>
                <m:r>
                  <w:rPr>
                    <w:rFonts w:ascii="Cambria Math" w:eastAsiaTheme="minorEastAsia" w:hAnsi="Cambria Math"/>
                    <w:sz w:val="24"/>
                    <w:szCs w:val="24"/>
                    <w:lang w:val="es-MX"/>
                  </w:rPr>
                  <m:t>100</m:t>
                </m:r>
              </m:den>
            </m:f>
          </m:e>
        </m:d>
        <m:r>
          <w:rPr>
            <w:rFonts w:ascii="Cambria Math" w:eastAsiaTheme="minorEastAsia" w:hAnsi="Cambria Math"/>
            <w:sz w:val="24"/>
            <w:szCs w:val="24"/>
            <w:lang w:val="es-MX"/>
          </w:rPr>
          <m:t xml:space="preserve">, </m:t>
        </m:r>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r>
          <w:rPr>
            <w:rFonts w:ascii="Cambria Math" w:eastAsiaTheme="minorEastAsia" w:hAnsi="Cambria Math"/>
            <w:sz w:val="24"/>
            <w:szCs w:val="24"/>
            <w:lang w:val="es-MX"/>
          </w:rPr>
          <m:t>×</m:t>
        </m:r>
        <m:d>
          <m:dPr>
            <m:ctrlPr>
              <w:rPr>
                <w:rFonts w:ascii="Cambria Math" w:eastAsiaTheme="minorEastAsia" w:hAnsi="Cambria Math"/>
                <w:i/>
                <w:sz w:val="24"/>
                <w:szCs w:val="24"/>
                <w:lang w:val="es-MX"/>
              </w:rPr>
            </m:ctrlPr>
          </m:dPr>
          <m:e>
            <m:r>
              <w:rPr>
                <w:rFonts w:ascii="Cambria Math" w:eastAsiaTheme="minorEastAsia" w:hAnsi="Cambria Math"/>
                <w:sz w:val="24"/>
                <w:szCs w:val="24"/>
                <w:lang w:val="es-MX"/>
              </w:rPr>
              <m:t>1+</m:t>
            </m:r>
            <m:f>
              <m:fPr>
                <m:ctrlPr>
                  <w:rPr>
                    <w:rFonts w:ascii="Cambria Math" w:eastAsiaTheme="minorEastAsia" w:hAnsi="Cambria Math"/>
                    <w:i/>
                    <w:sz w:val="24"/>
                    <w:szCs w:val="24"/>
                    <w:lang w:val="es-MX"/>
                  </w:rPr>
                </m:ctrlPr>
              </m:fPr>
              <m:num>
                <m:sSub>
                  <m:sSubPr>
                    <m:ctrlPr>
                      <w:rPr>
                        <w:rFonts w:ascii="Cambria Math" w:hAnsi="Cambria Math"/>
                        <w:i/>
                        <w:sz w:val="24"/>
                        <w:szCs w:val="24"/>
                        <w:lang w:val="es-MX"/>
                      </w:rPr>
                    </m:ctrlPr>
                  </m:sSubPr>
                  <m:e>
                    <m:r>
                      <w:rPr>
                        <w:rFonts w:ascii="Cambria Math" w:hAnsi="Cambria Math"/>
                        <w:sz w:val="24"/>
                        <w:szCs w:val="24"/>
                        <w:lang w:val="es-MX"/>
                      </w:rPr>
                      <m:t>Q</m:t>
                    </m:r>
                  </m:e>
                  <m:sub>
                    <m:r>
                      <w:rPr>
                        <w:rFonts w:ascii="Cambria Math" w:hAnsi="Cambria Math"/>
                        <w:sz w:val="24"/>
                        <w:szCs w:val="24"/>
                        <w:lang w:val="es-MX"/>
                      </w:rPr>
                      <m:t>3k</m:t>
                    </m:r>
                  </m:sub>
                </m:sSub>
              </m:num>
              <m:den>
                <m:r>
                  <w:rPr>
                    <w:rFonts w:ascii="Cambria Math" w:eastAsiaTheme="minorEastAsia" w:hAnsi="Cambria Math"/>
                    <w:sz w:val="24"/>
                    <w:szCs w:val="24"/>
                    <w:lang w:val="es-MX"/>
                  </w:rPr>
                  <m:t>100</m:t>
                </m:r>
              </m:den>
            </m:f>
          </m:e>
        </m:d>
        <m:r>
          <w:rPr>
            <w:rFonts w:ascii="Cambria Math" w:eastAsiaTheme="minorEastAsia" w:hAnsi="Cambria Math"/>
            <w:sz w:val="24"/>
            <w:szCs w:val="24"/>
            <w:lang w:val="es-MX"/>
          </w:rPr>
          <m:t>]</m:t>
        </m:r>
      </m:oMath>
      <w:r>
        <w:rPr>
          <w:rFonts w:ascii="Garamond" w:eastAsiaTheme="minorEastAsia" w:hAnsi="Garamond"/>
          <w:sz w:val="24"/>
          <w:szCs w:val="24"/>
          <w:lang w:val="es-MX"/>
        </w:rPr>
        <w:t xml:space="preserve"> delimita el rango de incertidumbre de la imputación bajo condiciones de margen bajo y alto, respectivamente, y permite evaluar la sensibilidad de los costos de dieta óptima ante variaciones plausibles en la cadena de distribución. Ciertamente, la validez de esta metodología depende del supuesto según el cual </w:t>
      </w:r>
      <m:oMath>
        <m:sSub>
          <m:sSubPr>
            <m:ctrlPr>
              <w:rPr>
                <w:rFonts w:ascii="Cambria Math" w:hAnsi="Cambria Math"/>
                <w:i/>
                <w:sz w:val="24"/>
                <w:szCs w:val="24"/>
                <w:lang w:val="es-MX"/>
              </w:rPr>
            </m:ctrlPr>
          </m:sSubPr>
          <m:e>
            <m:r>
              <w:rPr>
                <w:rFonts w:ascii="Cambria Math" w:hAnsi="Cambria Math"/>
                <w:sz w:val="24"/>
                <w:szCs w:val="24"/>
                <w:lang w:val="es-MX"/>
              </w:rPr>
              <m:t>γ</m:t>
            </m:r>
          </m:e>
          <m:sub>
            <m:r>
              <w:rPr>
                <w:rFonts w:ascii="Cambria Math" w:hAnsi="Cambria Math"/>
                <w:sz w:val="24"/>
                <w:szCs w:val="24"/>
                <w:lang w:val="es-MX"/>
              </w:rPr>
              <m:t>kt</m:t>
            </m:r>
          </m:sub>
        </m:sSub>
      </m:oMath>
      <w:r>
        <w:rPr>
          <w:rFonts w:ascii="Garamond" w:eastAsiaTheme="minorEastAsia" w:hAnsi="Garamond"/>
          <w:sz w:val="24"/>
          <w:szCs w:val="24"/>
          <w:lang w:val="es-MX"/>
        </w:rPr>
        <w:t xml:space="preserve"> es estacionario en el tiempo para cada alimento. Si el margen exhibe, por ejemplo, cambios estructurales en la cadena de distribución minorista, la mediana histórica introduce un sesgo sistemático al procedimiento de imputación.</w:t>
      </w:r>
    </w:p>
    <w:p w:rsidR="003F4B66" w:rsidRDefault="001A4B05" w:rsidP="001A4B05">
      <w:pPr>
        <w:pStyle w:val="Prrafodelista"/>
        <w:numPr>
          <w:ilvl w:val="2"/>
          <w:numId w:val="1"/>
        </w:numPr>
        <w:jc w:val="both"/>
        <w:rPr>
          <w:rFonts w:ascii="Garamond" w:hAnsi="Garamond"/>
          <w:b/>
          <w:i/>
          <w:sz w:val="24"/>
          <w:szCs w:val="24"/>
          <w:lang w:val="es-MX"/>
        </w:rPr>
      </w:pPr>
      <w:r>
        <w:rPr>
          <w:rFonts w:ascii="Garamond" w:hAnsi="Garamond"/>
          <w:b/>
          <w:i/>
          <w:sz w:val="24"/>
          <w:szCs w:val="24"/>
          <w:lang w:val="es-MX"/>
        </w:rPr>
        <w:t xml:space="preserve">Metodología C: </w:t>
      </w:r>
      <w:r w:rsidR="003F4B66" w:rsidRPr="001A4B05">
        <w:rPr>
          <w:rFonts w:ascii="Garamond" w:hAnsi="Garamond"/>
          <w:b/>
          <w:i/>
          <w:sz w:val="24"/>
          <w:szCs w:val="24"/>
          <w:lang w:val="es-MX"/>
        </w:rPr>
        <w:t>Regresión lineal con control estacional</w:t>
      </w:r>
    </w:p>
    <w:p w:rsidR="00045491" w:rsidRDefault="00045491" w:rsidP="00045491">
      <w:pPr>
        <w:jc w:val="both"/>
        <w:rPr>
          <w:rFonts w:ascii="Garamond" w:hAnsi="Garamond"/>
          <w:sz w:val="24"/>
          <w:szCs w:val="24"/>
          <w:lang w:val="es-MX"/>
        </w:rPr>
      </w:pPr>
      <w:r>
        <w:rPr>
          <w:rFonts w:ascii="Garamond" w:hAnsi="Garamond"/>
          <w:sz w:val="24"/>
          <w:szCs w:val="24"/>
          <w:lang w:val="es-MX"/>
        </w:rPr>
        <w:t>La metodología C abandona el supuesto del margen constante y estima explícitamente la relación entre precios mayoristas y minoristas. La estrategia econométrica tiene dos especificaciones alternativas según el orden de integración de las series:</w:t>
      </w:r>
    </w:p>
    <w:p w:rsidR="00045491" w:rsidRDefault="00045491" w:rsidP="00045491">
      <w:pPr>
        <w:rPr>
          <w:rFonts w:ascii="Garamond" w:hAnsi="Garamond"/>
          <w:b/>
          <w:sz w:val="24"/>
          <w:szCs w:val="24"/>
          <w:lang w:val="es-MX"/>
        </w:rPr>
      </w:pPr>
      <w:r>
        <w:rPr>
          <w:rFonts w:ascii="Garamond" w:hAnsi="Garamond"/>
          <w:b/>
          <w:sz w:val="24"/>
          <w:szCs w:val="24"/>
          <w:lang w:val="es-MX"/>
        </w:rPr>
        <w:t>C1: Especificación en niveles logarítmicos</w:t>
      </w:r>
    </w:p>
    <w:p w:rsidR="00045491" w:rsidRDefault="00045491" w:rsidP="00045491">
      <w:pPr>
        <w:rPr>
          <w:rFonts w:ascii="Garamond" w:eastAsiaTheme="minorEastAsia" w:hAnsi="Garamond"/>
          <w:sz w:val="24"/>
          <w:szCs w:val="24"/>
          <w:lang w:val="es-MX"/>
        </w:rPr>
      </w:pPr>
      <w:r>
        <w:rPr>
          <w:rFonts w:ascii="Garamond" w:hAnsi="Garamond"/>
          <w:sz w:val="24"/>
          <w:szCs w:val="24"/>
          <w:lang w:val="es-MX"/>
        </w:rPr>
        <w:t xml:space="preserve">Sea </w:t>
      </w:r>
      <m:oMath>
        <m:r>
          <m:rPr>
            <m:sty m:val="p"/>
          </m:rPr>
          <w:rPr>
            <w:rFonts w:ascii="Cambria Math" w:hAnsi="Cambria Math"/>
            <w:sz w:val="24"/>
            <w:szCs w:val="24"/>
            <w:lang w:val="es-MX"/>
          </w:rPr>
          <m:t>ln⁡</m:t>
        </m:r>
        <m:r>
          <w:rPr>
            <w:rFonts w:ascii="Cambria Math" w:hAnsi="Cambria Math"/>
            <w:sz w:val="24"/>
            <w:szCs w:val="24"/>
            <w:lang w:val="es-MX"/>
          </w:rPr>
          <m:t>(</m:t>
        </m:r>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r>
          <w:rPr>
            <w:rFonts w:ascii="Cambria Math" w:hAnsi="Cambria Math"/>
            <w:sz w:val="24"/>
            <w:szCs w:val="24"/>
            <w:lang w:val="es-MX"/>
          </w:rPr>
          <m:t>)</m:t>
        </m:r>
      </m:oMath>
      <w:r>
        <w:rPr>
          <w:rFonts w:ascii="Garamond" w:eastAsiaTheme="minorEastAsia" w:hAnsi="Garamond"/>
          <w:sz w:val="24"/>
          <w:szCs w:val="24"/>
          <w:lang w:val="es-MX"/>
        </w:rPr>
        <w:t xml:space="preserve"> el logaritmo natural del precio minorista del alimento </w:t>
      </w:r>
      <m:oMath>
        <m:r>
          <w:rPr>
            <w:rFonts w:ascii="Cambria Math" w:eastAsiaTheme="minorEastAsia" w:hAnsi="Cambria Math"/>
            <w:sz w:val="24"/>
            <w:szCs w:val="24"/>
            <w:lang w:val="es-MX"/>
          </w:rPr>
          <m:t>k</m:t>
        </m:r>
      </m:oMath>
      <w:r>
        <w:rPr>
          <w:rFonts w:ascii="Garamond" w:eastAsiaTheme="minorEastAsia" w:hAnsi="Garamond"/>
          <w:sz w:val="24"/>
          <w:szCs w:val="24"/>
          <w:lang w:val="es-MX"/>
        </w:rPr>
        <w:t xml:space="preserve"> en el período </w:t>
      </w:r>
      <m:oMath>
        <m:r>
          <w:rPr>
            <w:rFonts w:ascii="Cambria Math" w:eastAsiaTheme="minorEastAsia" w:hAnsi="Cambria Math"/>
            <w:sz w:val="24"/>
            <w:szCs w:val="24"/>
            <w:lang w:val="es-MX"/>
          </w:rPr>
          <m:t>t</m:t>
        </m:r>
      </m:oMath>
      <w:r>
        <w:rPr>
          <w:rFonts w:ascii="Garamond" w:eastAsiaTheme="minorEastAsia" w:hAnsi="Garamond"/>
          <w:sz w:val="24"/>
          <w:szCs w:val="24"/>
          <w:lang w:val="es-MX"/>
        </w:rPr>
        <w:t xml:space="preserve">; y </w:t>
      </w:r>
      <m:oMath>
        <m:r>
          <m:rPr>
            <m:sty m:val="p"/>
          </m:rPr>
          <w:rPr>
            <w:rFonts w:ascii="Cambria Math" w:hAnsi="Cambria Math"/>
            <w:sz w:val="24"/>
            <w:szCs w:val="24"/>
            <w:lang w:val="es-MX"/>
          </w:rPr>
          <m:t>ln⁡</m:t>
        </m:r>
        <m:r>
          <w:rPr>
            <w:rFonts w:ascii="Cambria Math" w:hAnsi="Cambria Math"/>
            <w:sz w:val="24"/>
            <w:szCs w:val="24"/>
            <w:lang w:val="es-MX"/>
          </w:rPr>
          <m:t>(</m:t>
        </m:r>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r>
          <w:rPr>
            <w:rFonts w:ascii="Cambria Math" w:hAnsi="Cambria Math"/>
            <w:sz w:val="24"/>
            <w:szCs w:val="24"/>
            <w:lang w:val="es-MX"/>
          </w:rPr>
          <m:t>)</m:t>
        </m:r>
      </m:oMath>
      <w:r>
        <w:rPr>
          <w:rFonts w:ascii="Garamond" w:eastAsiaTheme="minorEastAsia" w:hAnsi="Garamond"/>
          <w:sz w:val="24"/>
          <w:szCs w:val="24"/>
          <w:lang w:val="es-MX"/>
        </w:rPr>
        <w:t>, el del precio mayorista. Para cada alimento se estima:</w:t>
      </w:r>
    </w:p>
    <w:p w:rsidR="00045491" w:rsidRPr="00045491" w:rsidRDefault="00B32201" w:rsidP="00045491">
      <w:pPr>
        <w:rPr>
          <w:rFonts w:ascii="Garamond" w:eastAsiaTheme="minorEastAsia" w:hAnsi="Garamond"/>
          <w:sz w:val="24"/>
          <w:szCs w:val="24"/>
          <w:lang w:val="es-MX"/>
        </w:rPr>
      </w:pPr>
      <m:oMathPara>
        <m:oMath>
          <m:func>
            <m:funcPr>
              <m:ctrlPr>
                <w:rPr>
                  <w:rFonts w:ascii="Cambria Math" w:hAnsi="Cambria Math"/>
                  <w:sz w:val="24"/>
                  <w:szCs w:val="24"/>
                  <w:lang w:val="es-MX"/>
                </w:rPr>
              </m:ctrlPr>
            </m:funcPr>
            <m:fName>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e>
              </m:d>
            </m:e>
          </m:func>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α</m:t>
              </m:r>
            </m:e>
            <m:sub>
              <m:r>
                <w:rPr>
                  <w:rFonts w:ascii="Cambria Math" w:hAnsi="Cambria Math"/>
                  <w:sz w:val="24"/>
                  <w:szCs w:val="24"/>
                  <w:lang w:val="es-MX"/>
                </w:rPr>
                <m:t>k</m:t>
              </m:r>
            </m:sub>
          </m:sSub>
          <m:r>
            <m:rPr>
              <m:sty m:val="p"/>
            </m:rPr>
            <w:rPr>
              <w:rFonts w:ascii="Cambria Math" w:hAnsi="Cambria Math"/>
              <w:sz w:val="24"/>
              <w:szCs w:val="24"/>
              <w:lang w:val="es-MX"/>
            </w:rPr>
            <m:t>+</m:t>
          </m:r>
          <m:sSub>
            <m:sSubPr>
              <m:ctrlPr>
                <w:rPr>
                  <w:rFonts w:ascii="Cambria Math" w:hAnsi="Cambria Math"/>
                  <w:i/>
                  <w:sz w:val="24"/>
                  <w:szCs w:val="24"/>
                  <w:highlight w:val="yellow"/>
                  <w:lang w:val="es-MX"/>
                </w:rPr>
              </m:ctrlPr>
            </m:sSubPr>
            <m:e>
              <m:r>
                <w:rPr>
                  <w:rFonts w:ascii="Cambria Math" w:hAnsi="Cambria Math"/>
                  <w:sz w:val="24"/>
                  <w:szCs w:val="24"/>
                  <w:highlight w:val="yellow"/>
                  <w:lang w:val="es-MX"/>
                </w:rPr>
                <m:t>β</m:t>
              </m:r>
            </m:e>
            <m:sub>
              <m:r>
                <w:rPr>
                  <w:rFonts w:ascii="Cambria Math" w:hAnsi="Cambria Math"/>
                  <w:sz w:val="24"/>
                  <w:szCs w:val="24"/>
                  <w:highlight w:val="yellow"/>
                  <w:lang w:val="es-MX"/>
                </w:rPr>
                <m:t>k</m:t>
              </m:r>
            </m:sub>
          </m:sSub>
          <m:func>
            <m:funcPr>
              <m:ctrlPr>
                <w:rPr>
                  <w:rFonts w:ascii="Cambria Math" w:hAnsi="Cambria Math"/>
                  <w:sz w:val="24"/>
                  <w:szCs w:val="24"/>
                  <w:lang w:val="es-MX"/>
                </w:rPr>
              </m:ctrlPr>
            </m:funcPr>
            <m:fName>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e>
              </m:d>
            </m:e>
          </m:func>
          <m:r>
            <w:rPr>
              <w:rFonts w:ascii="Cambria Math" w:hAnsi="Cambria Math"/>
              <w:sz w:val="24"/>
              <w:szCs w:val="24"/>
              <w:lang w:val="es-MX"/>
            </w:rPr>
            <m:t>+</m:t>
          </m:r>
          <m:nary>
            <m:naryPr>
              <m:chr m:val="∑"/>
              <m:limLoc m:val="undOvr"/>
              <m:ctrlPr>
                <w:rPr>
                  <w:rFonts w:ascii="Cambria Math" w:hAnsi="Cambria Math"/>
                  <w:i/>
                  <w:sz w:val="24"/>
                  <w:szCs w:val="24"/>
                  <w:lang w:val="es-MX"/>
                </w:rPr>
              </m:ctrlPr>
            </m:naryPr>
            <m:sub>
              <m:r>
                <w:rPr>
                  <w:rFonts w:ascii="Cambria Math" w:hAnsi="Cambria Math"/>
                  <w:sz w:val="24"/>
                  <w:szCs w:val="24"/>
                  <w:lang w:val="es-MX"/>
                </w:rPr>
                <m:t>m=1</m:t>
              </m:r>
            </m:sub>
            <m:sup>
              <m:r>
                <w:rPr>
                  <w:rFonts w:ascii="Cambria Math" w:hAnsi="Cambria Math"/>
                  <w:sz w:val="24"/>
                  <w:szCs w:val="24"/>
                  <w:lang w:val="es-MX"/>
                </w:rPr>
                <m:t>11</m:t>
              </m:r>
            </m:sup>
            <m:e>
              <m:sSub>
                <m:sSubPr>
                  <m:ctrlPr>
                    <w:rPr>
                      <w:rFonts w:ascii="Cambria Math" w:hAnsi="Cambria Math"/>
                      <w:i/>
                      <w:sz w:val="24"/>
                      <w:szCs w:val="24"/>
                      <w:lang w:val="es-MX"/>
                    </w:rPr>
                  </m:ctrlPr>
                </m:sSubPr>
                <m:e>
                  <m:r>
                    <w:rPr>
                      <w:rFonts w:ascii="Cambria Math" w:hAnsi="Cambria Math"/>
                      <w:sz w:val="24"/>
                      <w:szCs w:val="24"/>
                      <w:lang w:val="es-MX"/>
                    </w:rPr>
                    <m:t>δ</m:t>
                  </m:r>
                </m:e>
                <m:sub>
                  <m:r>
                    <w:rPr>
                      <w:rFonts w:ascii="Cambria Math" w:hAnsi="Cambria Math"/>
                      <w:sz w:val="24"/>
                      <w:szCs w:val="24"/>
                      <w:lang w:val="es-MX"/>
                    </w:rPr>
                    <m:t>km</m:t>
                  </m:r>
                </m:sub>
              </m:sSub>
            </m:e>
          </m:nary>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S</m:t>
              </m:r>
            </m:e>
            <m:sub>
              <m:r>
                <w:rPr>
                  <w:rFonts w:ascii="Cambria Math" w:eastAsiaTheme="minorEastAsia" w:hAnsi="Cambria Math"/>
                  <w:sz w:val="24"/>
                  <w:szCs w:val="24"/>
                  <w:lang w:val="es-MX"/>
                </w:rPr>
                <m:t>mt</m:t>
              </m:r>
            </m:sub>
          </m:sSub>
          <m:r>
            <w:rPr>
              <w:rFonts w:ascii="Cambria Math" w:eastAsiaTheme="minorEastAsia" w:hAnsi="Cambria Math"/>
              <w:sz w:val="24"/>
              <w:szCs w:val="24"/>
              <w:lang w:val="es-MX"/>
            </w:rPr>
            <m:t>+</m:t>
          </m:r>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kt</m:t>
              </m:r>
            </m:sub>
          </m:sSub>
        </m:oMath>
      </m:oMathPara>
    </w:p>
    <w:p w:rsidR="00045491" w:rsidRPr="00045491" w:rsidRDefault="00045491" w:rsidP="00045491">
      <w:pPr>
        <w:rPr>
          <w:rFonts w:ascii="Garamond" w:hAnsi="Garamond"/>
          <w:sz w:val="24"/>
          <w:szCs w:val="24"/>
          <w:lang w:val="es-MX"/>
        </w:rPr>
      </w:pPr>
      <w:r>
        <w:rPr>
          <w:rFonts w:ascii="Garamond" w:eastAsiaTheme="minorEastAsia" w:hAnsi="Garamond"/>
          <w:sz w:val="24"/>
          <w:szCs w:val="24"/>
          <w:lang w:val="es-MX"/>
        </w:rPr>
        <w:lastRenderedPageBreak/>
        <w:t xml:space="preserve">Donde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S</m:t>
            </m:r>
          </m:e>
          <m:sub>
            <m:r>
              <w:rPr>
                <w:rFonts w:ascii="Cambria Math" w:eastAsiaTheme="minorEastAsia" w:hAnsi="Cambria Math"/>
                <w:sz w:val="24"/>
                <w:szCs w:val="24"/>
                <w:lang w:val="es-MX"/>
              </w:rPr>
              <m:t>mt</m:t>
            </m:r>
          </m:sub>
        </m:sSub>
      </m:oMath>
      <w:r>
        <w:rPr>
          <w:rFonts w:ascii="Garamond" w:eastAsiaTheme="minorEastAsia" w:hAnsi="Garamond"/>
          <w:sz w:val="24"/>
          <w:szCs w:val="24"/>
          <w:lang w:val="es-MX"/>
        </w:rPr>
        <w:t xml:space="preserve"> es una variable indicadora que toma el valor de 1 si el período </w:t>
      </w:r>
      <w:r>
        <w:rPr>
          <w:rFonts w:ascii="Garamond" w:eastAsiaTheme="minorEastAsia" w:hAnsi="Garamond"/>
          <w:i/>
          <w:sz w:val="24"/>
          <w:szCs w:val="24"/>
          <w:lang w:val="es-MX"/>
        </w:rPr>
        <w:t>t</w:t>
      </w:r>
      <w:r>
        <w:rPr>
          <w:rFonts w:ascii="Garamond" w:eastAsiaTheme="minorEastAsia" w:hAnsi="Garamond"/>
          <w:sz w:val="24"/>
          <w:szCs w:val="24"/>
          <w:lang w:val="es-MX"/>
        </w:rPr>
        <w:t xml:space="preserve"> corresponde al mes </w:t>
      </w:r>
      <w:r>
        <w:rPr>
          <w:rFonts w:ascii="Garamond" w:eastAsiaTheme="minorEastAsia" w:hAnsi="Garamond"/>
          <w:i/>
          <w:sz w:val="24"/>
          <w:szCs w:val="24"/>
          <w:lang w:val="es-MX"/>
        </w:rPr>
        <w:t xml:space="preserve">m </w:t>
      </w:r>
      <w:r>
        <w:rPr>
          <w:rFonts w:ascii="Garamond" w:eastAsiaTheme="minorEastAsia" w:hAnsi="Garamond"/>
          <w:sz w:val="24"/>
          <w:szCs w:val="24"/>
          <w:lang w:val="es-MX"/>
        </w:rPr>
        <w:t xml:space="preserve">y 0 en caso contrario, con </w:t>
      </w:r>
      <m:oMath>
        <m:r>
          <w:rPr>
            <w:rFonts w:ascii="Cambria Math" w:eastAsiaTheme="minorEastAsia" w:hAnsi="Cambria Math"/>
            <w:sz w:val="24"/>
            <w:szCs w:val="24"/>
            <w:lang w:val="es-MX"/>
          </w:rPr>
          <m:t>m=1,…,11</m:t>
        </m:r>
      </m:oMath>
      <w:r>
        <w:rPr>
          <w:rFonts w:ascii="Garamond" w:eastAsiaTheme="minorEastAsia" w:hAnsi="Garamond"/>
          <w:sz w:val="24"/>
          <w:szCs w:val="24"/>
          <w:lang w:val="es-MX"/>
        </w:rPr>
        <w:t xml:space="preserve">. La interpretación del coeficiente </w:t>
      </w:r>
      <m:oMath>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m:t>
            </m:r>
          </m:sub>
        </m:sSub>
      </m:oMath>
      <w:r>
        <w:rPr>
          <w:rFonts w:ascii="Garamond" w:eastAsiaTheme="minorEastAsia" w:hAnsi="Garamond"/>
          <w:sz w:val="24"/>
          <w:szCs w:val="24"/>
          <w:lang w:val="es-MX"/>
        </w:rPr>
        <w:t xml:space="preserve"> es directa, pues </w:t>
      </w:r>
      <w:r w:rsidR="008D18D5">
        <w:rPr>
          <w:rFonts w:ascii="Garamond" w:eastAsiaTheme="minorEastAsia" w:hAnsi="Garamond"/>
          <w:sz w:val="24"/>
          <w:szCs w:val="24"/>
          <w:lang w:val="es-MX"/>
        </w:rPr>
        <w:t xml:space="preserve">corresponde al </w:t>
      </w:r>
      <w:proofErr w:type="spellStart"/>
      <w:r w:rsidR="008D18D5">
        <w:rPr>
          <w:rFonts w:ascii="Garamond" w:eastAsiaTheme="minorEastAsia" w:hAnsi="Garamond"/>
          <w:sz w:val="24"/>
          <w:szCs w:val="24"/>
          <w:lang w:val="es-MX"/>
        </w:rPr>
        <w:t>pass-through</w:t>
      </w:r>
      <w:proofErr w:type="spellEnd"/>
      <w:r w:rsidR="008D18D5">
        <w:rPr>
          <w:rFonts w:ascii="Garamond" w:eastAsiaTheme="minorEastAsia" w:hAnsi="Garamond"/>
          <w:sz w:val="24"/>
          <w:szCs w:val="24"/>
          <w:lang w:val="es-MX"/>
        </w:rPr>
        <w:t xml:space="preserve"> contemporáneo y </w:t>
      </w:r>
      <w:r>
        <w:rPr>
          <w:rFonts w:ascii="Garamond" w:eastAsiaTheme="minorEastAsia" w:hAnsi="Garamond"/>
          <w:sz w:val="24"/>
          <w:szCs w:val="24"/>
          <w:lang w:val="es-MX"/>
        </w:rPr>
        <w:t>captura</w:t>
      </w:r>
      <w:r w:rsidR="008D18D5">
        <w:rPr>
          <w:rFonts w:ascii="Garamond" w:eastAsiaTheme="minorEastAsia" w:hAnsi="Garamond"/>
          <w:sz w:val="24"/>
          <w:szCs w:val="24"/>
          <w:lang w:val="es-MX"/>
        </w:rPr>
        <w:t>, por tanto,</w:t>
      </w:r>
      <w:r>
        <w:rPr>
          <w:rFonts w:ascii="Garamond" w:eastAsiaTheme="minorEastAsia" w:hAnsi="Garamond"/>
          <w:sz w:val="24"/>
          <w:szCs w:val="24"/>
          <w:lang w:val="es-MX"/>
        </w:rPr>
        <w:t xml:space="preserve"> implícitamente el margen de comercialización en términos relativos. Los efectos estacionales capturan los patrones sistemáticos de variación mensual en la brecha mayorista-minorista.</w:t>
      </w:r>
    </w:p>
    <w:p w:rsidR="00045491" w:rsidRDefault="00045491" w:rsidP="00045491">
      <w:pPr>
        <w:rPr>
          <w:rFonts w:ascii="Garamond" w:hAnsi="Garamond"/>
          <w:b/>
          <w:sz w:val="24"/>
          <w:szCs w:val="24"/>
          <w:lang w:val="es-MX"/>
        </w:rPr>
      </w:pPr>
      <w:r>
        <w:rPr>
          <w:rFonts w:ascii="Garamond" w:hAnsi="Garamond"/>
          <w:b/>
          <w:sz w:val="24"/>
          <w:szCs w:val="24"/>
          <w:lang w:val="es-MX"/>
        </w:rPr>
        <w:t>C2: Especificación en diferencias logarítmicas</w:t>
      </w:r>
    </w:p>
    <w:p w:rsidR="00045491" w:rsidRDefault="00045491" w:rsidP="00045491">
      <w:pPr>
        <w:rPr>
          <w:rFonts w:ascii="Garamond" w:eastAsiaTheme="minorEastAsia" w:hAnsi="Garamond"/>
          <w:sz w:val="24"/>
          <w:szCs w:val="24"/>
          <w:lang w:val="es-MX"/>
        </w:rPr>
      </w:pPr>
      <w:r>
        <w:rPr>
          <w:rFonts w:ascii="Garamond" w:hAnsi="Garamond"/>
          <w:sz w:val="24"/>
          <w:szCs w:val="24"/>
          <w:lang w:val="es-MX"/>
        </w:rPr>
        <w:t xml:space="preserve">A partir de las pruebas de </w:t>
      </w:r>
      <w:proofErr w:type="spellStart"/>
      <w:r>
        <w:rPr>
          <w:rFonts w:ascii="Garamond" w:hAnsi="Garamond"/>
          <w:sz w:val="24"/>
          <w:szCs w:val="24"/>
          <w:lang w:val="es-MX"/>
        </w:rPr>
        <w:t>Dickey</w:t>
      </w:r>
      <w:proofErr w:type="spellEnd"/>
      <w:r>
        <w:rPr>
          <w:rFonts w:ascii="Garamond" w:hAnsi="Garamond"/>
          <w:sz w:val="24"/>
          <w:szCs w:val="24"/>
          <w:lang w:val="es-MX"/>
        </w:rPr>
        <w:t xml:space="preserve">-Fuller aumentadas (ADF), se identificaron series de precios de alimentos que corresponden a series integradas de orden uno, </w:t>
      </w:r>
      <m:oMath>
        <m:r>
          <w:rPr>
            <w:rFonts w:ascii="Cambria Math" w:hAnsi="Cambria Math"/>
            <w:sz w:val="24"/>
            <w:szCs w:val="24"/>
            <w:lang w:val="es-MX"/>
          </w:rPr>
          <m:t>I</m:t>
        </m:r>
        <m:d>
          <m:dPr>
            <m:ctrlPr>
              <w:rPr>
                <w:rFonts w:ascii="Cambria Math" w:hAnsi="Cambria Math"/>
                <w:i/>
                <w:sz w:val="24"/>
                <w:szCs w:val="24"/>
                <w:lang w:val="es-MX"/>
              </w:rPr>
            </m:ctrlPr>
          </m:dPr>
          <m:e>
            <m:r>
              <w:rPr>
                <w:rFonts w:ascii="Cambria Math" w:hAnsi="Cambria Math"/>
                <w:sz w:val="24"/>
                <w:szCs w:val="24"/>
                <w:lang w:val="es-MX"/>
              </w:rPr>
              <m:t>1</m:t>
            </m:r>
          </m:e>
        </m:d>
        <m:r>
          <w:rPr>
            <w:rFonts w:ascii="Cambria Math" w:hAnsi="Cambria Math"/>
            <w:sz w:val="24"/>
            <w:szCs w:val="24"/>
            <w:lang w:val="es-MX"/>
          </w:rPr>
          <m:t>.</m:t>
        </m:r>
      </m:oMath>
      <w:r>
        <w:rPr>
          <w:rFonts w:ascii="Garamond" w:eastAsiaTheme="minorEastAsia" w:hAnsi="Garamond"/>
          <w:sz w:val="24"/>
          <w:szCs w:val="24"/>
          <w:lang w:val="es-MX"/>
        </w:rPr>
        <w:t xml:space="preserve"> La estimación de C1 en niveles puede estar afectada por la no estacionariedad y correlaciones espurias. Para garantizar series covarianza-estacionarias, se estima la especificación en primeras diferencias:</w:t>
      </w:r>
    </w:p>
    <w:p w:rsidR="00045491" w:rsidRPr="00045491" w:rsidRDefault="00B32201" w:rsidP="00045491">
      <w:pPr>
        <w:rPr>
          <w:rFonts w:ascii="Garamond" w:eastAsiaTheme="minorEastAsia" w:hAnsi="Garamond"/>
          <w:sz w:val="24"/>
          <w:szCs w:val="24"/>
          <w:lang w:val="es-MX"/>
        </w:rPr>
      </w:pPr>
      <m:oMathPara>
        <m:oMath>
          <m:func>
            <m:funcPr>
              <m:ctrlPr>
                <w:rPr>
                  <w:rFonts w:ascii="Cambria Math" w:hAnsi="Cambria Math"/>
                  <w:sz w:val="24"/>
                  <w:szCs w:val="24"/>
                  <w:lang w:val="es-MX"/>
                </w:rPr>
              </m:ctrlPr>
            </m:funcPr>
            <m:fName>
              <m:r>
                <m:rPr>
                  <m:sty m:val="p"/>
                </m:rPr>
                <w:rPr>
                  <w:rFonts w:ascii="Cambria Math" w:hAnsi="Cambria Math"/>
                  <w:sz w:val="24"/>
                  <w:szCs w:val="24"/>
                  <w:lang w:val="es-MX"/>
                </w:rPr>
                <m:t>Δln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e>
              </m:d>
            </m:e>
          </m:func>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α</m:t>
              </m:r>
            </m:e>
            <m:sub>
              <m:r>
                <w:rPr>
                  <w:rFonts w:ascii="Cambria Math" w:hAnsi="Cambria Math"/>
                  <w:sz w:val="24"/>
                  <w:szCs w:val="24"/>
                  <w:lang w:val="es-MX"/>
                </w:rPr>
                <m:t>k</m:t>
              </m:r>
            </m:sub>
          </m:sSub>
          <m:r>
            <m:rPr>
              <m:sty m:val="p"/>
            </m:rP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m:t>
              </m:r>
            </m:sub>
          </m:sSub>
          <m:r>
            <m:rPr>
              <m:sty m:val="p"/>
            </m:rPr>
            <w:rPr>
              <w:rFonts w:ascii="Cambria Math" w:hAnsi="Cambria Math"/>
              <w:sz w:val="24"/>
              <w:szCs w:val="24"/>
              <w:lang w:val="es-MX"/>
            </w:rPr>
            <m:t>Δ</m:t>
          </m:r>
          <m:func>
            <m:funcPr>
              <m:ctrlPr>
                <w:rPr>
                  <w:rFonts w:ascii="Cambria Math" w:hAnsi="Cambria Math"/>
                  <w:sz w:val="24"/>
                  <w:szCs w:val="24"/>
                  <w:lang w:val="es-MX"/>
                </w:rPr>
              </m:ctrlPr>
            </m:funcPr>
            <m:fName>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e>
              </m:d>
            </m:e>
          </m:func>
          <m:r>
            <w:rPr>
              <w:rFonts w:ascii="Cambria Math" w:hAnsi="Cambria Math"/>
              <w:sz w:val="24"/>
              <w:szCs w:val="24"/>
              <w:lang w:val="es-MX"/>
            </w:rPr>
            <m:t>+</m:t>
          </m:r>
          <m:nary>
            <m:naryPr>
              <m:chr m:val="∑"/>
              <m:limLoc m:val="undOvr"/>
              <m:ctrlPr>
                <w:rPr>
                  <w:rFonts w:ascii="Cambria Math" w:hAnsi="Cambria Math"/>
                  <w:i/>
                  <w:sz w:val="24"/>
                  <w:szCs w:val="24"/>
                  <w:lang w:val="es-MX"/>
                </w:rPr>
              </m:ctrlPr>
            </m:naryPr>
            <m:sub>
              <m:r>
                <w:rPr>
                  <w:rFonts w:ascii="Cambria Math" w:hAnsi="Cambria Math"/>
                  <w:sz w:val="24"/>
                  <w:szCs w:val="24"/>
                  <w:lang w:val="es-MX"/>
                </w:rPr>
                <m:t>m=1</m:t>
              </m:r>
            </m:sub>
            <m:sup>
              <m:r>
                <w:rPr>
                  <w:rFonts w:ascii="Cambria Math" w:hAnsi="Cambria Math"/>
                  <w:sz w:val="24"/>
                  <w:szCs w:val="24"/>
                  <w:lang w:val="es-MX"/>
                </w:rPr>
                <m:t>11</m:t>
              </m:r>
            </m:sup>
            <m:e>
              <m:sSub>
                <m:sSubPr>
                  <m:ctrlPr>
                    <w:rPr>
                      <w:rFonts w:ascii="Cambria Math" w:hAnsi="Cambria Math"/>
                      <w:i/>
                      <w:sz w:val="24"/>
                      <w:szCs w:val="24"/>
                      <w:lang w:val="es-MX"/>
                    </w:rPr>
                  </m:ctrlPr>
                </m:sSubPr>
                <m:e>
                  <m:r>
                    <w:rPr>
                      <w:rFonts w:ascii="Cambria Math" w:hAnsi="Cambria Math"/>
                      <w:sz w:val="24"/>
                      <w:szCs w:val="24"/>
                      <w:lang w:val="es-MX"/>
                    </w:rPr>
                    <m:t>δ</m:t>
                  </m:r>
                </m:e>
                <m:sub>
                  <m:r>
                    <w:rPr>
                      <w:rFonts w:ascii="Cambria Math" w:hAnsi="Cambria Math"/>
                      <w:sz w:val="24"/>
                      <w:szCs w:val="24"/>
                      <w:lang w:val="es-MX"/>
                    </w:rPr>
                    <m:t>km</m:t>
                  </m:r>
                </m:sub>
              </m:sSub>
            </m:e>
          </m:nary>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S</m:t>
              </m:r>
            </m:e>
            <m:sub>
              <m:r>
                <w:rPr>
                  <w:rFonts w:ascii="Cambria Math" w:eastAsiaTheme="minorEastAsia" w:hAnsi="Cambria Math"/>
                  <w:sz w:val="24"/>
                  <w:szCs w:val="24"/>
                  <w:lang w:val="es-MX"/>
                </w:rPr>
                <m:t>mt</m:t>
              </m:r>
            </m:sub>
          </m:sSub>
          <m:r>
            <w:rPr>
              <w:rFonts w:ascii="Cambria Math" w:eastAsiaTheme="minorEastAsia" w:hAnsi="Cambria Math"/>
              <w:sz w:val="24"/>
              <w:szCs w:val="24"/>
              <w:lang w:val="es-MX"/>
            </w:rPr>
            <m:t>+</m:t>
          </m:r>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kt</m:t>
              </m:r>
            </m:sub>
          </m:sSub>
        </m:oMath>
      </m:oMathPara>
    </w:p>
    <w:p w:rsidR="00045491" w:rsidRPr="00045491" w:rsidRDefault="00045491" w:rsidP="00045491">
      <w:pPr>
        <w:rPr>
          <w:rFonts w:ascii="Garamond" w:hAnsi="Garamond"/>
          <w:sz w:val="24"/>
          <w:szCs w:val="24"/>
          <w:lang w:val="es-MX"/>
        </w:rPr>
      </w:pPr>
      <w:r>
        <w:rPr>
          <w:rFonts w:ascii="Garamond" w:hAnsi="Garamond"/>
          <w:sz w:val="24"/>
          <w:szCs w:val="24"/>
          <w:lang w:val="es-MX"/>
        </w:rPr>
        <w:t xml:space="preserve">En </w:t>
      </w:r>
      <w:r w:rsidR="008D18D5">
        <w:rPr>
          <w:rFonts w:ascii="Garamond" w:hAnsi="Garamond"/>
          <w:sz w:val="24"/>
          <w:szCs w:val="24"/>
          <w:lang w:val="es-MX"/>
        </w:rPr>
        <w:t xml:space="preserve">este caso, el coeficiente </w:t>
      </w:r>
      <m:oMath>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m:t>
            </m:r>
          </m:sub>
        </m:sSub>
      </m:oMath>
      <w:r w:rsidR="008D18D5">
        <w:rPr>
          <w:rFonts w:ascii="Garamond" w:eastAsiaTheme="minorEastAsia" w:hAnsi="Garamond"/>
          <w:sz w:val="24"/>
          <w:szCs w:val="24"/>
          <w:lang w:val="es-MX"/>
        </w:rPr>
        <w:t xml:space="preserve"> captura el pass-through de corto plazo: la respuesta inmediata de la tasa de crecimiento del precio minorista ante un cambio (de un punto porcentual) en la tasa de crecimiento del precio mayorista. Los efectos estacionales capturan, de conformidad, asimetrías mensuales en la velocidad de transmisión de los precios.</w:t>
      </w:r>
    </w:p>
    <w:p w:rsidR="003F4B66" w:rsidRDefault="001A4B05" w:rsidP="001A4B05">
      <w:pPr>
        <w:pStyle w:val="Prrafodelista"/>
        <w:numPr>
          <w:ilvl w:val="2"/>
          <w:numId w:val="1"/>
        </w:numPr>
        <w:jc w:val="both"/>
        <w:rPr>
          <w:rFonts w:ascii="Garamond" w:hAnsi="Garamond"/>
          <w:b/>
          <w:i/>
          <w:sz w:val="24"/>
          <w:szCs w:val="24"/>
          <w:lang w:val="es-MX"/>
        </w:rPr>
      </w:pPr>
      <w:r>
        <w:rPr>
          <w:rFonts w:ascii="Garamond" w:hAnsi="Garamond"/>
          <w:b/>
          <w:i/>
          <w:sz w:val="24"/>
          <w:szCs w:val="24"/>
          <w:lang w:val="es-MX"/>
        </w:rPr>
        <w:t xml:space="preserve">Metodología D: </w:t>
      </w:r>
      <w:r w:rsidR="003F4B66" w:rsidRPr="001A4B05">
        <w:rPr>
          <w:rFonts w:ascii="Garamond" w:hAnsi="Garamond"/>
          <w:b/>
          <w:i/>
          <w:sz w:val="24"/>
          <w:szCs w:val="24"/>
          <w:lang w:val="es-MX"/>
        </w:rPr>
        <w:t>Modelo de corrección de error</w:t>
      </w:r>
    </w:p>
    <w:p w:rsidR="008D18D5" w:rsidRDefault="008D18D5" w:rsidP="008D18D5">
      <w:pPr>
        <w:jc w:val="both"/>
        <w:rPr>
          <w:rFonts w:ascii="Garamond" w:hAnsi="Garamond"/>
          <w:sz w:val="24"/>
          <w:szCs w:val="24"/>
          <w:lang w:val="es-MX"/>
        </w:rPr>
      </w:pPr>
      <w:r>
        <w:rPr>
          <w:rFonts w:ascii="Garamond" w:hAnsi="Garamond"/>
          <w:sz w:val="24"/>
          <w:szCs w:val="24"/>
          <w:lang w:val="es-MX"/>
        </w:rPr>
        <w:t xml:space="preserve">Si bien la metodología C busca modelar explícitamente la transmisión entre los precios mayoristas y minoristas, la metodología D busca explotar la posible existencia de una relación de cointegración entre ambas series. El objetivo es construir un modelo dinámico que combine el equilibrio de largo plazo y ajuste de corto plazo, que se desarrollaban por separado en la metodología C. Como señala </w:t>
      </w:r>
      <w:proofErr w:type="spellStart"/>
      <w:r>
        <w:rPr>
          <w:rFonts w:ascii="Garamond" w:hAnsi="Garamond"/>
          <w:sz w:val="24"/>
          <w:szCs w:val="24"/>
          <w:lang w:val="es-MX"/>
        </w:rPr>
        <w:t>Enders</w:t>
      </w:r>
      <w:proofErr w:type="spellEnd"/>
      <w:r>
        <w:rPr>
          <w:rFonts w:ascii="Garamond" w:hAnsi="Garamond"/>
          <w:sz w:val="24"/>
          <w:szCs w:val="24"/>
          <w:lang w:val="es-MX"/>
        </w:rPr>
        <w:t xml:space="preserve"> (2014), una propiedad esencial de las variables </w:t>
      </w:r>
      <w:proofErr w:type="spellStart"/>
      <w:r>
        <w:rPr>
          <w:rFonts w:ascii="Garamond" w:hAnsi="Garamond"/>
          <w:sz w:val="24"/>
          <w:szCs w:val="24"/>
          <w:lang w:val="es-MX"/>
        </w:rPr>
        <w:t>cointegradas</w:t>
      </w:r>
      <w:proofErr w:type="spellEnd"/>
      <w:r>
        <w:rPr>
          <w:rFonts w:ascii="Garamond" w:hAnsi="Garamond"/>
          <w:sz w:val="24"/>
          <w:szCs w:val="24"/>
          <w:lang w:val="es-MX"/>
        </w:rPr>
        <w:t xml:space="preserve"> es que su trayectoria temporal está determinada por las desviaciones respecto del equilibrio de largo plazo. Así, la trayectoria de corto plazo está disciplinada por las desviaciones respecto de dicho equilibrio, lo cual motiva el uso de un modelo de corrección de error (ECM).</w:t>
      </w:r>
    </w:p>
    <w:p w:rsidR="008D18D5" w:rsidRDefault="008D18D5" w:rsidP="008D18D5">
      <w:pPr>
        <w:jc w:val="both"/>
        <w:rPr>
          <w:rFonts w:ascii="Garamond" w:hAnsi="Garamond"/>
          <w:sz w:val="24"/>
          <w:szCs w:val="24"/>
          <w:lang w:val="es-MX"/>
        </w:rPr>
      </w:pPr>
      <w:r>
        <w:rPr>
          <w:rFonts w:ascii="Garamond" w:hAnsi="Garamond"/>
          <w:sz w:val="24"/>
          <w:szCs w:val="24"/>
          <w:lang w:val="es-MX"/>
        </w:rPr>
        <w:t xml:space="preserve">La estimación procede en dos etapas, siguiendo el procedimiento de </w:t>
      </w:r>
      <w:proofErr w:type="spellStart"/>
      <w:r>
        <w:rPr>
          <w:rFonts w:ascii="Garamond" w:hAnsi="Garamond"/>
          <w:sz w:val="24"/>
          <w:szCs w:val="24"/>
          <w:lang w:val="es-MX"/>
        </w:rPr>
        <w:t>Engl</w:t>
      </w:r>
      <w:r w:rsidR="00600198">
        <w:rPr>
          <w:rFonts w:ascii="Garamond" w:hAnsi="Garamond"/>
          <w:sz w:val="24"/>
          <w:szCs w:val="24"/>
          <w:lang w:val="es-MX"/>
        </w:rPr>
        <w:t>e</w:t>
      </w:r>
      <w:r>
        <w:rPr>
          <w:rFonts w:ascii="Garamond" w:hAnsi="Garamond"/>
          <w:sz w:val="24"/>
          <w:szCs w:val="24"/>
          <w:lang w:val="es-MX"/>
        </w:rPr>
        <w:t>-Granger</w:t>
      </w:r>
      <w:proofErr w:type="spellEnd"/>
      <w:r>
        <w:rPr>
          <w:rFonts w:ascii="Garamond" w:hAnsi="Garamond"/>
          <w:sz w:val="24"/>
          <w:szCs w:val="24"/>
          <w:lang w:val="es-MX"/>
        </w:rPr>
        <w:t xml:space="preserve"> (1987). En la primera etapa, la relación de equilibrio de largo plazo se estima como:</w:t>
      </w:r>
    </w:p>
    <w:p w:rsidR="008D18D5" w:rsidRPr="008D18D5" w:rsidRDefault="00B32201" w:rsidP="008D18D5">
      <w:pPr>
        <w:jc w:val="both"/>
        <w:rPr>
          <w:rFonts w:ascii="Garamond" w:hAnsi="Garamond"/>
          <w:sz w:val="24"/>
          <w:szCs w:val="24"/>
          <w:lang w:val="es-MX"/>
        </w:rPr>
      </w:pPr>
      <m:oMathPara>
        <m:oMath>
          <m:func>
            <m:funcPr>
              <m:ctrlPr>
                <w:rPr>
                  <w:rFonts w:ascii="Cambria Math" w:hAnsi="Cambria Math"/>
                  <w:sz w:val="24"/>
                  <w:szCs w:val="24"/>
                  <w:lang w:val="es-MX"/>
                </w:rPr>
              </m:ctrlPr>
            </m:funcPr>
            <m:fName>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e>
              </m:d>
            </m:e>
          </m:func>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α</m:t>
              </m:r>
            </m:e>
            <m:sub>
              <m:r>
                <w:rPr>
                  <w:rFonts w:ascii="Cambria Math" w:hAnsi="Cambria Math"/>
                  <w:sz w:val="24"/>
                  <w:szCs w:val="24"/>
                  <w:lang w:val="es-MX"/>
                </w:rPr>
                <m:t>k</m:t>
              </m:r>
            </m:sub>
          </m:sSub>
          <m:r>
            <m:rPr>
              <m:sty m:val="p"/>
            </m:rP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m:t>
              </m:r>
            </m:sub>
          </m:sSub>
          <m:func>
            <m:funcPr>
              <m:ctrlPr>
                <w:rPr>
                  <w:rFonts w:ascii="Cambria Math" w:hAnsi="Cambria Math"/>
                  <w:sz w:val="24"/>
                  <w:szCs w:val="24"/>
                  <w:lang w:val="es-MX"/>
                </w:rPr>
              </m:ctrlPr>
            </m:funcPr>
            <m:fName>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may</m:t>
                      </m:r>
                    </m:sup>
                  </m:sSubSup>
                </m:e>
              </m:d>
            </m:e>
          </m:func>
          <m:r>
            <w:rPr>
              <w:rFonts w:ascii="Cambria Math" w:hAnsi="Cambria Math"/>
              <w:sz w:val="24"/>
              <w:szCs w:val="24"/>
              <w:lang w:val="es-MX"/>
            </w:rPr>
            <m:t>+</m:t>
          </m:r>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kt</m:t>
              </m:r>
            </m:sub>
          </m:sSub>
        </m:oMath>
      </m:oMathPara>
    </w:p>
    <w:p w:rsidR="008D18D5" w:rsidRDefault="008D18D5" w:rsidP="008D18D5">
      <w:pPr>
        <w:jc w:val="both"/>
        <w:rPr>
          <w:rFonts w:ascii="Garamond" w:eastAsiaTheme="minorEastAsia" w:hAnsi="Garamond"/>
          <w:sz w:val="24"/>
          <w:szCs w:val="24"/>
          <w:lang w:val="es-MX"/>
        </w:rPr>
      </w:pPr>
      <w:r>
        <w:rPr>
          <w:rFonts w:ascii="Garamond" w:hAnsi="Garamond"/>
          <w:sz w:val="24"/>
          <w:szCs w:val="24"/>
          <w:lang w:val="es-MX"/>
        </w:rPr>
        <w:t xml:space="preserve">La estacionariedad del residuo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kt</m:t>
            </m:r>
          </m:sub>
        </m:sSub>
      </m:oMath>
      <w:r>
        <w:rPr>
          <w:rFonts w:ascii="Garamond" w:eastAsiaTheme="minorEastAsia" w:hAnsi="Garamond"/>
          <w:sz w:val="24"/>
          <w:szCs w:val="24"/>
          <w:lang w:val="es-MX"/>
        </w:rPr>
        <w:t xml:space="preserve"> se evalúa mediante la prueba de Engle-Granger. Al rechazar la hipótesis de raíz unitaria en el residuo, se concluye la cointegración de las series y, en consecuencia, </w:t>
      </w:r>
      <m:oMath>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m:t>
            </m:r>
          </m:sub>
        </m:sSub>
      </m:oMath>
      <w:r>
        <w:rPr>
          <w:rFonts w:ascii="Garamond" w:eastAsiaTheme="minorEastAsia" w:hAnsi="Garamond"/>
          <w:sz w:val="24"/>
          <w:szCs w:val="24"/>
          <w:lang w:val="es-MX"/>
        </w:rPr>
        <w:t xml:space="preserve"> representa la elasticidad de largo plazo del precio minorista respecto al mayorista. El término de corrección de error se construye como el residuo rezagado:</w:t>
      </w:r>
    </w:p>
    <w:p w:rsidR="008D18D5" w:rsidRPr="00600198" w:rsidRDefault="00B32201" w:rsidP="008D18D5">
      <w:pPr>
        <w:jc w:val="both"/>
        <w:rPr>
          <w:rFonts w:ascii="Garamond" w:eastAsiaTheme="minorEastAsia" w:hAnsi="Garamond"/>
          <w:sz w:val="24"/>
          <w:szCs w:val="24"/>
          <w:lang w:val="es-MX"/>
        </w:rPr>
      </w:pPr>
      <m:oMathPara>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k,t-1</m:t>
              </m:r>
            </m:sub>
          </m:sSub>
          <m:r>
            <w:rPr>
              <w:rFonts w:ascii="Cambria Math" w:eastAsiaTheme="minorEastAsia" w:hAnsi="Cambria Math"/>
              <w:sz w:val="24"/>
              <w:szCs w:val="24"/>
              <w:lang w:val="es-MX"/>
            </w:rPr>
            <m:t>=</m:t>
          </m:r>
          <m:func>
            <m:funcPr>
              <m:ctrlPr>
                <w:rPr>
                  <w:rFonts w:ascii="Cambria Math" w:hAnsi="Cambria Math"/>
                  <w:sz w:val="24"/>
                  <w:szCs w:val="24"/>
                  <w:lang w:val="es-MX"/>
                </w:rPr>
              </m:ctrlPr>
            </m:funcPr>
            <m:fName>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k,t-1</m:t>
                      </m:r>
                    </m:sub>
                    <m:sup>
                      <m:r>
                        <w:rPr>
                          <w:rFonts w:ascii="Cambria Math" w:hAnsi="Cambria Math"/>
                          <w:sz w:val="24"/>
                          <w:szCs w:val="24"/>
                          <w:lang w:val="es-MX"/>
                        </w:rPr>
                        <m:t>min</m:t>
                      </m:r>
                    </m:sup>
                  </m:sSubSup>
                </m:e>
              </m:d>
            </m:e>
          </m:func>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α</m:t>
              </m:r>
            </m:e>
            <m:sub>
              <m:r>
                <w:rPr>
                  <w:rFonts w:ascii="Cambria Math" w:hAnsi="Cambria Math"/>
                  <w:sz w:val="24"/>
                  <w:szCs w:val="24"/>
                  <w:lang w:val="es-MX"/>
                </w:rPr>
                <m:t>k</m:t>
              </m:r>
            </m:sub>
          </m:sSub>
          <m:r>
            <m:rPr>
              <m:sty m:val="p"/>
            </m:rP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m:t>
              </m:r>
            </m:sub>
          </m:sSub>
          <m:func>
            <m:funcPr>
              <m:ctrlPr>
                <w:rPr>
                  <w:rFonts w:ascii="Cambria Math" w:hAnsi="Cambria Math"/>
                  <w:sz w:val="24"/>
                  <w:szCs w:val="24"/>
                  <w:lang w:val="es-MX"/>
                </w:rPr>
              </m:ctrlPr>
            </m:funcPr>
            <m:fName>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k,t-1</m:t>
                      </m:r>
                    </m:sub>
                    <m:sup>
                      <m:r>
                        <w:rPr>
                          <w:rFonts w:ascii="Cambria Math" w:hAnsi="Cambria Math"/>
                          <w:sz w:val="24"/>
                          <w:szCs w:val="24"/>
                          <w:lang w:val="es-MX"/>
                        </w:rPr>
                        <m:t>may</m:t>
                      </m:r>
                    </m:sup>
                  </m:sSubSup>
                </m:e>
              </m:d>
            </m:e>
          </m:func>
        </m:oMath>
      </m:oMathPara>
    </w:p>
    <w:p w:rsidR="00600198" w:rsidRDefault="00600198" w:rsidP="008D18D5">
      <w:pPr>
        <w:jc w:val="both"/>
        <w:rPr>
          <w:rFonts w:ascii="Garamond" w:eastAsiaTheme="minorEastAsia" w:hAnsi="Garamond"/>
          <w:sz w:val="24"/>
          <w:szCs w:val="24"/>
          <w:lang w:val="es-MX"/>
        </w:rPr>
      </w:pPr>
      <w:r>
        <w:rPr>
          <w:rFonts w:ascii="Garamond" w:hAnsi="Garamond"/>
          <w:sz w:val="24"/>
          <w:szCs w:val="24"/>
          <w:lang w:val="es-MX"/>
        </w:rPr>
        <w:t xml:space="preserve">Esta expresión permite medir el desequilibrio existente en </w:t>
      </w:r>
      <m:oMath>
        <m:r>
          <w:rPr>
            <w:rFonts w:ascii="Cambria Math" w:hAnsi="Cambria Math"/>
            <w:sz w:val="24"/>
            <w:szCs w:val="24"/>
            <w:lang w:val="es-MX"/>
          </w:rPr>
          <m:t>t-1</m:t>
        </m:r>
      </m:oMath>
      <w:r>
        <w:rPr>
          <w:rFonts w:ascii="Garamond" w:eastAsiaTheme="minorEastAsia" w:hAnsi="Garamond"/>
          <w:sz w:val="24"/>
          <w:szCs w:val="24"/>
          <w:lang w:val="es-MX"/>
        </w:rPr>
        <w:t xml:space="preserve">. Claramente, si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e</m:t>
            </m:r>
          </m:e>
          <m:sub>
            <m:r>
              <w:rPr>
                <w:rFonts w:ascii="Cambria Math" w:eastAsiaTheme="minorEastAsia" w:hAnsi="Cambria Math"/>
                <w:sz w:val="24"/>
                <w:szCs w:val="24"/>
                <w:lang w:val="es-MX"/>
              </w:rPr>
              <m:t>k,t-1</m:t>
            </m:r>
          </m:sub>
        </m:sSub>
        <m:r>
          <w:rPr>
            <w:rFonts w:ascii="Cambria Math" w:eastAsiaTheme="minorEastAsia" w:hAnsi="Cambria Math"/>
            <w:sz w:val="24"/>
            <w:szCs w:val="24"/>
            <w:lang w:val="es-MX"/>
          </w:rPr>
          <m:t>&gt;0</m:t>
        </m:r>
      </m:oMath>
      <w:r>
        <w:rPr>
          <w:rFonts w:ascii="Garamond" w:eastAsiaTheme="minorEastAsia" w:hAnsi="Garamond"/>
          <w:sz w:val="24"/>
          <w:szCs w:val="24"/>
          <w:lang w:val="es-MX"/>
        </w:rPr>
        <w:t xml:space="preserve">, el precio minorista se encuentra por encima del nivel consistente con el equilibrio del largo plazo (dado el precio mayorista vigente). </w:t>
      </w:r>
    </w:p>
    <w:p w:rsidR="00600198" w:rsidRDefault="00600198" w:rsidP="008D18D5">
      <w:pPr>
        <w:jc w:val="both"/>
        <w:rPr>
          <w:rFonts w:ascii="Garamond" w:hAnsi="Garamond"/>
          <w:sz w:val="24"/>
          <w:szCs w:val="24"/>
          <w:lang w:val="es-MX"/>
        </w:rPr>
      </w:pPr>
      <w:r>
        <w:rPr>
          <w:rFonts w:ascii="Garamond" w:hAnsi="Garamond"/>
          <w:sz w:val="24"/>
          <w:szCs w:val="24"/>
          <w:lang w:val="es-MX"/>
        </w:rPr>
        <w:lastRenderedPageBreak/>
        <w:t>Así, la dinámica de corto plazo se deriva mediante la incorporación de este término en una ecuación en diferencias:</w:t>
      </w:r>
    </w:p>
    <w:p w:rsidR="00600198" w:rsidRPr="00600198" w:rsidRDefault="00B32201" w:rsidP="008D18D5">
      <w:pPr>
        <w:jc w:val="both"/>
        <w:rPr>
          <w:rFonts w:ascii="Garamond" w:eastAsiaTheme="minorEastAsia" w:hAnsi="Garamond"/>
          <w:sz w:val="24"/>
          <w:szCs w:val="24"/>
          <w:lang w:val="es-MX"/>
        </w:rPr>
      </w:pPr>
      <m:oMathPara>
        <m:oMath>
          <m:func>
            <m:funcPr>
              <m:ctrlPr>
                <w:rPr>
                  <w:rFonts w:ascii="Cambria Math" w:hAnsi="Cambria Math"/>
                  <w:sz w:val="24"/>
                  <w:szCs w:val="24"/>
                  <w:lang w:val="es-MX"/>
                </w:rPr>
              </m:ctrlPr>
            </m:funcPr>
            <m:fName>
              <m:r>
                <m:rPr>
                  <m:sty m:val="p"/>
                </m:rPr>
                <w:rPr>
                  <w:rFonts w:ascii="Cambria Math" w:hAnsi="Cambria Math"/>
                  <w:sz w:val="24"/>
                  <w:szCs w:val="24"/>
                  <w:lang w:val="es-MX"/>
                </w:rPr>
                <m:t>Δln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e>
              </m:d>
            </m:e>
          </m:func>
          <m:r>
            <w:rPr>
              <w:rFonts w:ascii="Cambria Math" w:hAnsi="Cambria Math"/>
              <w:sz w:val="24"/>
              <w:szCs w:val="24"/>
              <w:lang w:val="es-MX"/>
            </w:rPr>
            <m:t xml:space="preserve">= </m:t>
          </m:r>
          <m:sSub>
            <m:sSubPr>
              <m:ctrlPr>
                <w:rPr>
                  <w:rFonts w:ascii="Cambria Math" w:hAnsi="Cambria Math"/>
                  <w:i/>
                  <w:sz w:val="24"/>
                  <w:szCs w:val="24"/>
                  <w:lang w:val="es-MX"/>
                </w:rPr>
              </m:ctrlPr>
            </m:sSubPr>
            <m:e>
              <m:r>
                <w:rPr>
                  <w:rFonts w:ascii="Cambria Math" w:hAnsi="Cambria Math"/>
                  <w:sz w:val="24"/>
                  <w:szCs w:val="24"/>
                  <w:lang w:val="es-MX"/>
                </w:rPr>
                <m:t>c</m:t>
              </m:r>
            </m:e>
            <m:sub>
              <m:r>
                <w:rPr>
                  <w:rFonts w:ascii="Cambria Math" w:hAnsi="Cambria Math"/>
                  <w:sz w:val="24"/>
                  <w:szCs w:val="24"/>
                  <w:lang w:val="es-MX"/>
                </w:rPr>
                <m:t>k0</m:t>
              </m:r>
            </m:sub>
          </m:sSub>
          <m:r>
            <m:rPr>
              <m:sty m:val="p"/>
            </m:rPr>
            <w:rPr>
              <w:rFonts w:ascii="Cambria Math" w:hAnsi="Cambria Math"/>
              <w:sz w:val="24"/>
              <w:szCs w:val="24"/>
              <w:lang w:val="es-MX"/>
            </w:rPr>
            <m:t>+</m:t>
          </m:r>
          <m:nary>
            <m:naryPr>
              <m:chr m:val="∑"/>
              <m:limLoc m:val="undOvr"/>
              <m:ctrlPr>
                <w:rPr>
                  <w:rFonts w:ascii="Cambria Math" w:hAnsi="Cambria Math"/>
                  <w:i/>
                  <w:sz w:val="24"/>
                  <w:szCs w:val="24"/>
                  <w:lang w:val="es-MX"/>
                </w:rPr>
              </m:ctrlPr>
            </m:naryPr>
            <m:sub>
              <m:r>
                <w:rPr>
                  <w:rFonts w:ascii="Cambria Math" w:hAnsi="Cambria Math"/>
                  <w:sz w:val="24"/>
                  <w:szCs w:val="24"/>
                  <w:lang w:val="es-MX"/>
                </w:rPr>
                <m:t>p=1</m:t>
              </m:r>
            </m:sub>
            <m:sup>
              <m:r>
                <w:rPr>
                  <w:rFonts w:ascii="Cambria Math" w:hAnsi="Cambria Math"/>
                  <w:sz w:val="24"/>
                  <w:szCs w:val="24"/>
                  <w:lang w:val="es-MX"/>
                </w:rPr>
                <m:t>P</m:t>
              </m:r>
            </m:sup>
            <m:e>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kp</m:t>
                  </m:r>
                </m:sub>
              </m:sSub>
            </m:e>
          </m:nary>
          <m:func>
            <m:funcPr>
              <m:ctrlPr>
                <w:rPr>
                  <w:rFonts w:ascii="Cambria Math" w:hAnsi="Cambria Math"/>
                  <w:sz w:val="24"/>
                  <w:szCs w:val="24"/>
                  <w:lang w:val="es-MX"/>
                </w:rPr>
              </m:ctrlPr>
            </m:funcPr>
            <m:fName>
              <m:r>
                <m:rPr>
                  <m:sty m:val="p"/>
                </m:rPr>
                <w:rPr>
                  <w:rFonts w:ascii="Cambria Math" w:hAnsi="Cambria Math"/>
                  <w:sz w:val="24"/>
                  <w:szCs w:val="24"/>
                  <w:lang w:val="es-MX"/>
                </w:rPr>
                <m:t>Δln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k,t-p</m:t>
                      </m:r>
                    </m:sub>
                    <m:sup>
                      <m:r>
                        <w:rPr>
                          <w:rFonts w:ascii="Cambria Math" w:hAnsi="Cambria Math"/>
                          <w:sz w:val="24"/>
                          <w:szCs w:val="24"/>
                          <w:lang w:val="es-MX"/>
                        </w:rPr>
                        <m:t>min</m:t>
                      </m:r>
                    </m:sup>
                  </m:sSubSup>
                </m:e>
              </m:d>
            </m:e>
          </m:func>
          <m:r>
            <w:rPr>
              <w:rFonts w:ascii="Cambria Math" w:eastAsiaTheme="minorEastAsia" w:hAnsi="Cambria Math"/>
              <w:sz w:val="24"/>
              <w:szCs w:val="24"/>
              <w:lang w:val="es-MX"/>
            </w:rPr>
            <m:t>+</m:t>
          </m:r>
          <m:nary>
            <m:naryPr>
              <m:chr m:val="∑"/>
              <m:limLoc m:val="undOvr"/>
              <m:ctrlPr>
                <w:rPr>
                  <w:rFonts w:ascii="Cambria Math" w:hAnsi="Cambria Math"/>
                  <w:i/>
                  <w:sz w:val="24"/>
                  <w:szCs w:val="24"/>
                  <w:lang w:val="es-MX"/>
                </w:rPr>
              </m:ctrlPr>
            </m:naryPr>
            <m:sub>
              <m:r>
                <w:rPr>
                  <w:rFonts w:ascii="Cambria Math" w:hAnsi="Cambria Math"/>
                  <w:sz w:val="24"/>
                  <w:szCs w:val="24"/>
                  <w:lang w:val="es-MX"/>
                </w:rPr>
                <m:t>q=1</m:t>
              </m:r>
            </m:sub>
            <m:sup>
              <m:r>
                <w:rPr>
                  <w:rFonts w:ascii="Cambria Math" w:hAnsi="Cambria Math"/>
                  <w:sz w:val="24"/>
                  <w:szCs w:val="24"/>
                  <w:lang w:val="es-MX"/>
                </w:rPr>
                <m:t>Q</m:t>
              </m:r>
            </m:sup>
            <m:e>
              <m:sSub>
                <m:sSubPr>
                  <m:ctrlPr>
                    <w:rPr>
                      <w:rFonts w:ascii="Cambria Math" w:hAnsi="Cambria Math"/>
                      <w:i/>
                      <w:sz w:val="24"/>
                      <w:szCs w:val="24"/>
                      <w:lang w:val="es-MX"/>
                    </w:rPr>
                  </m:ctrlPr>
                </m:sSubPr>
                <m:e>
                  <m:r>
                    <w:rPr>
                      <w:rFonts w:ascii="Cambria Math" w:hAnsi="Cambria Math"/>
                      <w:sz w:val="24"/>
                      <w:szCs w:val="24"/>
                      <w:lang w:val="es-MX"/>
                    </w:rPr>
                    <m:t>γ</m:t>
                  </m:r>
                </m:e>
                <m:sub>
                  <m:r>
                    <w:rPr>
                      <w:rFonts w:ascii="Cambria Math" w:hAnsi="Cambria Math"/>
                      <w:sz w:val="24"/>
                      <w:szCs w:val="24"/>
                      <w:lang w:val="es-MX"/>
                    </w:rPr>
                    <m:t>kp</m:t>
                  </m:r>
                </m:sub>
              </m:sSub>
            </m:e>
          </m:nary>
          <m:func>
            <m:funcPr>
              <m:ctrlPr>
                <w:rPr>
                  <w:rFonts w:ascii="Cambria Math" w:hAnsi="Cambria Math"/>
                  <w:sz w:val="24"/>
                  <w:szCs w:val="24"/>
                  <w:lang w:val="es-MX"/>
                </w:rPr>
              </m:ctrlPr>
            </m:funcPr>
            <m:fName>
              <m:r>
                <m:rPr>
                  <m:sty m:val="p"/>
                </m:rPr>
                <w:rPr>
                  <w:rFonts w:ascii="Cambria Math" w:hAnsi="Cambria Math"/>
                  <w:sz w:val="24"/>
                  <w:szCs w:val="24"/>
                  <w:lang w:val="es-MX"/>
                </w:rPr>
                <m:t>Δln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k,t-q</m:t>
                      </m:r>
                    </m:sub>
                    <m:sup>
                      <m:r>
                        <w:rPr>
                          <w:rFonts w:ascii="Cambria Math" w:hAnsi="Cambria Math"/>
                          <w:sz w:val="24"/>
                          <w:szCs w:val="24"/>
                          <w:lang w:val="es-MX"/>
                        </w:rPr>
                        <m:t>may</m:t>
                      </m:r>
                    </m:sup>
                  </m:sSubSup>
                </m:e>
              </m:d>
            </m:e>
          </m:func>
          <m:r>
            <w:rPr>
              <w:rFonts w:ascii="Cambria Math" w:hAnsi="Cambria Math"/>
              <w:sz w:val="24"/>
              <w:szCs w:val="24"/>
              <w:lang w:val="es-MX"/>
            </w:rPr>
            <m:t>+</m:t>
          </m:r>
          <m:sSub>
            <m:sSubPr>
              <m:ctrlPr>
                <w:rPr>
                  <w:rFonts w:ascii="Cambria Math" w:eastAsiaTheme="minorEastAsia" w:hAnsi="Cambria Math"/>
                  <w:i/>
                  <w:sz w:val="24"/>
                  <w:szCs w:val="24"/>
                  <w:lang w:val="es-MX"/>
                </w:rPr>
              </m:ctrlPr>
            </m:sSubPr>
            <m:e>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θ</m:t>
                  </m:r>
                </m:e>
                <m:sub>
                  <m:r>
                    <w:rPr>
                      <w:rFonts w:ascii="Cambria Math" w:eastAsiaTheme="minorEastAsia" w:hAnsi="Cambria Math"/>
                      <w:sz w:val="24"/>
                      <w:szCs w:val="24"/>
                      <w:lang w:val="es-MX"/>
                    </w:rPr>
                    <m:t>k</m:t>
                  </m:r>
                </m:sub>
              </m:sSub>
              <m:r>
                <w:rPr>
                  <w:rFonts w:ascii="Cambria Math" w:eastAsiaTheme="minorEastAsia" w:hAnsi="Cambria Math"/>
                  <w:sz w:val="24"/>
                  <w:szCs w:val="24"/>
                  <w:lang w:val="es-MX"/>
                </w:rPr>
                <m:t>e</m:t>
              </m:r>
            </m:e>
            <m:sub>
              <m:r>
                <w:rPr>
                  <w:rFonts w:ascii="Cambria Math" w:eastAsiaTheme="minorEastAsia" w:hAnsi="Cambria Math"/>
                  <w:sz w:val="24"/>
                  <w:szCs w:val="24"/>
                  <w:lang w:val="es-MX"/>
                </w:rPr>
                <m:t>kt</m:t>
              </m:r>
            </m:sub>
          </m:sSub>
          <m:r>
            <w:rPr>
              <w:rFonts w:ascii="Cambria Math" w:eastAsiaTheme="minorEastAsia"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u</m:t>
              </m:r>
            </m:e>
            <m:sub>
              <m:r>
                <w:rPr>
                  <w:rFonts w:ascii="Cambria Math" w:hAnsi="Cambria Math"/>
                  <w:sz w:val="24"/>
                  <w:szCs w:val="24"/>
                  <w:lang w:val="es-MX"/>
                </w:rPr>
                <m:t>kt</m:t>
              </m:r>
            </m:sub>
          </m:sSub>
        </m:oMath>
      </m:oMathPara>
    </w:p>
    <w:p w:rsidR="00600198" w:rsidRPr="008D18D5" w:rsidRDefault="00600198" w:rsidP="008D18D5">
      <w:pPr>
        <w:jc w:val="both"/>
        <w:rPr>
          <w:rFonts w:ascii="Garamond" w:hAnsi="Garamond"/>
          <w:sz w:val="24"/>
          <w:szCs w:val="24"/>
          <w:lang w:val="es-MX"/>
        </w:rPr>
      </w:pPr>
      <w:r>
        <w:rPr>
          <w:rFonts w:ascii="Garamond" w:hAnsi="Garamond"/>
          <w:sz w:val="24"/>
          <w:szCs w:val="24"/>
          <w:lang w:val="es-MX"/>
        </w:rPr>
        <w:t>Los coeficientes {</w:t>
      </w:r>
      <m:oMath>
        <m:sSub>
          <m:sSubPr>
            <m:ctrlPr>
              <w:rPr>
                <w:rFonts w:ascii="Cambria Math" w:hAnsi="Cambria Math"/>
                <w:i/>
                <w:sz w:val="24"/>
                <w:szCs w:val="24"/>
                <w:lang w:val="es-MX"/>
              </w:rPr>
            </m:ctrlPr>
          </m:sSubPr>
          <m:e>
            <m:r>
              <w:rPr>
                <w:rFonts w:ascii="Cambria Math" w:hAnsi="Cambria Math"/>
                <w:sz w:val="24"/>
                <w:szCs w:val="24"/>
                <w:lang w:val="es-MX"/>
              </w:rPr>
              <m:t>β</m:t>
            </m:r>
          </m:e>
          <m:sub>
            <m:r>
              <w:rPr>
                <w:rFonts w:ascii="Cambria Math" w:hAnsi="Cambria Math"/>
                <w:sz w:val="24"/>
                <w:szCs w:val="24"/>
                <w:lang w:val="es-MX"/>
              </w:rPr>
              <m:t>kp</m:t>
            </m:r>
          </m:sub>
        </m:sSub>
        <m:r>
          <w:rPr>
            <w:rFonts w:ascii="Cambria Math" w:hAnsi="Cambria Math"/>
            <w:sz w:val="24"/>
            <w:szCs w:val="24"/>
            <w:lang w:val="es-MX"/>
          </w:rPr>
          <m:t>}</m:t>
        </m:r>
      </m:oMath>
      <w:r>
        <w:rPr>
          <w:rFonts w:ascii="Garamond" w:eastAsiaTheme="minorEastAsia" w:hAnsi="Garamond"/>
          <w:sz w:val="24"/>
          <w:szCs w:val="24"/>
          <w:lang w:val="es-MX"/>
        </w:rPr>
        <w:t xml:space="preserve"> capturan la dinámica autorregresiva propia del precio minorista, mientras que </w:t>
      </w:r>
      <m:oMath>
        <m:sSub>
          <m:sSubPr>
            <m:ctrlPr>
              <w:rPr>
                <w:rFonts w:ascii="Cambria Math" w:hAnsi="Cambria Math"/>
                <w:i/>
                <w:sz w:val="24"/>
                <w:szCs w:val="24"/>
                <w:lang w:val="es-MX"/>
              </w:rPr>
            </m:ctrlPr>
          </m:sSubPr>
          <m:e>
            <m:r>
              <w:rPr>
                <w:rFonts w:ascii="Cambria Math" w:hAnsi="Cambria Math"/>
                <w:sz w:val="24"/>
                <w:szCs w:val="24"/>
                <w:lang w:val="es-MX"/>
              </w:rPr>
              <m:t>γ</m:t>
            </m:r>
          </m:e>
          <m:sub>
            <m:r>
              <w:rPr>
                <w:rFonts w:ascii="Cambria Math" w:hAnsi="Cambria Math"/>
                <w:sz w:val="24"/>
                <w:szCs w:val="24"/>
                <w:lang w:val="es-MX"/>
              </w:rPr>
              <m:t>kp</m:t>
            </m:r>
          </m:sub>
        </m:sSub>
      </m:oMath>
      <w:r>
        <w:rPr>
          <w:rFonts w:ascii="Garamond" w:eastAsiaTheme="minorEastAsia" w:hAnsi="Garamond"/>
          <w:sz w:val="24"/>
          <w:szCs w:val="24"/>
          <w:lang w:val="es-MX"/>
        </w:rPr>
        <w:t xml:space="preserve"> recoge el efecto de corto plazo de variaciones recientes en el precio mayorista. El parámetro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θ</m:t>
            </m:r>
          </m:e>
          <m:sub>
            <m:r>
              <w:rPr>
                <w:rFonts w:ascii="Cambria Math" w:eastAsiaTheme="minorEastAsia" w:hAnsi="Cambria Math"/>
                <w:sz w:val="24"/>
                <w:szCs w:val="24"/>
                <w:lang w:val="es-MX"/>
              </w:rPr>
              <m:t>k</m:t>
            </m:r>
          </m:sub>
        </m:sSub>
      </m:oMath>
      <w:r>
        <w:rPr>
          <w:rFonts w:ascii="Garamond" w:eastAsiaTheme="minorEastAsia" w:hAnsi="Garamond"/>
          <w:sz w:val="24"/>
          <w:szCs w:val="24"/>
          <w:lang w:val="es-MX"/>
        </w:rPr>
        <w:t xml:space="preserve"> mide la velocidad de ajuste hacia el equilibrio de largo plazo. Se espera, por tanto, que </w:t>
      </w:r>
      <m:oMath>
        <m:sSub>
          <m:sSubPr>
            <m:ctrlPr>
              <w:rPr>
                <w:rFonts w:ascii="Cambria Math" w:eastAsiaTheme="minorEastAsia" w:hAnsi="Cambria Math"/>
                <w:i/>
                <w:sz w:val="24"/>
                <w:szCs w:val="24"/>
                <w:lang w:val="es-MX"/>
              </w:rPr>
            </m:ctrlPr>
          </m:sSubPr>
          <m:e>
            <m:r>
              <w:rPr>
                <w:rFonts w:ascii="Cambria Math" w:eastAsiaTheme="minorEastAsia" w:hAnsi="Cambria Math"/>
                <w:sz w:val="24"/>
                <w:szCs w:val="24"/>
                <w:lang w:val="es-MX"/>
              </w:rPr>
              <m:t>θ</m:t>
            </m:r>
          </m:e>
          <m:sub>
            <m:r>
              <w:rPr>
                <w:rFonts w:ascii="Cambria Math" w:eastAsiaTheme="minorEastAsia" w:hAnsi="Cambria Math"/>
                <w:sz w:val="24"/>
                <w:szCs w:val="24"/>
                <w:lang w:val="es-MX"/>
              </w:rPr>
              <m:t>k</m:t>
            </m:r>
          </m:sub>
        </m:sSub>
        <m:r>
          <w:rPr>
            <w:rFonts w:ascii="Cambria Math" w:eastAsiaTheme="minorEastAsia" w:hAnsi="Cambria Math"/>
            <w:sz w:val="24"/>
            <w:szCs w:val="24"/>
            <w:lang w:val="es-MX"/>
          </w:rPr>
          <m:t>&lt;0</m:t>
        </m:r>
      </m:oMath>
      <w:r>
        <w:rPr>
          <w:rFonts w:ascii="Garamond" w:eastAsiaTheme="minorEastAsia" w:hAnsi="Garamond"/>
          <w:sz w:val="24"/>
          <w:szCs w:val="24"/>
          <w:lang w:val="es-MX"/>
        </w:rPr>
        <w:t xml:space="preserve">, tal que un desequilibrio positivo en </w:t>
      </w:r>
      <m:oMath>
        <m:r>
          <w:rPr>
            <w:rFonts w:ascii="Cambria Math" w:eastAsiaTheme="minorEastAsia" w:hAnsi="Cambria Math"/>
            <w:sz w:val="24"/>
            <w:szCs w:val="24"/>
            <w:lang w:val="es-MX"/>
          </w:rPr>
          <m:t>t-1</m:t>
        </m:r>
      </m:oMath>
      <w:r>
        <w:rPr>
          <w:rFonts w:ascii="Garamond" w:eastAsiaTheme="minorEastAsia" w:hAnsi="Garamond"/>
          <w:sz w:val="24"/>
          <w:szCs w:val="24"/>
          <w:lang w:val="es-MX"/>
        </w:rPr>
        <w:t xml:space="preserve"> (i.e. un precio minorista demasiado alto) sea corregido mediante una desaceleración en el crecimiento del precio minorista en el período siguiente. Claramente, cuanto más cercano a -1, más rápida es la corrección del desequilibrio.</w:t>
      </w:r>
    </w:p>
    <w:p w:rsidR="003F4B66" w:rsidRPr="001A4B05" w:rsidRDefault="001A4B05" w:rsidP="001A4B05">
      <w:pPr>
        <w:pStyle w:val="Prrafodelista"/>
        <w:numPr>
          <w:ilvl w:val="2"/>
          <w:numId w:val="1"/>
        </w:numPr>
        <w:jc w:val="both"/>
        <w:rPr>
          <w:rFonts w:ascii="Garamond" w:hAnsi="Garamond"/>
          <w:b/>
          <w:i/>
          <w:sz w:val="24"/>
          <w:szCs w:val="24"/>
          <w:lang w:val="es-MX"/>
        </w:rPr>
      </w:pPr>
      <w:r>
        <w:rPr>
          <w:rFonts w:ascii="Garamond" w:hAnsi="Garamond"/>
          <w:b/>
          <w:i/>
          <w:sz w:val="24"/>
          <w:szCs w:val="24"/>
          <w:lang w:val="es-MX"/>
        </w:rPr>
        <w:t xml:space="preserve">Metodología E: </w:t>
      </w:r>
      <w:r w:rsidR="003F4B66" w:rsidRPr="001A4B05">
        <w:rPr>
          <w:rFonts w:ascii="Garamond" w:hAnsi="Garamond"/>
          <w:b/>
          <w:i/>
          <w:sz w:val="24"/>
          <w:szCs w:val="24"/>
          <w:lang w:val="es-MX"/>
        </w:rPr>
        <w:t>Modelo de corrección de error asimétrico</w:t>
      </w:r>
    </w:p>
    <w:p w:rsidR="00600198" w:rsidRDefault="00600198" w:rsidP="00600198">
      <w:pPr>
        <w:jc w:val="both"/>
        <w:rPr>
          <w:rFonts w:ascii="Garamond" w:hAnsi="Garamond"/>
          <w:sz w:val="24"/>
          <w:szCs w:val="24"/>
          <w:lang w:val="es-MX"/>
        </w:rPr>
      </w:pPr>
      <w:r>
        <w:rPr>
          <w:rFonts w:ascii="Garamond" w:hAnsi="Garamond"/>
          <w:sz w:val="24"/>
          <w:szCs w:val="24"/>
          <w:lang w:val="es-MX"/>
        </w:rPr>
        <w:t xml:space="preserve">Note que la metodología D impone implícitamente el supuesto según el cual la velocidad de ajuste hacia el equilibrio es simétrica ante desviaciones positivas y negativas. No obstante, la literatura reciente sobre transmisión de precios documento patrones de ajuste asimétrico. Típicamente, una transmisión más rápida de los incrementos en el precio mayorista que de </w:t>
      </w:r>
      <w:proofErr w:type="gramStart"/>
      <w:r>
        <w:rPr>
          <w:rFonts w:ascii="Garamond" w:hAnsi="Garamond"/>
          <w:sz w:val="24"/>
          <w:szCs w:val="24"/>
          <w:lang w:val="es-MX"/>
        </w:rPr>
        <w:t>las reducción</w:t>
      </w:r>
      <w:proofErr w:type="gramEnd"/>
      <w:r>
        <w:rPr>
          <w:rFonts w:ascii="Garamond" w:hAnsi="Garamond"/>
          <w:sz w:val="24"/>
          <w:szCs w:val="24"/>
          <w:lang w:val="es-MX"/>
        </w:rPr>
        <w:t>, que corresponde a un fenómeno asociado al ejercicio de poder de mercado en los eslabones de comercialización (</w:t>
      </w:r>
      <w:proofErr w:type="spellStart"/>
      <w:r>
        <w:rPr>
          <w:rFonts w:ascii="Garamond" w:hAnsi="Garamond"/>
          <w:sz w:val="24"/>
          <w:szCs w:val="24"/>
          <w:lang w:val="es-MX"/>
        </w:rPr>
        <w:t>Chesnes</w:t>
      </w:r>
      <w:proofErr w:type="spellEnd"/>
      <w:r>
        <w:rPr>
          <w:rFonts w:ascii="Garamond" w:hAnsi="Garamond"/>
          <w:sz w:val="24"/>
          <w:szCs w:val="24"/>
          <w:lang w:val="es-MX"/>
        </w:rPr>
        <w:t>, 2010). La Metodología E flexibiliza este supuesto mediante la implementación de un modelo de corrección de error asimétrico (A-ECM).</w:t>
      </w:r>
    </w:p>
    <w:p w:rsidR="003F4B66" w:rsidRDefault="00600198" w:rsidP="00600198">
      <w:pPr>
        <w:jc w:val="both"/>
        <w:rPr>
          <w:rFonts w:ascii="Garamond" w:hAnsi="Garamond"/>
          <w:sz w:val="24"/>
          <w:szCs w:val="24"/>
          <w:lang w:val="es-MX"/>
        </w:rPr>
      </w:pPr>
      <w:r>
        <w:rPr>
          <w:rFonts w:ascii="Garamond" w:hAnsi="Garamond"/>
          <w:sz w:val="24"/>
          <w:szCs w:val="24"/>
          <w:lang w:val="es-MX"/>
        </w:rPr>
        <w:t xml:space="preserve">La relación de largo plazo se estima de forma análoga a la Metodología D; sin embargo, el residuo estimado </w:t>
      </w:r>
      <m:oMath>
        <m:sSub>
          <m:sSubPr>
            <m:ctrlPr>
              <w:rPr>
                <w:rFonts w:ascii="Cambria Math" w:eastAsiaTheme="minorEastAsia" w:hAnsi="Cambria Math"/>
                <w:i/>
                <w:sz w:val="24"/>
                <w:szCs w:val="24"/>
                <w:lang w:val="es-MX"/>
              </w:rPr>
            </m:ctrlPr>
          </m:sSubPr>
          <m:e>
            <m:acc>
              <m:accPr>
                <m:ctrlPr>
                  <w:rPr>
                    <w:rFonts w:ascii="Cambria Math" w:eastAsiaTheme="minorEastAsia" w:hAnsi="Cambria Math"/>
                    <w:i/>
                    <w:sz w:val="24"/>
                    <w:szCs w:val="24"/>
                    <w:lang w:val="es-MX"/>
                  </w:rPr>
                </m:ctrlPr>
              </m:accPr>
              <m:e>
                <m:r>
                  <w:rPr>
                    <w:rFonts w:ascii="Cambria Math" w:eastAsiaTheme="minorEastAsia" w:hAnsi="Cambria Math"/>
                    <w:sz w:val="24"/>
                    <w:szCs w:val="24"/>
                    <w:lang w:val="es-MX"/>
                  </w:rPr>
                  <m:t>e</m:t>
                </m:r>
              </m:e>
            </m:acc>
          </m:e>
          <m:sub>
            <m:r>
              <w:rPr>
                <w:rFonts w:ascii="Cambria Math" w:eastAsiaTheme="minorEastAsia" w:hAnsi="Cambria Math"/>
                <w:sz w:val="24"/>
                <w:szCs w:val="24"/>
                <w:lang w:val="es-MX"/>
              </w:rPr>
              <m:t>k,t-1</m:t>
            </m:r>
          </m:sub>
        </m:sSub>
      </m:oMath>
      <w:r>
        <w:rPr>
          <w:rFonts w:ascii="Garamond" w:hAnsi="Garamond"/>
          <w:sz w:val="24"/>
          <w:szCs w:val="24"/>
          <w:lang w:val="es-MX"/>
        </w:rPr>
        <w:t xml:space="preserve"> se descompone en sus componentes positivo y negativo</w:t>
      </w:r>
    </w:p>
    <w:p w:rsidR="00600198" w:rsidRPr="00600198" w:rsidRDefault="00B32201" w:rsidP="00600198">
      <w:pPr>
        <w:jc w:val="both"/>
        <w:rPr>
          <w:rFonts w:ascii="Garamond" w:eastAsiaTheme="minorEastAsia" w:hAnsi="Garamond"/>
          <w:sz w:val="24"/>
          <w:szCs w:val="24"/>
          <w:lang w:val="es-MX"/>
        </w:rPr>
      </w:pPr>
      <m:oMathPara>
        <m:oMath>
          <m:sSubSup>
            <m:sSubSupPr>
              <m:ctrlPr>
                <w:rPr>
                  <w:rFonts w:ascii="Cambria Math" w:eastAsiaTheme="minorEastAsia" w:hAnsi="Cambria Math"/>
                  <w:i/>
                  <w:sz w:val="24"/>
                  <w:szCs w:val="24"/>
                  <w:lang w:val="es-MX"/>
                </w:rPr>
              </m:ctrlPr>
            </m:sSubSupPr>
            <m:e>
              <m:r>
                <w:rPr>
                  <w:rFonts w:ascii="Cambria Math" w:eastAsiaTheme="minorEastAsia" w:hAnsi="Cambria Math"/>
                  <w:sz w:val="24"/>
                  <w:szCs w:val="24"/>
                  <w:lang w:val="es-MX"/>
                </w:rPr>
                <m:t>e</m:t>
              </m:r>
            </m:e>
            <m:sub>
              <m:r>
                <w:rPr>
                  <w:rFonts w:ascii="Cambria Math" w:eastAsiaTheme="minorEastAsia" w:hAnsi="Cambria Math"/>
                  <w:sz w:val="24"/>
                  <w:szCs w:val="24"/>
                  <w:lang w:val="es-MX"/>
                </w:rPr>
                <m:t>t-1</m:t>
              </m:r>
            </m:sub>
            <m:sup>
              <m:r>
                <w:rPr>
                  <w:rFonts w:ascii="Cambria Math" w:eastAsiaTheme="minorEastAsia" w:hAnsi="Cambria Math"/>
                  <w:sz w:val="24"/>
                  <w:szCs w:val="24"/>
                  <w:lang w:val="es-MX"/>
                </w:rPr>
                <m:t>+</m:t>
              </m:r>
            </m:sup>
          </m:sSubSup>
          <m:r>
            <w:rPr>
              <w:rFonts w:ascii="Cambria Math" w:eastAsiaTheme="minorEastAsia" w:hAnsi="Cambria Math"/>
              <w:sz w:val="24"/>
              <w:szCs w:val="24"/>
              <w:lang w:val="es-MX"/>
            </w:rPr>
            <m:t>=</m:t>
          </m:r>
          <m:func>
            <m:funcPr>
              <m:ctrlPr>
                <w:rPr>
                  <w:rFonts w:ascii="Cambria Math" w:eastAsiaTheme="minorEastAsia" w:hAnsi="Cambria Math"/>
                  <w:sz w:val="24"/>
                  <w:szCs w:val="24"/>
                  <w:lang w:val="es-MX"/>
                </w:rPr>
              </m:ctrlPr>
            </m:funcPr>
            <m:fName>
              <m:r>
                <m:rPr>
                  <m:sty m:val="p"/>
                </m:rPr>
                <w:rPr>
                  <w:rFonts w:ascii="Cambria Math" w:eastAsiaTheme="minorEastAsia" w:hAnsi="Cambria Math"/>
                  <w:sz w:val="24"/>
                  <w:szCs w:val="24"/>
                  <w:lang w:val="es-MX"/>
                </w:rPr>
                <m:t>max</m:t>
              </m:r>
              <m:ctrlPr>
                <w:rPr>
                  <w:rFonts w:ascii="Cambria Math" w:eastAsiaTheme="minorEastAsia" w:hAnsi="Cambria Math"/>
                  <w:i/>
                  <w:sz w:val="24"/>
                  <w:szCs w:val="24"/>
                  <w:lang w:val="es-MX"/>
                </w:rPr>
              </m:ctrlPr>
            </m:fName>
            <m:e>
              <m:d>
                <m:dPr>
                  <m:ctrlPr>
                    <w:rPr>
                      <w:rFonts w:ascii="Cambria Math" w:eastAsiaTheme="minorEastAsia" w:hAnsi="Cambria Math"/>
                      <w:i/>
                      <w:sz w:val="24"/>
                      <w:szCs w:val="24"/>
                      <w:lang w:val="es-MX"/>
                    </w:rPr>
                  </m:ctrlPr>
                </m:dPr>
                <m:e>
                  <m:sSub>
                    <m:sSubPr>
                      <m:ctrlPr>
                        <w:rPr>
                          <w:rFonts w:ascii="Cambria Math" w:eastAsiaTheme="minorEastAsia" w:hAnsi="Cambria Math"/>
                          <w:i/>
                          <w:sz w:val="24"/>
                          <w:szCs w:val="24"/>
                          <w:lang w:val="es-MX"/>
                        </w:rPr>
                      </m:ctrlPr>
                    </m:sSubPr>
                    <m:e>
                      <m:acc>
                        <m:accPr>
                          <m:ctrlPr>
                            <w:rPr>
                              <w:rFonts w:ascii="Cambria Math" w:eastAsiaTheme="minorEastAsia" w:hAnsi="Cambria Math"/>
                              <w:i/>
                              <w:sz w:val="24"/>
                              <w:szCs w:val="24"/>
                              <w:lang w:val="es-MX"/>
                            </w:rPr>
                          </m:ctrlPr>
                        </m:accPr>
                        <m:e>
                          <m:r>
                            <w:rPr>
                              <w:rFonts w:ascii="Cambria Math" w:eastAsiaTheme="minorEastAsia" w:hAnsi="Cambria Math"/>
                              <w:sz w:val="24"/>
                              <w:szCs w:val="24"/>
                              <w:lang w:val="es-MX"/>
                            </w:rPr>
                            <m:t>e</m:t>
                          </m:r>
                        </m:e>
                      </m:acc>
                    </m:e>
                    <m:sub>
                      <m:r>
                        <w:rPr>
                          <w:rFonts w:ascii="Cambria Math" w:eastAsiaTheme="minorEastAsia" w:hAnsi="Cambria Math"/>
                          <w:sz w:val="24"/>
                          <w:szCs w:val="24"/>
                          <w:lang w:val="es-MX"/>
                        </w:rPr>
                        <m:t>k,t-1</m:t>
                      </m:r>
                    </m:sub>
                  </m:sSub>
                  <m:r>
                    <w:rPr>
                      <w:rFonts w:ascii="Cambria Math" w:eastAsiaTheme="minorEastAsia" w:hAnsi="Cambria Math"/>
                      <w:sz w:val="24"/>
                      <w:szCs w:val="24"/>
                      <w:lang w:val="es-MX"/>
                    </w:rPr>
                    <m:t>,0</m:t>
                  </m:r>
                </m:e>
              </m:d>
            </m:e>
          </m:func>
        </m:oMath>
      </m:oMathPara>
    </w:p>
    <w:p w:rsidR="00600198" w:rsidRPr="00600198" w:rsidRDefault="00B32201" w:rsidP="00600198">
      <w:pPr>
        <w:jc w:val="both"/>
        <w:rPr>
          <w:rFonts w:ascii="Garamond" w:eastAsiaTheme="minorEastAsia" w:hAnsi="Garamond"/>
          <w:sz w:val="24"/>
          <w:szCs w:val="24"/>
          <w:lang w:val="es-MX"/>
        </w:rPr>
      </w:pPr>
      <m:oMathPara>
        <m:oMath>
          <m:sSubSup>
            <m:sSubSupPr>
              <m:ctrlPr>
                <w:rPr>
                  <w:rFonts w:ascii="Cambria Math" w:eastAsiaTheme="minorEastAsia" w:hAnsi="Cambria Math"/>
                  <w:i/>
                  <w:sz w:val="24"/>
                  <w:szCs w:val="24"/>
                  <w:lang w:val="es-MX"/>
                </w:rPr>
              </m:ctrlPr>
            </m:sSubSupPr>
            <m:e>
              <m:r>
                <w:rPr>
                  <w:rFonts w:ascii="Cambria Math" w:eastAsiaTheme="minorEastAsia" w:hAnsi="Cambria Math"/>
                  <w:sz w:val="24"/>
                  <w:szCs w:val="24"/>
                  <w:lang w:val="es-MX"/>
                </w:rPr>
                <m:t>e</m:t>
              </m:r>
            </m:e>
            <m:sub>
              <m:r>
                <w:rPr>
                  <w:rFonts w:ascii="Cambria Math" w:eastAsiaTheme="minorEastAsia" w:hAnsi="Cambria Math"/>
                  <w:sz w:val="24"/>
                  <w:szCs w:val="24"/>
                  <w:lang w:val="es-MX"/>
                </w:rPr>
                <m:t>t-1</m:t>
              </m:r>
            </m:sub>
            <m:sup>
              <m:r>
                <w:rPr>
                  <w:rFonts w:ascii="Cambria Math" w:eastAsiaTheme="minorEastAsia" w:hAnsi="Cambria Math"/>
                  <w:sz w:val="24"/>
                  <w:szCs w:val="24"/>
                  <w:lang w:val="es-MX"/>
                </w:rPr>
                <m:t>-</m:t>
              </m:r>
            </m:sup>
          </m:sSubSup>
          <m:r>
            <w:rPr>
              <w:rFonts w:ascii="Cambria Math" w:eastAsiaTheme="minorEastAsia" w:hAnsi="Cambria Math"/>
              <w:sz w:val="24"/>
              <w:szCs w:val="24"/>
              <w:lang w:val="es-MX"/>
            </w:rPr>
            <m:t>=</m:t>
          </m:r>
          <m:r>
            <m:rPr>
              <m:sty m:val="p"/>
            </m:rPr>
            <w:rPr>
              <w:rFonts w:ascii="Cambria Math" w:eastAsiaTheme="minorEastAsia" w:hAnsi="Cambria Math"/>
              <w:sz w:val="24"/>
              <w:szCs w:val="24"/>
              <w:lang w:val="es-MX"/>
            </w:rPr>
            <m:t>min⁡</m:t>
          </m:r>
          <m:r>
            <w:rPr>
              <w:rFonts w:ascii="Cambria Math" w:eastAsiaTheme="minorEastAsia" w:hAnsi="Cambria Math"/>
              <w:sz w:val="24"/>
              <w:szCs w:val="24"/>
              <w:lang w:val="es-MX"/>
            </w:rPr>
            <m:t>(</m:t>
          </m:r>
          <m:sSub>
            <m:sSubPr>
              <m:ctrlPr>
                <w:rPr>
                  <w:rFonts w:ascii="Cambria Math" w:eastAsiaTheme="minorEastAsia" w:hAnsi="Cambria Math"/>
                  <w:i/>
                  <w:sz w:val="24"/>
                  <w:szCs w:val="24"/>
                  <w:lang w:val="es-MX"/>
                </w:rPr>
              </m:ctrlPr>
            </m:sSubPr>
            <m:e>
              <m:acc>
                <m:accPr>
                  <m:ctrlPr>
                    <w:rPr>
                      <w:rFonts w:ascii="Cambria Math" w:eastAsiaTheme="minorEastAsia" w:hAnsi="Cambria Math"/>
                      <w:i/>
                      <w:sz w:val="24"/>
                      <w:szCs w:val="24"/>
                      <w:lang w:val="es-MX"/>
                    </w:rPr>
                  </m:ctrlPr>
                </m:accPr>
                <m:e>
                  <m:r>
                    <w:rPr>
                      <w:rFonts w:ascii="Cambria Math" w:eastAsiaTheme="minorEastAsia" w:hAnsi="Cambria Math"/>
                      <w:sz w:val="24"/>
                      <w:szCs w:val="24"/>
                      <w:lang w:val="es-MX"/>
                    </w:rPr>
                    <m:t>e</m:t>
                  </m:r>
                </m:e>
              </m:acc>
            </m:e>
            <m:sub>
              <m:r>
                <w:rPr>
                  <w:rFonts w:ascii="Cambria Math" w:eastAsiaTheme="minorEastAsia" w:hAnsi="Cambria Math"/>
                  <w:sz w:val="24"/>
                  <w:szCs w:val="24"/>
                  <w:lang w:val="es-MX"/>
                </w:rPr>
                <m:t>k,t-1</m:t>
              </m:r>
            </m:sub>
          </m:sSub>
          <m:r>
            <w:rPr>
              <w:rFonts w:ascii="Cambria Math" w:eastAsiaTheme="minorEastAsia" w:hAnsi="Cambria Math"/>
              <w:sz w:val="24"/>
              <w:szCs w:val="24"/>
              <w:lang w:val="es-MX"/>
            </w:rPr>
            <m:t>,0)</m:t>
          </m:r>
        </m:oMath>
      </m:oMathPara>
    </w:p>
    <w:p w:rsidR="00600198" w:rsidRDefault="00600198" w:rsidP="00600198">
      <w:pPr>
        <w:jc w:val="both"/>
        <w:rPr>
          <w:rFonts w:ascii="Garamond" w:eastAsiaTheme="minorEastAsia" w:hAnsi="Garamond"/>
          <w:sz w:val="24"/>
          <w:szCs w:val="24"/>
          <w:lang w:val="es-MX"/>
        </w:rPr>
      </w:pPr>
      <w:r>
        <w:rPr>
          <w:rFonts w:ascii="Garamond" w:eastAsiaTheme="minorEastAsia" w:hAnsi="Garamond"/>
          <w:sz w:val="24"/>
          <w:szCs w:val="24"/>
          <w:lang w:val="es-MX"/>
        </w:rPr>
        <w:t xml:space="preserve">Así, </w:t>
      </w:r>
      <m:oMath>
        <m:sSubSup>
          <m:sSubSupPr>
            <m:ctrlPr>
              <w:rPr>
                <w:rFonts w:ascii="Cambria Math" w:eastAsiaTheme="minorEastAsia" w:hAnsi="Cambria Math"/>
                <w:i/>
                <w:sz w:val="24"/>
                <w:szCs w:val="24"/>
                <w:lang w:val="es-MX"/>
              </w:rPr>
            </m:ctrlPr>
          </m:sSubSupPr>
          <m:e>
            <m:r>
              <w:rPr>
                <w:rFonts w:ascii="Cambria Math" w:eastAsiaTheme="minorEastAsia" w:hAnsi="Cambria Math"/>
                <w:sz w:val="24"/>
                <w:szCs w:val="24"/>
                <w:lang w:val="es-MX"/>
              </w:rPr>
              <m:t>e</m:t>
            </m:r>
          </m:e>
          <m:sub>
            <m:r>
              <w:rPr>
                <w:rFonts w:ascii="Cambria Math" w:eastAsiaTheme="minorEastAsia" w:hAnsi="Cambria Math"/>
                <w:sz w:val="24"/>
                <w:szCs w:val="24"/>
                <w:lang w:val="es-MX"/>
              </w:rPr>
              <m:t>t-1</m:t>
            </m:r>
          </m:sub>
          <m:sup>
            <m:r>
              <w:rPr>
                <w:rFonts w:ascii="Cambria Math" w:eastAsiaTheme="minorEastAsia" w:hAnsi="Cambria Math"/>
                <w:sz w:val="24"/>
                <w:szCs w:val="24"/>
                <w:lang w:val="es-MX"/>
              </w:rPr>
              <m:t>+</m:t>
            </m:r>
          </m:sup>
        </m:sSubSup>
      </m:oMath>
      <w:r>
        <w:rPr>
          <w:rFonts w:ascii="Garamond" w:eastAsiaTheme="minorEastAsia" w:hAnsi="Garamond"/>
          <w:sz w:val="24"/>
          <w:szCs w:val="24"/>
          <w:lang w:val="es-MX"/>
        </w:rPr>
        <w:t xml:space="preserve"> captura los episodios en que el precio minorista está por encima del equilibrio, y </w:t>
      </w:r>
      <m:oMath>
        <m:sSubSup>
          <m:sSubSupPr>
            <m:ctrlPr>
              <w:rPr>
                <w:rFonts w:ascii="Cambria Math" w:eastAsiaTheme="minorEastAsia" w:hAnsi="Cambria Math"/>
                <w:i/>
                <w:sz w:val="24"/>
                <w:szCs w:val="24"/>
                <w:lang w:val="es-MX"/>
              </w:rPr>
            </m:ctrlPr>
          </m:sSubSupPr>
          <m:e>
            <m:r>
              <w:rPr>
                <w:rFonts w:ascii="Cambria Math" w:eastAsiaTheme="minorEastAsia" w:hAnsi="Cambria Math"/>
                <w:sz w:val="24"/>
                <w:szCs w:val="24"/>
                <w:lang w:val="es-MX"/>
              </w:rPr>
              <m:t>e</m:t>
            </m:r>
          </m:e>
          <m:sub>
            <m:r>
              <w:rPr>
                <w:rFonts w:ascii="Cambria Math" w:eastAsiaTheme="minorEastAsia" w:hAnsi="Cambria Math"/>
                <w:sz w:val="24"/>
                <w:szCs w:val="24"/>
                <w:lang w:val="es-MX"/>
              </w:rPr>
              <m:t>t-1</m:t>
            </m:r>
          </m:sub>
          <m:sup>
            <m:r>
              <w:rPr>
                <w:rFonts w:ascii="Cambria Math" w:eastAsiaTheme="minorEastAsia" w:hAnsi="Cambria Math"/>
                <w:sz w:val="24"/>
                <w:szCs w:val="24"/>
                <w:lang w:val="es-MX"/>
              </w:rPr>
              <m:t>-</m:t>
            </m:r>
          </m:sup>
        </m:sSubSup>
      </m:oMath>
      <w:r>
        <w:rPr>
          <w:rFonts w:ascii="Garamond" w:eastAsiaTheme="minorEastAsia" w:hAnsi="Garamond"/>
          <w:sz w:val="24"/>
          <w:szCs w:val="24"/>
          <w:lang w:val="es-MX"/>
        </w:rPr>
        <w:t xml:space="preserve"> captura los episodios en que está por debajo. De manera análoga, las primeras diferencias de ambos precios se descomponen en variaciones positivas y negativas. La especificación resultante es la siguiente:</w:t>
      </w:r>
    </w:p>
    <w:p w:rsidR="00600198" w:rsidRPr="0040079D" w:rsidRDefault="00B32201" w:rsidP="00600198">
      <w:pPr>
        <w:jc w:val="both"/>
        <w:rPr>
          <w:rFonts w:ascii="Garamond" w:eastAsiaTheme="minorEastAsia" w:hAnsi="Garamond"/>
          <w:sz w:val="24"/>
          <w:szCs w:val="24"/>
          <w:lang w:val="es-MX"/>
        </w:rPr>
      </w:pPr>
      <m:oMathPara>
        <m:oMath>
          <m:func>
            <m:funcPr>
              <m:ctrlPr>
                <w:rPr>
                  <w:rFonts w:ascii="Cambria Math" w:hAnsi="Cambria Math"/>
                  <w:sz w:val="24"/>
                  <w:szCs w:val="24"/>
                  <w:lang w:val="es-MX"/>
                </w:rPr>
              </m:ctrlPr>
            </m:funcPr>
            <m:fName>
              <m:r>
                <m:rPr>
                  <m:sty m:val="p"/>
                </m:rPr>
                <w:rPr>
                  <w:rFonts w:ascii="Cambria Math" w:hAnsi="Cambria Math"/>
                  <w:sz w:val="24"/>
                  <w:szCs w:val="24"/>
                  <w:lang w:val="es-MX"/>
                </w:rPr>
                <m:t>Δln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m:t>
                      </m:r>
                    </m:sub>
                    <m:sup>
                      <m:r>
                        <w:rPr>
                          <w:rFonts w:ascii="Cambria Math" w:hAnsi="Cambria Math"/>
                          <w:sz w:val="24"/>
                          <w:szCs w:val="24"/>
                          <w:lang w:val="es-MX"/>
                        </w:rPr>
                        <m:t>min</m:t>
                      </m:r>
                    </m:sup>
                  </m:sSubSup>
                </m:e>
              </m:d>
            </m:e>
          </m:func>
          <m:r>
            <w:rPr>
              <w:rFonts w:ascii="Cambria Math" w:hAnsi="Cambria Math"/>
              <w:sz w:val="24"/>
              <w:szCs w:val="24"/>
              <w:lang w:val="es-MX"/>
            </w:rPr>
            <m:t xml:space="preserve">= </m:t>
          </m:r>
          <m:nary>
            <m:naryPr>
              <m:chr m:val="∑"/>
              <m:limLoc m:val="undOvr"/>
              <m:ctrlPr>
                <w:rPr>
                  <w:rFonts w:ascii="Cambria Math" w:hAnsi="Cambria Math"/>
                  <w:i/>
                  <w:sz w:val="24"/>
                  <w:szCs w:val="24"/>
                  <w:lang w:val="es-MX"/>
                </w:rPr>
              </m:ctrlPr>
            </m:naryPr>
            <m:sub>
              <m:r>
                <w:rPr>
                  <w:rFonts w:ascii="Cambria Math" w:hAnsi="Cambria Math"/>
                  <w:sz w:val="24"/>
                  <w:szCs w:val="24"/>
                  <w:lang w:val="es-MX"/>
                </w:rPr>
                <m:t>k=0</m:t>
              </m:r>
            </m:sub>
            <m:sup>
              <m:sSubSup>
                <m:sSubSupPr>
                  <m:ctrlPr>
                    <w:rPr>
                      <w:rFonts w:ascii="Cambria Math" w:hAnsi="Cambria Math"/>
                      <w:i/>
                      <w:sz w:val="24"/>
                      <w:szCs w:val="24"/>
                      <w:lang w:val="es-MX"/>
                    </w:rPr>
                  </m:ctrlPr>
                </m:sSubSupPr>
                <m:e>
                  <m:r>
                    <w:rPr>
                      <w:rFonts w:ascii="Cambria Math" w:hAnsi="Cambria Math"/>
                      <w:sz w:val="24"/>
                      <w:szCs w:val="24"/>
                      <w:lang w:val="es-MX"/>
                    </w:rPr>
                    <m:t>L</m:t>
                  </m:r>
                </m:e>
                <m:sub>
                  <m:r>
                    <w:rPr>
                      <w:rFonts w:ascii="Cambria Math" w:hAnsi="Cambria Math"/>
                      <w:sz w:val="24"/>
                      <w:szCs w:val="24"/>
                      <w:lang w:val="es-MX"/>
                    </w:rPr>
                    <m:t>1</m:t>
                  </m:r>
                </m:sub>
                <m:sup>
                  <m:r>
                    <w:rPr>
                      <w:rFonts w:ascii="Cambria Math" w:hAnsi="Cambria Math"/>
                      <w:sz w:val="24"/>
                      <w:szCs w:val="24"/>
                      <w:lang w:val="es-MX"/>
                    </w:rPr>
                    <m:t>+</m:t>
                  </m:r>
                </m:sup>
              </m:sSubSup>
            </m:sup>
            <m:e>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1k</m:t>
                  </m:r>
                </m:sub>
                <m:sup>
                  <m:r>
                    <w:rPr>
                      <w:rFonts w:ascii="Cambria Math" w:hAnsi="Cambria Math"/>
                      <w:sz w:val="24"/>
                      <w:szCs w:val="24"/>
                      <w:lang w:val="es-MX"/>
                    </w:rPr>
                    <m:t>+</m:t>
                  </m:r>
                </m:sup>
              </m:sSubSup>
            </m:e>
          </m:nary>
          <m:func>
            <m:funcPr>
              <m:ctrlPr>
                <w:rPr>
                  <w:rFonts w:ascii="Cambria Math" w:hAnsi="Cambria Math"/>
                  <w:sz w:val="24"/>
                  <w:szCs w:val="24"/>
                  <w:lang w:val="es-MX"/>
                </w:rPr>
              </m:ctrlPr>
            </m:funcPr>
            <m:fName>
              <m:sSup>
                <m:sSupPr>
                  <m:ctrlPr>
                    <w:rPr>
                      <w:rFonts w:ascii="Cambria Math" w:hAnsi="Cambria Math"/>
                      <w:sz w:val="24"/>
                      <w:szCs w:val="24"/>
                      <w:lang w:val="es-MX"/>
                    </w:rPr>
                  </m:ctrlPr>
                </m:sSupPr>
                <m:e>
                  <m:r>
                    <m:rPr>
                      <m:sty m:val="p"/>
                    </m:rPr>
                    <w:rPr>
                      <w:rFonts w:ascii="Cambria Math" w:hAnsi="Cambria Math"/>
                      <w:sz w:val="24"/>
                      <w:szCs w:val="24"/>
                      <w:lang w:val="es-MX"/>
                    </w:rPr>
                    <m:t>Δ</m:t>
                  </m:r>
                </m:e>
                <m:sup>
                  <m:r>
                    <w:rPr>
                      <w:rFonts w:ascii="Cambria Math" w:hAnsi="Cambria Math"/>
                      <w:sz w:val="24"/>
                      <w:szCs w:val="24"/>
                      <w:lang w:val="es-MX"/>
                    </w:rPr>
                    <m:t>+</m:t>
                  </m:r>
                </m:sup>
              </m:sSup>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k,t-p</m:t>
                      </m:r>
                    </m:sub>
                    <m:sup>
                      <m:r>
                        <w:rPr>
                          <w:rFonts w:ascii="Cambria Math" w:hAnsi="Cambria Math"/>
                          <w:sz w:val="24"/>
                          <w:szCs w:val="24"/>
                          <w:lang w:val="es-MX"/>
                        </w:rPr>
                        <m:t>may</m:t>
                      </m:r>
                    </m:sup>
                  </m:sSubSup>
                </m:e>
              </m:d>
            </m:e>
          </m:func>
          <m:r>
            <w:rPr>
              <w:rFonts w:ascii="Cambria Math" w:eastAsiaTheme="minorEastAsia" w:hAnsi="Cambria Math"/>
              <w:sz w:val="24"/>
              <w:szCs w:val="24"/>
              <w:lang w:val="es-MX"/>
            </w:rPr>
            <m:t>+</m:t>
          </m:r>
          <m:nary>
            <m:naryPr>
              <m:chr m:val="∑"/>
              <m:limLoc m:val="undOvr"/>
              <m:ctrlPr>
                <w:rPr>
                  <w:rFonts w:ascii="Cambria Math" w:hAnsi="Cambria Math"/>
                  <w:i/>
                  <w:sz w:val="24"/>
                  <w:szCs w:val="24"/>
                  <w:lang w:val="es-MX"/>
                </w:rPr>
              </m:ctrlPr>
            </m:naryPr>
            <m:sub>
              <m:r>
                <w:rPr>
                  <w:rFonts w:ascii="Cambria Math" w:hAnsi="Cambria Math"/>
                  <w:sz w:val="24"/>
                  <w:szCs w:val="24"/>
                  <w:lang w:val="es-MX"/>
                </w:rPr>
                <m:t>k=0</m:t>
              </m:r>
            </m:sub>
            <m:sup>
              <m:sSubSup>
                <m:sSubSupPr>
                  <m:ctrlPr>
                    <w:rPr>
                      <w:rFonts w:ascii="Cambria Math" w:hAnsi="Cambria Math"/>
                      <w:i/>
                      <w:sz w:val="24"/>
                      <w:szCs w:val="24"/>
                      <w:lang w:val="es-MX"/>
                    </w:rPr>
                  </m:ctrlPr>
                </m:sSubSupPr>
                <m:e>
                  <m:r>
                    <w:rPr>
                      <w:rFonts w:ascii="Cambria Math" w:hAnsi="Cambria Math"/>
                      <w:sz w:val="24"/>
                      <w:szCs w:val="24"/>
                      <w:lang w:val="es-MX"/>
                    </w:rPr>
                    <m:t>L</m:t>
                  </m:r>
                </m:e>
                <m:sub>
                  <m:r>
                    <w:rPr>
                      <w:rFonts w:ascii="Cambria Math" w:hAnsi="Cambria Math"/>
                      <w:sz w:val="24"/>
                      <w:szCs w:val="24"/>
                      <w:lang w:val="es-MX"/>
                    </w:rPr>
                    <m:t>1</m:t>
                  </m:r>
                </m:sub>
                <m:sup>
                  <m:r>
                    <w:rPr>
                      <w:rFonts w:ascii="Cambria Math" w:hAnsi="Cambria Math"/>
                      <w:sz w:val="24"/>
                      <w:szCs w:val="24"/>
                      <w:lang w:val="es-MX"/>
                    </w:rPr>
                    <m:t>-</m:t>
                  </m:r>
                </m:sup>
              </m:sSubSup>
            </m:sup>
            <m:e>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1k</m:t>
                  </m:r>
                </m:sub>
                <m:sup>
                  <m:r>
                    <w:rPr>
                      <w:rFonts w:ascii="Cambria Math" w:hAnsi="Cambria Math"/>
                      <w:sz w:val="24"/>
                      <w:szCs w:val="24"/>
                      <w:lang w:val="es-MX"/>
                    </w:rPr>
                    <m:t>-</m:t>
                  </m:r>
                </m:sup>
              </m:sSubSup>
            </m:e>
          </m:nary>
          <m:func>
            <m:funcPr>
              <m:ctrlPr>
                <w:rPr>
                  <w:rFonts w:ascii="Cambria Math" w:hAnsi="Cambria Math"/>
                  <w:sz w:val="24"/>
                  <w:szCs w:val="24"/>
                  <w:lang w:val="es-MX"/>
                </w:rPr>
              </m:ctrlPr>
            </m:funcPr>
            <m:fName>
              <m:sSup>
                <m:sSupPr>
                  <m:ctrlPr>
                    <w:rPr>
                      <w:rFonts w:ascii="Cambria Math" w:hAnsi="Cambria Math"/>
                      <w:sz w:val="24"/>
                      <w:szCs w:val="24"/>
                      <w:lang w:val="es-MX"/>
                    </w:rPr>
                  </m:ctrlPr>
                </m:sSupPr>
                <m:e>
                  <m:r>
                    <m:rPr>
                      <m:sty m:val="p"/>
                    </m:rPr>
                    <w:rPr>
                      <w:rFonts w:ascii="Cambria Math" w:hAnsi="Cambria Math"/>
                      <w:sz w:val="24"/>
                      <w:szCs w:val="24"/>
                      <w:lang w:val="es-MX"/>
                    </w:rPr>
                    <m:t>Δ</m:t>
                  </m:r>
                </m:e>
                <m:sup>
                  <m:r>
                    <w:rPr>
                      <w:rFonts w:ascii="Cambria Math" w:hAnsi="Cambria Math"/>
                      <w:sz w:val="24"/>
                      <w:szCs w:val="24"/>
                      <w:lang w:val="es-MX"/>
                    </w:rPr>
                    <m:t>-</m:t>
                  </m:r>
                </m:sup>
              </m:sSup>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k,t-p</m:t>
                      </m:r>
                    </m:sub>
                    <m:sup>
                      <m:r>
                        <w:rPr>
                          <w:rFonts w:ascii="Cambria Math" w:hAnsi="Cambria Math"/>
                          <w:sz w:val="24"/>
                          <w:szCs w:val="24"/>
                          <w:lang w:val="es-MX"/>
                        </w:rPr>
                        <m:t>may</m:t>
                      </m:r>
                    </m:sup>
                  </m:sSubSup>
                </m:e>
              </m:d>
            </m:e>
          </m:func>
          <m:r>
            <w:rPr>
              <w:rFonts w:ascii="Cambria Math" w:hAnsi="Cambria Math"/>
              <w:sz w:val="24"/>
              <w:szCs w:val="24"/>
              <w:lang w:val="es-MX"/>
            </w:rPr>
            <m:t>+</m:t>
          </m:r>
        </m:oMath>
      </m:oMathPara>
    </w:p>
    <w:p w:rsidR="0040079D" w:rsidRPr="0040079D" w:rsidRDefault="00B32201" w:rsidP="00600198">
      <w:pPr>
        <w:jc w:val="both"/>
        <w:rPr>
          <w:rFonts w:ascii="Garamond" w:eastAsiaTheme="minorEastAsia" w:hAnsi="Garamond"/>
          <w:sz w:val="24"/>
          <w:szCs w:val="24"/>
          <w:lang w:val="es-MX"/>
        </w:rPr>
      </w:pPr>
      <m:oMathPara>
        <m:oMath>
          <m:nary>
            <m:naryPr>
              <m:chr m:val="∑"/>
              <m:limLoc m:val="undOvr"/>
              <m:ctrlPr>
                <w:rPr>
                  <w:rFonts w:ascii="Cambria Math" w:hAnsi="Cambria Math"/>
                  <w:i/>
                  <w:sz w:val="24"/>
                  <w:szCs w:val="24"/>
                  <w:lang w:val="es-MX"/>
                </w:rPr>
              </m:ctrlPr>
            </m:naryPr>
            <m:sub>
              <m:r>
                <w:rPr>
                  <w:rFonts w:ascii="Cambria Math" w:hAnsi="Cambria Math"/>
                  <w:sz w:val="24"/>
                  <w:szCs w:val="24"/>
                  <w:lang w:val="es-MX"/>
                </w:rPr>
                <m:t>k=0</m:t>
              </m:r>
            </m:sub>
            <m:sup>
              <m:sSubSup>
                <m:sSubSupPr>
                  <m:ctrlPr>
                    <w:rPr>
                      <w:rFonts w:ascii="Cambria Math" w:hAnsi="Cambria Math"/>
                      <w:i/>
                      <w:sz w:val="24"/>
                      <w:szCs w:val="24"/>
                      <w:lang w:val="es-MX"/>
                    </w:rPr>
                  </m:ctrlPr>
                </m:sSubSupPr>
                <m:e>
                  <m:r>
                    <w:rPr>
                      <w:rFonts w:ascii="Cambria Math" w:hAnsi="Cambria Math"/>
                      <w:sz w:val="24"/>
                      <w:szCs w:val="24"/>
                      <w:lang w:val="es-MX"/>
                    </w:rPr>
                    <m:t>L</m:t>
                  </m:r>
                </m:e>
                <m:sub>
                  <m:r>
                    <w:rPr>
                      <w:rFonts w:ascii="Cambria Math" w:hAnsi="Cambria Math"/>
                      <w:sz w:val="24"/>
                      <w:szCs w:val="24"/>
                      <w:lang w:val="es-MX"/>
                    </w:rPr>
                    <m:t>2</m:t>
                  </m:r>
                </m:sub>
                <m:sup>
                  <m:r>
                    <w:rPr>
                      <w:rFonts w:ascii="Cambria Math" w:hAnsi="Cambria Math"/>
                      <w:sz w:val="24"/>
                      <w:szCs w:val="24"/>
                      <w:lang w:val="es-MX"/>
                    </w:rPr>
                    <m:t>+</m:t>
                  </m:r>
                </m:sup>
              </m:sSubSup>
            </m:sup>
            <m:e>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2k</m:t>
                  </m:r>
                </m:sub>
                <m:sup>
                  <m:r>
                    <w:rPr>
                      <w:rFonts w:ascii="Cambria Math" w:hAnsi="Cambria Math"/>
                      <w:sz w:val="24"/>
                      <w:szCs w:val="24"/>
                      <w:lang w:val="es-MX"/>
                    </w:rPr>
                    <m:t>+</m:t>
                  </m:r>
                </m:sup>
              </m:sSubSup>
            </m:e>
          </m:nary>
          <m:func>
            <m:funcPr>
              <m:ctrlPr>
                <w:rPr>
                  <w:rFonts w:ascii="Cambria Math" w:hAnsi="Cambria Math"/>
                  <w:sz w:val="24"/>
                  <w:szCs w:val="24"/>
                  <w:lang w:val="es-MX"/>
                </w:rPr>
              </m:ctrlPr>
            </m:funcPr>
            <m:fName>
              <m:sSup>
                <m:sSupPr>
                  <m:ctrlPr>
                    <w:rPr>
                      <w:rFonts w:ascii="Cambria Math" w:hAnsi="Cambria Math"/>
                      <w:sz w:val="24"/>
                      <w:szCs w:val="24"/>
                      <w:lang w:val="es-MX"/>
                    </w:rPr>
                  </m:ctrlPr>
                </m:sSupPr>
                <m:e>
                  <m:r>
                    <m:rPr>
                      <m:sty m:val="p"/>
                    </m:rPr>
                    <w:rPr>
                      <w:rFonts w:ascii="Cambria Math" w:hAnsi="Cambria Math"/>
                      <w:sz w:val="24"/>
                      <w:szCs w:val="24"/>
                      <w:lang w:val="es-MX"/>
                    </w:rPr>
                    <m:t>Δ</m:t>
                  </m:r>
                </m:e>
                <m:sup>
                  <m:r>
                    <w:rPr>
                      <w:rFonts w:ascii="Cambria Math" w:hAnsi="Cambria Math"/>
                      <w:sz w:val="24"/>
                      <w:szCs w:val="24"/>
                      <w:lang w:val="es-MX"/>
                    </w:rPr>
                    <m:t>+</m:t>
                  </m:r>
                </m:sup>
              </m:sSup>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k,t-p</m:t>
                      </m:r>
                    </m:sub>
                    <m:sup>
                      <m:r>
                        <w:rPr>
                          <w:rFonts w:ascii="Cambria Math" w:hAnsi="Cambria Math"/>
                          <w:sz w:val="24"/>
                          <w:szCs w:val="24"/>
                          <w:lang w:val="es-MX"/>
                        </w:rPr>
                        <m:t>min</m:t>
                      </m:r>
                    </m:sup>
                  </m:sSubSup>
                </m:e>
              </m:d>
            </m:e>
          </m:func>
          <m:r>
            <w:rPr>
              <w:rFonts w:ascii="Cambria Math" w:eastAsiaTheme="minorEastAsia" w:hAnsi="Cambria Math"/>
              <w:sz w:val="24"/>
              <w:szCs w:val="24"/>
              <w:lang w:val="es-MX"/>
            </w:rPr>
            <m:t>+</m:t>
          </m:r>
          <m:nary>
            <m:naryPr>
              <m:chr m:val="∑"/>
              <m:limLoc m:val="undOvr"/>
              <m:ctrlPr>
                <w:rPr>
                  <w:rFonts w:ascii="Cambria Math" w:hAnsi="Cambria Math"/>
                  <w:i/>
                  <w:sz w:val="24"/>
                  <w:szCs w:val="24"/>
                  <w:lang w:val="es-MX"/>
                </w:rPr>
              </m:ctrlPr>
            </m:naryPr>
            <m:sub>
              <m:r>
                <w:rPr>
                  <w:rFonts w:ascii="Cambria Math" w:hAnsi="Cambria Math"/>
                  <w:sz w:val="24"/>
                  <w:szCs w:val="24"/>
                  <w:lang w:val="es-MX"/>
                </w:rPr>
                <m:t>k=0</m:t>
              </m:r>
            </m:sub>
            <m:sup>
              <m:sSubSup>
                <m:sSubSupPr>
                  <m:ctrlPr>
                    <w:rPr>
                      <w:rFonts w:ascii="Cambria Math" w:hAnsi="Cambria Math"/>
                      <w:i/>
                      <w:sz w:val="24"/>
                      <w:szCs w:val="24"/>
                      <w:lang w:val="es-MX"/>
                    </w:rPr>
                  </m:ctrlPr>
                </m:sSubSupPr>
                <m:e>
                  <m:r>
                    <w:rPr>
                      <w:rFonts w:ascii="Cambria Math" w:hAnsi="Cambria Math"/>
                      <w:sz w:val="24"/>
                      <w:szCs w:val="24"/>
                      <w:lang w:val="es-MX"/>
                    </w:rPr>
                    <m:t>L</m:t>
                  </m:r>
                </m:e>
                <m:sub>
                  <m:r>
                    <w:rPr>
                      <w:rFonts w:ascii="Cambria Math" w:hAnsi="Cambria Math"/>
                      <w:sz w:val="24"/>
                      <w:szCs w:val="24"/>
                      <w:lang w:val="es-MX"/>
                    </w:rPr>
                    <m:t>2</m:t>
                  </m:r>
                </m:sub>
                <m:sup>
                  <m:r>
                    <w:rPr>
                      <w:rFonts w:ascii="Cambria Math" w:hAnsi="Cambria Math"/>
                      <w:sz w:val="24"/>
                      <w:szCs w:val="24"/>
                      <w:lang w:val="es-MX"/>
                    </w:rPr>
                    <m:t>-</m:t>
                  </m:r>
                </m:sup>
              </m:sSubSup>
            </m:sup>
            <m:e>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2k</m:t>
                  </m:r>
                </m:sub>
                <m:sup>
                  <m:r>
                    <w:rPr>
                      <w:rFonts w:ascii="Cambria Math" w:hAnsi="Cambria Math"/>
                      <w:sz w:val="24"/>
                      <w:szCs w:val="24"/>
                      <w:lang w:val="es-MX"/>
                    </w:rPr>
                    <m:t>-</m:t>
                  </m:r>
                </m:sup>
              </m:sSubSup>
            </m:e>
          </m:nary>
          <m:func>
            <m:funcPr>
              <m:ctrlPr>
                <w:rPr>
                  <w:rFonts w:ascii="Cambria Math" w:hAnsi="Cambria Math"/>
                  <w:sz w:val="24"/>
                  <w:szCs w:val="24"/>
                  <w:lang w:val="es-MX"/>
                </w:rPr>
              </m:ctrlPr>
            </m:funcPr>
            <m:fName>
              <m:sSup>
                <m:sSupPr>
                  <m:ctrlPr>
                    <w:rPr>
                      <w:rFonts w:ascii="Cambria Math" w:hAnsi="Cambria Math"/>
                      <w:sz w:val="24"/>
                      <w:szCs w:val="24"/>
                      <w:lang w:val="es-MX"/>
                    </w:rPr>
                  </m:ctrlPr>
                </m:sSupPr>
                <m:e>
                  <m:r>
                    <m:rPr>
                      <m:sty m:val="p"/>
                    </m:rPr>
                    <w:rPr>
                      <w:rFonts w:ascii="Cambria Math" w:hAnsi="Cambria Math"/>
                      <w:sz w:val="24"/>
                      <w:szCs w:val="24"/>
                      <w:lang w:val="es-MX"/>
                    </w:rPr>
                    <m:t>Δ</m:t>
                  </m:r>
                </m:e>
                <m:sup>
                  <m:r>
                    <w:rPr>
                      <w:rFonts w:ascii="Cambria Math" w:hAnsi="Cambria Math"/>
                      <w:sz w:val="24"/>
                      <w:szCs w:val="24"/>
                      <w:lang w:val="es-MX"/>
                    </w:rPr>
                    <m:t>-</m:t>
                  </m:r>
                </m:sup>
              </m:sSup>
              <m:r>
                <m:rPr>
                  <m:sty m:val="p"/>
                </m:rPr>
                <w:rPr>
                  <w:rFonts w:ascii="Cambria Math" w:hAnsi="Cambria Math"/>
                  <w:sz w:val="24"/>
                  <w:szCs w:val="24"/>
                  <w:lang w:val="es-MX"/>
                </w:rPr>
                <m:t>ln</m:t>
              </m:r>
            </m:fName>
            <m:e>
              <m:d>
                <m:dPr>
                  <m:ctrlPr>
                    <w:rPr>
                      <w:rFonts w:ascii="Cambria Math" w:hAnsi="Cambria Math"/>
                      <w:i/>
                      <w:sz w:val="24"/>
                      <w:szCs w:val="24"/>
                      <w:lang w:val="es-MX"/>
                    </w:rPr>
                  </m:ctrlPr>
                </m:dPr>
                <m:e>
                  <m:sSubSup>
                    <m:sSubSupPr>
                      <m:ctrlPr>
                        <w:rPr>
                          <w:rFonts w:ascii="Cambria Math" w:hAnsi="Cambria Math"/>
                          <w:i/>
                          <w:sz w:val="24"/>
                          <w:szCs w:val="24"/>
                          <w:lang w:val="es-MX"/>
                        </w:rPr>
                      </m:ctrlPr>
                    </m:sSubSupPr>
                    <m:e>
                      <m:r>
                        <w:rPr>
                          <w:rFonts w:ascii="Cambria Math" w:hAnsi="Cambria Math"/>
                          <w:sz w:val="24"/>
                          <w:szCs w:val="24"/>
                          <w:lang w:val="es-MX"/>
                        </w:rPr>
                        <m:t>P</m:t>
                      </m:r>
                    </m:e>
                    <m:sub>
                      <m:r>
                        <w:rPr>
                          <w:rFonts w:ascii="Cambria Math" w:hAnsi="Cambria Math"/>
                          <w:sz w:val="24"/>
                          <w:szCs w:val="24"/>
                          <w:lang w:val="es-MX"/>
                        </w:rPr>
                        <m:t>k,t-p</m:t>
                      </m:r>
                    </m:sub>
                    <m:sup>
                      <m:r>
                        <w:rPr>
                          <w:rFonts w:ascii="Cambria Math" w:hAnsi="Cambria Math"/>
                          <w:sz w:val="24"/>
                          <w:szCs w:val="24"/>
                          <w:lang w:val="es-MX"/>
                        </w:rPr>
                        <m:t>min</m:t>
                      </m:r>
                    </m:sup>
                  </m:sSubSup>
                </m:e>
              </m:d>
            </m:e>
          </m:func>
          <m:r>
            <w:rPr>
              <w:rFonts w:ascii="Cambria Math" w:hAnsi="Cambria Math"/>
              <w:sz w:val="24"/>
              <w:szCs w:val="24"/>
              <w:lang w:val="es-MX"/>
            </w:rPr>
            <m:t>+</m:t>
          </m:r>
        </m:oMath>
      </m:oMathPara>
    </w:p>
    <w:p w:rsidR="0040079D" w:rsidRPr="0040079D" w:rsidRDefault="00B32201" w:rsidP="00600198">
      <w:pPr>
        <w:jc w:val="both"/>
        <w:rPr>
          <w:rFonts w:ascii="Garamond" w:eastAsiaTheme="minorEastAsia" w:hAnsi="Garamond"/>
          <w:sz w:val="24"/>
          <w:szCs w:val="24"/>
          <w:lang w:val="es-MX"/>
        </w:rPr>
      </w:pPr>
      <m:oMathPara>
        <m:oMath>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3</m:t>
              </m:r>
            </m:sub>
            <m:sup>
              <m:r>
                <w:rPr>
                  <w:rFonts w:ascii="Cambria Math" w:hAnsi="Cambria Math"/>
                  <w:sz w:val="24"/>
                  <w:szCs w:val="24"/>
                  <w:lang w:val="es-MX"/>
                </w:rPr>
                <m:t>-</m:t>
              </m:r>
            </m:sup>
          </m:sSubSup>
          <m:sSubSup>
            <m:sSubSupPr>
              <m:ctrlPr>
                <w:rPr>
                  <w:rFonts w:ascii="Cambria Math" w:eastAsiaTheme="minorEastAsia" w:hAnsi="Cambria Math"/>
                  <w:i/>
                  <w:sz w:val="24"/>
                  <w:szCs w:val="24"/>
                  <w:lang w:val="es-MX"/>
                </w:rPr>
              </m:ctrlPr>
            </m:sSubSupPr>
            <m:e>
              <m:r>
                <w:rPr>
                  <w:rFonts w:ascii="Cambria Math" w:eastAsiaTheme="minorEastAsia" w:hAnsi="Cambria Math"/>
                  <w:sz w:val="24"/>
                  <w:szCs w:val="24"/>
                  <w:lang w:val="es-MX"/>
                </w:rPr>
                <m:t>e</m:t>
              </m:r>
            </m:e>
            <m:sub>
              <m:r>
                <w:rPr>
                  <w:rFonts w:ascii="Cambria Math" w:eastAsiaTheme="minorEastAsia" w:hAnsi="Cambria Math"/>
                  <w:sz w:val="24"/>
                  <w:szCs w:val="24"/>
                  <w:lang w:val="es-MX"/>
                </w:rPr>
                <m:t>t-1</m:t>
              </m:r>
            </m:sub>
            <m:sup>
              <m:r>
                <w:rPr>
                  <w:rFonts w:ascii="Cambria Math" w:eastAsiaTheme="minorEastAsia" w:hAnsi="Cambria Math"/>
                  <w:sz w:val="24"/>
                  <w:szCs w:val="24"/>
                  <w:lang w:val="es-MX"/>
                </w:rPr>
                <m:t>+</m:t>
              </m:r>
            </m:sup>
          </m:sSubSup>
          <m:r>
            <w:rPr>
              <w:rFonts w:ascii="Cambria Math" w:hAnsi="Cambria Math"/>
              <w:sz w:val="24"/>
              <w:szCs w:val="24"/>
              <w:lang w:val="es-MX"/>
            </w:rPr>
            <m:t xml:space="preserve">+ </m:t>
          </m:r>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3k</m:t>
              </m:r>
            </m:sub>
            <m:sup>
              <m:r>
                <w:rPr>
                  <w:rFonts w:ascii="Cambria Math" w:hAnsi="Cambria Math"/>
                  <w:sz w:val="24"/>
                  <w:szCs w:val="24"/>
                  <w:lang w:val="es-MX"/>
                </w:rPr>
                <m:t>-</m:t>
              </m:r>
            </m:sup>
          </m:sSubSup>
          <m:sSubSup>
            <m:sSubSupPr>
              <m:ctrlPr>
                <w:rPr>
                  <w:rFonts w:ascii="Cambria Math" w:eastAsiaTheme="minorEastAsia" w:hAnsi="Cambria Math"/>
                  <w:i/>
                  <w:sz w:val="24"/>
                  <w:szCs w:val="24"/>
                  <w:lang w:val="es-MX"/>
                </w:rPr>
              </m:ctrlPr>
            </m:sSubSupPr>
            <m:e>
              <m:r>
                <w:rPr>
                  <w:rFonts w:ascii="Cambria Math" w:eastAsiaTheme="minorEastAsia" w:hAnsi="Cambria Math"/>
                  <w:sz w:val="24"/>
                  <w:szCs w:val="24"/>
                  <w:lang w:val="es-MX"/>
                </w:rPr>
                <m:t>e</m:t>
              </m:r>
            </m:e>
            <m:sub>
              <m:r>
                <w:rPr>
                  <w:rFonts w:ascii="Cambria Math" w:eastAsiaTheme="minorEastAsia" w:hAnsi="Cambria Math"/>
                  <w:sz w:val="24"/>
                  <w:szCs w:val="24"/>
                  <w:lang w:val="es-MX"/>
                </w:rPr>
                <m:t>t-1</m:t>
              </m:r>
            </m:sub>
            <m:sup>
              <m:r>
                <w:rPr>
                  <w:rFonts w:ascii="Cambria Math" w:eastAsiaTheme="minorEastAsia" w:hAnsi="Cambria Math"/>
                  <w:sz w:val="24"/>
                  <w:szCs w:val="24"/>
                  <w:lang w:val="es-MX"/>
                </w:rPr>
                <m:t>-</m:t>
              </m:r>
            </m:sup>
          </m:sSubSup>
          <m:r>
            <w:rPr>
              <w:rFonts w:ascii="Cambria Math" w:hAnsi="Cambria Math"/>
              <w:sz w:val="24"/>
              <w:szCs w:val="24"/>
              <w:lang w:val="es-MX"/>
            </w:rPr>
            <m:t>+</m:t>
          </m:r>
          <m:sSub>
            <m:sSubPr>
              <m:ctrlPr>
                <w:rPr>
                  <w:rFonts w:ascii="Cambria Math" w:hAnsi="Cambria Math"/>
                  <w:i/>
                  <w:sz w:val="24"/>
                  <w:szCs w:val="24"/>
                  <w:lang w:val="es-MX"/>
                </w:rPr>
              </m:ctrlPr>
            </m:sSubPr>
            <m:e>
              <m:r>
                <w:rPr>
                  <w:rFonts w:ascii="Cambria Math" w:hAnsi="Cambria Math"/>
                  <w:sz w:val="24"/>
                  <w:szCs w:val="24"/>
                  <w:lang w:val="es-MX"/>
                </w:rPr>
                <m:t>u</m:t>
              </m:r>
            </m:e>
            <m:sub>
              <m:r>
                <w:rPr>
                  <w:rFonts w:ascii="Cambria Math" w:hAnsi="Cambria Math"/>
                  <w:sz w:val="24"/>
                  <w:szCs w:val="24"/>
                  <w:lang w:val="es-MX"/>
                </w:rPr>
                <m:t>kt</m:t>
              </m:r>
            </m:sub>
          </m:sSub>
        </m:oMath>
      </m:oMathPara>
    </w:p>
    <w:p w:rsidR="0040079D" w:rsidRDefault="0040079D" w:rsidP="00600198">
      <w:pPr>
        <w:jc w:val="both"/>
        <w:rPr>
          <w:rFonts w:ascii="Garamond" w:eastAsiaTheme="minorEastAsia" w:hAnsi="Garamond"/>
          <w:sz w:val="24"/>
          <w:szCs w:val="24"/>
          <w:lang w:val="es-MX"/>
        </w:rPr>
      </w:pPr>
      <w:r>
        <w:rPr>
          <w:rFonts w:ascii="Garamond" w:eastAsiaTheme="minorEastAsia" w:hAnsi="Garamond"/>
          <w:sz w:val="24"/>
          <w:szCs w:val="24"/>
          <w:lang w:val="es-MX"/>
        </w:rPr>
        <w:t xml:space="preserve">Los coeficientes </w:t>
      </w:r>
      <m:oMath>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1k</m:t>
            </m:r>
          </m:sub>
          <m:sup>
            <m:r>
              <w:rPr>
                <w:rFonts w:ascii="Cambria Math" w:hAnsi="Cambria Math"/>
                <w:sz w:val="24"/>
                <w:szCs w:val="24"/>
                <w:lang w:val="es-MX"/>
              </w:rPr>
              <m:t>+</m:t>
            </m:r>
          </m:sup>
        </m:sSubSup>
      </m:oMath>
      <w:r>
        <w:rPr>
          <w:rFonts w:ascii="Garamond" w:eastAsiaTheme="minorEastAsia" w:hAnsi="Garamond"/>
          <w:sz w:val="24"/>
          <w:szCs w:val="24"/>
          <w:lang w:val="es-MX"/>
        </w:rPr>
        <w:t xml:space="preserve"> y </w:t>
      </w:r>
      <m:oMath>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1k</m:t>
            </m:r>
          </m:sub>
          <m:sup>
            <m:r>
              <w:rPr>
                <w:rFonts w:ascii="Cambria Math" w:hAnsi="Cambria Math"/>
                <w:sz w:val="24"/>
                <w:szCs w:val="24"/>
                <w:lang w:val="es-MX"/>
              </w:rPr>
              <m:t>-</m:t>
            </m:r>
          </m:sup>
        </m:sSubSup>
      </m:oMath>
      <w:r>
        <w:rPr>
          <w:rFonts w:ascii="Garamond" w:eastAsiaTheme="minorEastAsia" w:hAnsi="Garamond"/>
          <w:sz w:val="24"/>
          <w:szCs w:val="24"/>
          <w:lang w:val="es-MX"/>
        </w:rPr>
        <w:t xml:space="preserve"> miden el pass-through de corto plazo de aumentos y reducciones del precio mayorista, respectivamente. Esto permite contrastar si la transmisión es más rápida o de </w:t>
      </w:r>
      <w:r>
        <w:rPr>
          <w:rFonts w:ascii="Garamond" w:eastAsiaTheme="minorEastAsia" w:hAnsi="Garamond"/>
          <w:sz w:val="24"/>
          <w:szCs w:val="24"/>
          <w:lang w:val="es-MX"/>
        </w:rPr>
        <w:lastRenderedPageBreak/>
        <w:t xml:space="preserve">mayor magnitud en una dirección que en otra. Los coeficientes de corrección </w:t>
      </w:r>
      <m:oMath>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3</m:t>
            </m:r>
          </m:sub>
          <m:sup>
            <m:r>
              <w:rPr>
                <w:rFonts w:ascii="Cambria Math" w:hAnsi="Cambria Math"/>
                <w:sz w:val="24"/>
                <w:szCs w:val="24"/>
                <w:lang w:val="es-MX"/>
              </w:rPr>
              <m:t>-</m:t>
            </m:r>
          </m:sup>
        </m:sSubSup>
      </m:oMath>
      <w:r>
        <w:rPr>
          <w:rFonts w:ascii="Garamond" w:eastAsiaTheme="minorEastAsia" w:hAnsi="Garamond"/>
          <w:sz w:val="24"/>
          <w:szCs w:val="24"/>
          <w:lang w:val="es-MX"/>
        </w:rPr>
        <w:t xml:space="preserve"> y </w:t>
      </w:r>
      <m:oMath>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3</m:t>
            </m:r>
          </m:sub>
          <m:sup>
            <m:r>
              <w:rPr>
                <w:rFonts w:ascii="Cambria Math" w:hAnsi="Cambria Math"/>
                <w:sz w:val="24"/>
                <w:szCs w:val="24"/>
                <w:lang w:val="es-MX"/>
              </w:rPr>
              <m:t>+</m:t>
            </m:r>
          </m:sup>
        </m:sSubSup>
      </m:oMath>
      <w:r>
        <w:rPr>
          <w:rFonts w:ascii="Garamond" w:eastAsiaTheme="minorEastAsia" w:hAnsi="Garamond"/>
          <w:sz w:val="24"/>
          <w:szCs w:val="24"/>
          <w:lang w:val="es-MX"/>
        </w:rPr>
        <w:t xml:space="preserve"> capturan la velocidad de ajuste ante desequilibrios positivos y negativos por separado; se espera que ambos sean negativos, en virtud de las razones argüidas en la metodología D. La comparación de ambos coeficientes de corrección permite evaluar formalmente la hipótesis de asimetría: ¿el mercado corrige más rápido los excesos de precio minorista que los déficits? Es decir, </w:t>
      </w:r>
      <m:oMath>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3</m:t>
            </m:r>
          </m:sub>
          <m:sup>
            <m:r>
              <w:rPr>
                <w:rFonts w:ascii="Cambria Math" w:hAnsi="Cambria Math"/>
                <w:sz w:val="24"/>
                <w:szCs w:val="24"/>
                <w:lang w:val="es-MX"/>
              </w:rPr>
              <m:t>+</m:t>
            </m:r>
          </m:sup>
        </m:sSubSup>
        <m:r>
          <w:rPr>
            <w:rFonts w:ascii="Cambria Math" w:eastAsiaTheme="minorEastAsia" w:hAnsi="Cambria Math"/>
            <w:sz w:val="24"/>
            <w:szCs w:val="24"/>
            <w:lang w:val="es-MX"/>
          </w:rPr>
          <m:t>|&gt;</m:t>
        </m:r>
        <m:sSubSup>
          <m:sSubSupPr>
            <m:ctrlPr>
              <w:rPr>
                <w:rFonts w:ascii="Cambria Math" w:hAnsi="Cambria Math"/>
                <w:i/>
                <w:sz w:val="24"/>
                <w:szCs w:val="24"/>
                <w:lang w:val="es-MX"/>
              </w:rPr>
            </m:ctrlPr>
          </m:sSubSupPr>
          <m:e>
            <m:r>
              <w:rPr>
                <w:rFonts w:ascii="Cambria Math" w:hAnsi="Cambria Math"/>
                <w:sz w:val="24"/>
                <w:szCs w:val="24"/>
                <w:lang w:val="es-MX"/>
              </w:rPr>
              <m:t>|β</m:t>
            </m:r>
          </m:e>
          <m:sub>
            <m:r>
              <w:rPr>
                <w:rFonts w:ascii="Cambria Math" w:hAnsi="Cambria Math"/>
                <w:sz w:val="24"/>
                <w:szCs w:val="24"/>
                <w:lang w:val="es-MX"/>
              </w:rPr>
              <m:t>3</m:t>
            </m:r>
          </m:sub>
          <m:sup>
            <m:r>
              <w:rPr>
                <w:rFonts w:ascii="Cambria Math" w:hAnsi="Cambria Math"/>
                <w:sz w:val="24"/>
                <w:szCs w:val="24"/>
                <w:lang w:val="es-MX"/>
              </w:rPr>
              <m:t>-</m:t>
            </m:r>
          </m:sup>
        </m:sSubSup>
        <m:r>
          <w:rPr>
            <w:rFonts w:ascii="Cambria Math" w:eastAsiaTheme="minorEastAsia" w:hAnsi="Cambria Math"/>
            <w:sz w:val="24"/>
            <w:szCs w:val="24"/>
            <w:lang w:val="es-MX"/>
          </w:rPr>
          <m:t>|</m:t>
        </m:r>
      </m:oMath>
      <w:r>
        <w:rPr>
          <w:rFonts w:ascii="Garamond" w:eastAsiaTheme="minorEastAsia" w:hAnsi="Garamond"/>
          <w:sz w:val="24"/>
          <w:szCs w:val="24"/>
          <w:lang w:val="es-MX"/>
        </w:rPr>
        <w:t>.</w:t>
      </w:r>
    </w:p>
    <w:p w:rsidR="00910EE5" w:rsidRPr="00316B76" w:rsidRDefault="00910EE5" w:rsidP="00316B76">
      <w:pPr>
        <w:pStyle w:val="Prrafodelista"/>
        <w:numPr>
          <w:ilvl w:val="1"/>
          <w:numId w:val="3"/>
        </w:numPr>
        <w:jc w:val="both"/>
        <w:rPr>
          <w:rFonts w:ascii="Garamond" w:hAnsi="Garamond"/>
          <w:b/>
          <w:sz w:val="24"/>
          <w:szCs w:val="24"/>
          <w:lang w:val="es-MX"/>
        </w:rPr>
      </w:pPr>
      <w:r>
        <w:rPr>
          <w:rFonts w:ascii="Garamond" w:eastAsiaTheme="minorEastAsia" w:hAnsi="Garamond"/>
          <w:b/>
          <w:sz w:val="24"/>
          <w:szCs w:val="24"/>
          <w:lang w:val="es-MX"/>
        </w:rPr>
        <w:t xml:space="preserve"> </w:t>
      </w:r>
      <w:r w:rsidRPr="003F4B66">
        <w:rPr>
          <w:rFonts w:ascii="Garamond" w:hAnsi="Garamond"/>
          <w:b/>
          <w:sz w:val="24"/>
          <w:szCs w:val="24"/>
          <w:lang w:val="es-MX"/>
        </w:rPr>
        <w:t xml:space="preserve"> </w:t>
      </w:r>
      <w:r w:rsidR="00316B76">
        <w:rPr>
          <w:rFonts w:ascii="Garamond" w:hAnsi="Garamond"/>
          <w:b/>
          <w:sz w:val="24"/>
          <w:szCs w:val="24"/>
          <w:lang w:val="es-MX"/>
        </w:rPr>
        <w:t>Procedimiento de validación de precios minoristas</w:t>
      </w:r>
    </w:p>
    <w:p w:rsidR="00316B76" w:rsidRDefault="00316B76" w:rsidP="00316B76">
      <w:pPr>
        <w:jc w:val="both"/>
        <w:rPr>
          <w:rFonts w:ascii="Garamond" w:eastAsiaTheme="minorEastAsia" w:hAnsi="Garamond"/>
          <w:sz w:val="24"/>
          <w:szCs w:val="24"/>
          <w:lang w:val="es-MX"/>
        </w:rPr>
      </w:pPr>
      <w:r>
        <w:rPr>
          <w:rFonts w:ascii="Garamond" w:eastAsiaTheme="minorEastAsia" w:hAnsi="Garamond"/>
          <w:sz w:val="24"/>
          <w:szCs w:val="24"/>
          <w:lang w:val="es-MX"/>
        </w:rPr>
        <w:t xml:space="preserve">Con el objetivo de evaluar la capacidad predictiva de cada metodología, se implementa un esquema de validación </w:t>
      </w:r>
      <w:proofErr w:type="spellStart"/>
      <w:r>
        <w:rPr>
          <w:rFonts w:ascii="Garamond" w:eastAsiaTheme="minorEastAsia" w:hAnsi="Garamond"/>
          <w:sz w:val="24"/>
          <w:szCs w:val="24"/>
          <w:lang w:val="es-MX"/>
        </w:rPr>
        <w:t>hold-out</w:t>
      </w:r>
      <w:proofErr w:type="spellEnd"/>
      <w:r>
        <w:rPr>
          <w:rFonts w:ascii="Garamond" w:eastAsiaTheme="minorEastAsia" w:hAnsi="Garamond"/>
          <w:sz w:val="24"/>
          <w:szCs w:val="24"/>
          <w:lang w:val="es-MX"/>
        </w:rPr>
        <w:t xml:space="preserve"> sobre los alimentos y ciudades con series de precios minoristas completas. Para cada artículo </w:t>
      </w:r>
      <m:oMath>
        <m:r>
          <w:rPr>
            <w:rFonts w:ascii="Cambria Math" w:eastAsiaTheme="minorEastAsia" w:hAnsi="Cambria Math"/>
            <w:sz w:val="24"/>
            <w:szCs w:val="24"/>
            <w:lang w:val="es-MX"/>
          </w:rPr>
          <m:t>i</m:t>
        </m:r>
      </m:oMath>
      <w:r>
        <w:rPr>
          <w:rFonts w:ascii="Garamond" w:eastAsiaTheme="minorEastAsia" w:hAnsi="Garamond"/>
          <w:sz w:val="24"/>
          <w:szCs w:val="24"/>
          <w:lang w:val="es-MX"/>
        </w:rPr>
        <w:t xml:space="preserve"> en la ciudad </w:t>
      </w:r>
      <m:oMath>
        <m:r>
          <w:rPr>
            <w:rFonts w:ascii="Cambria Math" w:eastAsiaTheme="minorEastAsia" w:hAnsi="Cambria Math"/>
            <w:sz w:val="24"/>
            <w:szCs w:val="24"/>
            <w:lang w:val="es-MX"/>
          </w:rPr>
          <m:t>c</m:t>
        </m:r>
      </m:oMath>
      <w:r>
        <w:rPr>
          <w:rFonts w:ascii="Garamond" w:eastAsiaTheme="minorEastAsia" w:hAnsi="Garamond"/>
          <w:sz w:val="24"/>
          <w:szCs w:val="24"/>
          <w:lang w:val="es-MX"/>
        </w:rPr>
        <w:t>, los datos se dividen en dos subconjuntos:</w:t>
      </w:r>
    </w:p>
    <w:p w:rsidR="00316B76" w:rsidRPr="00316B76" w:rsidRDefault="00316B76" w:rsidP="00316B76">
      <w:pPr>
        <w:pStyle w:val="Prrafodelista"/>
        <w:numPr>
          <w:ilvl w:val="0"/>
          <w:numId w:val="4"/>
        </w:numPr>
        <w:jc w:val="both"/>
        <w:rPr>
          <w:rFonts w:ascii="Garamond" w:eastAsiaTheme="minorEastAsia" w:hAnsi="Garamond"/>
          <w:b/>
          <w:sz w:val="24"/>
          <w:szCs w:val="24"/>
          <w:lang w:val="es-MX"/>
        </w:rPr>
      </w:pPr>
      <w:r>
        <w:rPr>
          <w:rFonts w:ascii="Garamond" w:eastAsiaTheme="minorEastAsia" w:hAnsi="Garamond"/>
          <w:sz w:val="24"/>
          <w:szCs w:val="24"/>
          <w:lang w:val="es-MX"/>
        </w:rPr>
        <w:t>Un conjunto de entrenamiento con observaciones hasta enero de 2015, utilizado para estimar los parámetros de cada metodología.</w:t>
      </w:r>
    </w:p>
    <w:p w:rsidR="00316B76" w:rsidRPr="00316B76" w:rsidRDefault="00316B76" w:rsidP="00316B76">
      <w:pPr>
        <w:pStyle w:val="Prrafodelista"/>
        <w:numPr>
          <w:ilvl w:val="0"/>
          <w:numId w:val="4"/>
        </w:numPr>
        <w:jc w:val="both"/>
        <w:rPr>
          <w:rFonts w:ascii="Garamond" w:eastAsiaTheme="minorEastAsia" w:hAnsi="Garamond"/>
          <w:b/>
          <w:sz w:val="24"/>
          <w:szCs w:val="24"/>
          <w:lang w:val="es-MX"/>
        </w:rPr>
      </w:pPr>
      <w:r>
        <w:rPr>
          <w:rFonts w:ascii="Garamond" w:eastAsiaTheme="minorEastAsia" w:hAnsi="Garamond"/>
          <w:sz w:val="24"/>
          <w:szCs w:val="24"/>
          <w:lang w:val="es-MX"/>
        </w:rPr>
        <w:t>Un conjunto de validación a partir de dicha fecha, sobre el cual se simulan los precios imputados como si las observaciones minoristas no estuvieran disponibles.</w:t>
      </w:r>
    </w:p>
    <w:p w:rsidR="00316B76" w:rsidRPr="00316B76" w:rsidRDefault="00316B76" w:rsidP="00316B76">
      <w:pPr>
        <w:jc w:val="both"/>
        <w:rPr>
          <w:rFonts w:ascii="Garamond" w:eastAsiaTheme="minorEastAsia" w:hAnsi="Garamond"/>
          <w:sz w:val="24"/>
          <w:szCs w:val="24"/>
          <w:lang w:val="es-MX"/>
        </w:rPr>
      </w:pPr>
      <w:r>
        <w:rPr>
          <w:rFonts w:ascii="Garamond" w:eastAsiaTheme="minorEastAsia" w:hAnsi="Garamond"/>
          <w:sz w:val="24"/>
          <w:szCs w:val="24"/>
          <w:lang w:val="es-MX"/>
        </w:rPr>
        <w:t>Los precios imputados se comparan con los precios minoristas observados mediante cuatro métricas de precisión predictiva: (i) el error porcentual absoluto medio (MAPE); (</w:t>
      </w:r>
      <w:proofErr w:type="spellStart"/>
      <w:r>
        <w:rPr>
          <w:rFonts w:ascii="Garamond" w:eastAsiaTheme="minorEastAsia" w:hAnsi="Garamond"/>
          <w:sz w:val="24"/>
          <w:szCs w:val="24"/>
          <w:lang w:val="es-MX"/>
        </w:rPr>
        <w:t>ii</w:t>
      </w:r>
      <w:proofErr w:type="spellEnd"/>
      <w:r>
        <w:rPr>
          <w:rFonts w:ascii="Garamond" w:eastAsiaTheme="minorEastAsia" w:hAnsi="Garamond"/>
          <w:sz w:val="24"/>
          <w:szCs w:val="24"/>
          <w:lang w:val="es-MX"/>
        </w:rPr>
        <w:t>) la raíz del error cuadrático medio (RMSE); (</w:t>
      </w:r>
      <w:proofErr w:type="spellStart"/>
      <w:r>
        <w:rPr>
          <w:rFonts w:ascii="Garamond" w:eastAsiaTheme="minorEastAsia" w:hAnsi="Garamond"/>
          <w:sz w:val="24"/>
          <w:szCs w:val="24"/>
          <w:lang w:val="es-MX"/>
        </w:rPr>
        <w:t>iii</w:t>
      </w:r>
      <w:proofErr w:type="spellEnd"/>
      <w:r>
        <w:rPr>
          <w:rFonts w:ascii="Garamond" w:eastAsiaTheme="minorEastAsia" w:hAnsi="Garamond"/>
          <w:sz w:val="24"/>
          <w:szCs w:val="24"/>
          <w:lang w:val="es-MX"/>
        </w:rPr>
        <w:t xml:space="preserve">) el </w:t>
      </w:r>
      <w:r w:rsidR="00566CAE">
        <w:rPr>
          <w:rFonts w:ascii="Garamond" w:eastAsiaTheme="minorEastAsia" w:hAnsi="Garamond"/>
          <w:sz w:val="24"/>
          <w:szCs w:val="24"/>
          <w:lang w:val="es-MX"/>
        </w:rPr>
        <w:t>error absoluto medio (MAE); y (</w:t>
      </w:r>
      <w:proofErr w:type="spellStart"/>
      <w:r w:rsidR="00566CAE">
        <w:rPr>
          <w:rFonts w:ascii="Garamond" w:eastAsiaTheme="minorEastAsia" w:hAnsi="Garamond"/>
          <w:sz w:val="24"/>
          <w:szCs w:val="24"/>
          <w:lang w:val="es-MX"/>
        </w:rPr>
        <w:t>iv</w:t>
      </w:r>
      <w:proofErr w:type="spellEnd"/>
      <w:r w:rsidR="00566CAE">
        <w:rPr>
          <w:rFonts w:ascii="Garamond" w:eastAsiaTheme="minorEastAsia" w:hAnsi="Garamond"/>
          <w:sz w:val="24"/>
          <w:szCs w:val="24"/>
          <w:lang w:val="es-MX"/>
        </w:rPr>
        <w:t>) el sesgo medio. Adicionalmente, las metodologías se extienden hasta diciembre de 2024, que constituye el límite del período de estudio.</w:t>
      </w:r>
    </w:p>
    <w:sectPr w:rsidR="00316B76" w:rsidRPr="00316B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DB5668"/>
    <w:multiLevelType w:val="multilevel"/>
    <w:tmpl w:val="5A7E0F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33B2EB1"/>
    <w:multiLevelType w:val="hybridMultilevel"/>
    <w:tmpl w:val="73A623FE"/>
    <w:lvl w:ilvl="0" w:tplc="76783744">
      <w:start w:val="1"/>
      <w:numFmt w:val="bullet"/>
      <w:lvlText w:val="-"/>
      <w:lvlJc w:val="left"/>
      <w:pPr>
        <w:ind w:left="720" w:hanging="360"/>
      </w:pPr>
      <w:rPr>
        <w:rFonts w:ascii="Garamond" w:eastAsiaTheme="minorEastAsia" w:hAnsi="Garamond"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AFE6758"/>
    <w:multiLevelType w:val="multilevel"/>
    <w:tmpl w:val="D9A2C9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443951"/>
    <w:multiLevelType w:val="multilevel"/>
    <w:tmpl w:val="5A7E0F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66"/>
    <w:rsid w:val="00045491"/>
    <w:rsid w:val="00065FE4"/>
    <w:rsid w:val="001A4B05"/>
    <w:rsid w:val="00315050"/>
    <w:rsid w:val="00316B76"/>
    <w:rsid w:val="003F4B66"/>
    <w:rsid w:val="0040079D"/>
    <w:rsid w:val="00566CAE"/>
    <w:rsid w:val="005703E4"/>
    <w:rsid w:val="005C64FC"/>
    <w:rsid w:val="00600198"/>
    <w:rsid w:val="00784C0B"/>
    <w:rsid w:val="008D18D5"/>
    <w:rsid w:val="00910EE5"/>
    <w:rsid w:val="00B32201"/>
    <w:rsid w:val="00C11379"/>
    <w:rsid w:val="00F369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CA0AC-D6A1-4601-997D-C90E334D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F4B66"/>
    <w:pPr>
      <w:ind w:left="720"/>
      <w:contextualSpacing/>
    </w:pPr>
  </w:style>
  <w:style w:type="paragraph" w:customStyle="1" w:styleId="paragraph">
    <w:name w:val="paragraph"/>
    <w:basedOn w:val="Normal"/>
    <w:rsid w:val="003F4B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3F4B66"/>
  </w:style>
  <w:style w:type="character" w:customStyle="1" w:styleId="eop">
    <w:name w:val="eop"/>
    <w:basedOn w:val="Fuentedeprrafopredeter"/>
    <w:rsid w:val="003F4B66"/>
  </w:style>
  <w:style w:type="character" w:styleId="Textodelmarcadordeposicin">
    <w:name w:val="Placeholder Text"/>
    <w:basedOn w:val="Fuentedeprrafopredeter"/>
    <w:uiPriority w:val="99"/>
    <w:semiHidden/>
    <w:rsid w:val="00065F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5529926">
      <w:bodyDiv w:val="1"/>
      <w:marLeft w:val="0"/>
      <w:marRight w:val="0"/>
      <w:marTop w:val="0"/>
      <w:marBottom w:val="0"/>
      <w:divBdr>
        <w:top w:val="none" w:sz="0" w:space="0" w:color="auto"/>
        <w:left w:val="none" w:sz="0" w:space="0" w:color="auto"/>
        <w:bottom w:val="none" w:sz="0" w:space="0" w:color="auto"/>
        <w:right w:val="none" w:sz="0" w:space="0" w:color="auto"/>
      </w:divBdr>
      <w:divsChild>
        <w:div w:id="1648969721">
          <w:marLeft w:val="0"/>
          <w:marRight w:val="0"/>
          <w:marTop w:val="0"/>
          <w:marBottom w:val="0"/>
          <w:divBdr>
            <w:top w:val="none" w:sz="0" w:space="0" w:color="auto"/>
            <w:left w:val="none" w:sz="0" w:space="0" w:color="auto"/>
            <w:bottom w:val="none" w:sz="0" w:space="0" w:color="auto"/>
            <w:right w:val="none" w:sz="0" w:space="0" w:color="auto"/>
          </w:divBdr>
        </w:div>
        <w:div w:id="679814544">
          <w:marLeft w:val="0"/>
          <w:marRight w:val="0"/>
          <w:marTop w:val="0"/>
          <w:marBottom w:val="0"/>
          <w:divBdr>
            <w:top w:val="none" w:sz="0" w:space="0" w:color="auto"/>
            <w:left w:val="none" w:sz="0" w:space="0" w:color="auto"/>
            <w:bottom w:val="none" w:sz="0" w:space="0" w:color="auto"/>
            <w:right w:val="none" w:sz="0" w:space="0" w:color="auto"/>
          </w:divBdr>
        </w:div>
        <w:div w:id="377897534">
          <w:marLeft w:val="0"/>
          <w:marRight w:val="0"/>
          <w:marTop w:val="0"/>
          <w:marBottom w:val="0"/>
          <w:divBdr>
            <w:top w:val="none" w:sz="0" w:space="0" w:color="auto"/>
            <w:left w:val="none" w:sz="0" w:space="0" w:color="auto"/>
            <w:bottom w:val="none" w:sz="0" w:space="0" w:color="auto"/>
            <w:right w:val="none" w:sz="0" w:space="0" w:color="auto"/>
          </w:divBdr>
        </w:div>
        <w:div w:id="815024031">
          <w:marLeft w:val="0"/>
          <w:marRight w:val="0"/>
          <w:marTop w:val="0"/>
          <w:marBottom w:val="0"/>
          <w:divBdr>
            <w:top w:val="none" w:sz="0" w:space="0" w:color="auto"/>
            <w:left w:val="none" w:sz="0" w:space="0" w:color="auto"/>
            <w:bottom w:val="none" w:sz="0" w:space="0" w:color="auto"/>
            <w:right w:val="none" w:sz="0" w:space="0" w:color="auto"/>
          </w:divBdr>
          <w:divsChild>
            <w:div w:id="1978028926">
              <w:marLeft w:val="-75"/>
              <w:marRight w:val="0"/>
              <w:marTop w:val="30"/>
              <w:marBottom w:val="30"/>
              <w:divBdr>
                <w:top w:val="none" w:sz="0" w:space="0" w:color="auto"/>
                <w:left w:val="none" w:sz="0" w:space="0" w:color="auto"/>
                <w:bottom w:val="none" w:sz="0" w:space="0" w:color="auto"/>
                <w:right w:val="none" w:sz="0" w:space="0" w:color="auto"/>
              </w:divBdr>
              <w:divsChild>
                <w:div w:id="349339212">
                  <w:marLeft w:val="0"/>
                  <w:marRight w:val="0"/>
                  <w:marTop w:val="0"/>
                  <w:marBottom w:val="0"/>
                  <w:divBdr>
                    <w:top w:val="none" w:sz="0" w:space="0" w:color="auto"/>
                    <w:left w:val="none" w:sz="0" w:space="0" w:color="auto"/>
                    <w:bottom w:val="none" w:sz="0" w:space="0" w:color="auto"/>
                    <w:right w:val="none" w:sz="0" w:space="0" w:color="auto"/>
                  </w:divBdr>
                  <w:divsChild>
                    <w:div w:id="1907298429">
                      <w:marLeft w:val="0"/>
                      <w:marRight w:val="0"/>
                      <w:marTop w:val="0"/>
                      <w:marBottom w:val="0"/>
                      <w:divBdr>
                        <w:top w:val="none" w:sz="0" w:space="0" w:color="auto"/>
                        <w:left w:val="none" w:sz="0" w:space="0" w:color="auto"/>
                        <w:bottom w:val="none" w:sz="0" w:space="0" w:color="auto"/>
                        <w:right w:val="none" w:sz="0" w:space="0" w:color="auto"/>
                      </w:divBdr>
                    </w:div>
                  </w:divsChild>
                </w:div>
                <w:div w:id="269824221">
                  <w:marLeft w:val="0"/>
                  <w:marRight w:val="0"/>
                  <w:marTop w:val="0"/>
                  <w:marBottom w:val="0"/>
                  <w:divBdr>
                    <w:top w:val="none" w:sz="0" w:space="0" w:color="auto"/>
                    <w:left w:val="none" w:sz="0" w:space="0" w:color="auto"/>
                    <w:bottom w:val="none" w:sz="0" w:space="0" w:color="auto"/>
                    <w:right w:val="none" w:sz="0" w:space="0" w:color="auto"/>
                  </w:divBdr>
                  <w:divsChild>
                    <w:div w:id="1766421316">
                      <w:marLeft w:val="0"/>
                      <w:marRight w:val="0"/>
                      <w:marTop w:val="0"/>
                      <w:marBottom w:val="0"/>
                      <w:divBdr>
                        <w:top w:val="none" w:sz="0" w:space="0" w:color="auto"/>
                        <w:left w:val="none" w:sz="0" w:space="0" w:color="auto"/>
                        <w:bottom w:val="none" w:sz="0" w:space="0" w:color="auto"/>
                        <w:right w:val="none" w:sz="0" w:space="0" w:color="auto"/>
                      </w:divBdr>
                    </w:div>
                  </w:divsChild>
                </w:div>
                <w:div w:id="1747263807">
                  <w:marLeft w:val="0"/>
                  <w:marRight w:val="0"/>
                  <w:marTop w:val="0"/>
                  <w:marBottom w:val="0"/>
                  <w:divBdr>
                    <w:top w:val="none" w:sz="0" w:space="0" w:color="auto"/>
                    <w:left w:val="none" w:sz="0" w:space="0" w:color="auto"/>
                    <w:bottom w:val="none" w:sz="0" w:space="0" w:color="auto"/>
                    <w:right w:val="none" w:sz="0" w:space="0" w:color="auto"/>
                  </w:divBdr>
                  <w:divsChild>
                    <w:div w:id="771164223">
                      <w:marLeft w:val="0"/>
                      <w:marRight w:val="0"/>
                      <w:marTop w:val="0"/>
                      <w:marBottom w:val="0"/>
                      <w:divBdr>
                        <w:top w:val="none" w:sz="0" w:space="0" w:color="auto"/>
                        <w:left w:val="none" w:sz="0" w:space="0" w:color="auto"/>
                        <w:bottom w:val="none" w:sz="0" w:space="0" w:color="auto"/>
                        <w:right w:val="none" w:sz="0" w:space="0" w:color="auto"/>
                      </w:divBdr>
                    </w:div>
                  </w:divsChild>
                </w:div>
                <w:div w:id="1365209684">
                  <w:marLeft w:val="0"/>
                  <w:marRight w:val="0"/>
                  <w:marTop w:val="0"/>
                  <w:marBottom w:val="0"/>
                  <w:divBdr>
                    <w:top w:val="none" w:sz="0" w:space="0" w:color="auto"/>
                    <w:left w:val="none" w:sz="0" w:space="0" w:color="auto"/>
                    <w:bottom w:val="none" w:sz="0" w:space="0" w:color="auto"/>
                    <w:right w:val="none" w:sz="0" w:space="0" w:color="auto"/>
                  </w:divBdr>
                  <w:divsChild>
                    <w:div w:id="139812342">
                      <w:marLeft w:val="0"/>
                      <w:marRight w:val="0"/>
                      <w:marTop w:val="0"/>
                      <w:marBottom w:val="0"/>
                      <w:divBdr>
                        <w:top w:val="none" w:sz="0" w:space="0" w:color="auto"/>
                        <w:left w:val="none" w:sz="0" w:space="0" w:color="auto"/>
                        <w:bottom w:val="none" w:sz="0" w:space="0" w:color="auto"/>
                        <w:right w:val="none" w:sz="0" w:space="0" w:color="auto"/>
                      </w:divBdr>
                    </w:div>
                  </w:divsChild>
                </w:div>
                <w:div w:id="1248616922">
                  <w:marLeft w:val="0"/>
                  <w:marRight w:val="0"/>
                  <w:marTop w:val="0"/>
                  <w:marBottom w:val="0"/>
                  <w:divBdr>
                    <w:top w:val="none" w:sz="0" w:space="0" w:color="auto"/>
                    <w:left w:val="none" w:sz="0" w:space="0" w:color="auto"/>
                    <w:bottom w:val="none" w:sz="0" w:space="0" w:color="auto"/>
                    <w:right w:val="none" w:sz="0" w:space="0" w:color="auto"/>
                  </w:divBdr>
                  <w:divsChild>
                    <w:div w:id="439298049">
                      <w:marLeft w:val="0"/>
                      <w:marRight w:val="0"/>
                      <w:marTop w:val="0"/>
                      <w:marBottom w:val="0"/>
                      <w:divBdr>
                        <w:top w:val="none" w:sz="0" w:space="0" w:color="auto"/>
                        <w:left w:val="none" w:sz="0" w:space="0" w:color="auto"/>
                        <w:bottom w:val="none" w:sz="0" w:space="0" w:color="auto"/>
                        <w:right w:val="none" w:sz="0" w:space="0" w:color="auto"/>
                      </w:divBdr>
                    </w:div>
                  </w:divsChild>
                </w:div>
                <w:div w:id="1271398503">
                  <w:marLeft w:val="0"/>
                  <w:marRight w:val="0"/>
                  <w:marTop w:val="0"/>
                  <w:marBottom w:val="0"/>
                  <w:divBdr>
                    <w:top w:val="none" w:sz="0" w:space="0" w:color="auto"/>
                    <w:left w:val="none" w:sz="0" w:space="0" w:color="auto"/>
                    <w:bottom w:val="none" w:sz="0" w:space="0" w:color="auto"/>
                    <w:right w:val="none" w:sz="0" w:space="0" w:color="auto"/>
                  </w:divBdr>
                  <w:divsChild>
                    <w:div w:id="389771167">
                      <w:marLeft w:val="0"/>
                      <w:marRight w:val="0"/>
                      <w:marTop w:val="0"/>
                      <w:marBottom w:val="0"/>
                      <w:divBdr>
                        <w:top w:val="none" w:sz="0" w:space="0" w:color="auto"/>
                        <w:left w:val="none" w:sz="0" w:space="0" w:color="auto"/>
                        <w:bottom w:val="none" w:sz="0" w:space="0" w:color="auto"/>
                        <w:right w:val="none" w:sz="0" w:space="0" w:color="auto"/>
                      </w:divBdr>
                    </w:div>
                  </w:divsChild>
                </w:div>
                <w:div w:id="982925779">
                  <w:marLeft w:val="0"/>
                  <w:marRight w:val="0"/>
                  <w:marTop w:val="0"/>
                  <w:marBottom w:val="0"/>
                  <w:divBdr>
                    <w:top w:val="none" w:sz="0" w:space="0" w:color="auto"/>
                    <w:left w:val="none" w:sz="0" w:space="0" w:color="auto"/>
                    <w:bottom w:val="none" w:sz="0" w:space="0" w:color="auto"/>
                    <w:right w:val="none" w:sz="0" w:space="0" w:color="auto"/>
                  </w:divBdr>
                  <w:divsChild>
                    <w:div w:id="138622074">
                      <w:marLeft w:val="0"/>
                      <w:marRight w:val="0"/>
                      <w:marTop w:val="0"/>
                      <w:marBottom w:val="0"/>
                      <w:divBdr>
                        <w:top w:val="none" w:sz="0" w:space="0" w:color="auto"/>
                        <w:left w:val="none" w:sz="0" w:space="0" w:color="auto"/>
                        <w:bottom w:val="none" w:sz="0" w:space="0" w:color="auto"/>
                        <w:right w:val="none" w:sz="0" w:space="0" w:color="auto"/>
                      </w:divBdr>
                    </w:div>
                  </w:divsChild>
                </w:div>
                <w:div w:id="434520832">
                  <w:marLeft w:val="0"/>
                  <w:marRight w:val="0"/>
                  <w:marTop w:val="0"/>
                  <w:marBottom w:val="0"/>
                  <w:divBdr>
                    <w:top w:val="none" w:sz="0" w:space="0" w:color="auto"/>
                    <w:left w:val="none" w:sz="0" w:space="0" w:color="auto"/>
                    <w:bottom w:val="none" w:sz="0" w:space="0" w:color="auto"/>
                    <w:right w:val="none" w:sz="0" w:space="0" w:color="auto"/>
                  </w:divBdr>
                  <w:divsChild>
                    <w:div w:id="1215700925">
                      <w:marLeft w:val="0"/>
                      <w:marRight w:val="0"/>
                      <w:marTop w:val="0"/>
                      <w:marBottom w:val="0"/>
                      <w:divBdr>
                        <w:top w:val="none" w:sz="0" w:space="0" w:color="auto"/>
                        <w:left w:val="none" w:sz="0" w:space="0" w:color="auto"/>
                        <w:bottom w:val="none" w:sz="0" w:space="0" w:color="auto"/>
                        <w:right w:val="none" w:sz="0" w:space="0" w:color="auto"/>
                      </w:divBdr>
                    </w:div>
                  </w:divsChild>
                </w:div>
                <w:div w:id="714888890">
                  <w:marLeft w:val="0"/>
                  <w:marRight w:val="0"/>
                  <w:marTop w:val="0"/>
                  <w:marBottom w:val="0"/>
                  <w:divBdr>
                    <w:top w:val="none" w:sz="0" w:space="0" w:color="auto"/>
                    <w:left w:val="none" w:sz="0" w:space="0" w:color="auto"/>
                    <w:bottom w:val="none" w:sz="0" w:space="0" w:color="auto"/>
                    <w:right w:val="none" w:sz="0" w:space="0" w:color="auto"/>
                  </w:divBdr>
                  <w:divsChild>
                    <w:div w:id="1796290308">
                      <w:marLeft w:val="0"/>
                      <w:marRight w:val="0"/>
                      <w:marTop w:val="0"/>
                      <w:marBottom w:val="0"/>
                      <w:divBdr>
                        <w:top w:val="none" w:sz="0" w:space="0" w:color="auto"/>
                        <w:left w:val="none" w:sz="0" w:space="0" w:color="auto"/>
                        <w:bottom w:val="none" w:sz="0" w:space="0" w:color="auto"/>
                        <w:right w:val="none" w:sz="0" w:space="0" w:color="auto"/>
                      </w:divBdr>
                    </w:div>
                  </w:divsChild>
                </w:div>
                <w:div w:id="1476600375">
                  <w:marLeft w:val="0"/>
                  <w:marRight w:val="0"/>
                  <w:marTop w:val="0"/>
                  <w:marBottom w:val="0"/>
                  <w:divBdr>
                    <w:top w:val="none" w:sz="0" w:space="0" w:color="auto"/>
                    <w:left w:val="none" w:sz="0" w:space="0" w:color="auto"/>
                    <w:bottom w:val="none" w:sz="0" w:space="0" w:color="auto"/>
                    <w:right w:val="none" w:sz="0" w:space="0" w:color="auto"/>
                  </w:divBdr>
                  <w:divsChild>
                    <w:div w:id="1052923068">
                      <w:marLeft w:val="0"/>
                      <w:marRight w:val="0"/>
                      <w:marTop w:val="0"/>
                      <w:marBottom w:val="0"/>
                      <w:divBdr>
                        <w:top w:val="none" w:sz="0" w:space="0" w:color="auto"/>
                        <w:left w:val="none" w:sz="0" w:space="0" w:color="auto"/>
                        <w:bottom w:val="none" w:sz="0" w:space="0" w:color="auto"/>
                        <w:right w:val="none" w:sz="0" w:space="0" w:color="auto"/>
                      </w:divBdr>
                    </w:div>
                  </w:divsChild>
                </w:div>
                <w:div w:id="336158802">
                  <w:marLeft w:val="0"/>
                  <w:marRight w:val="0"/>
                  <w:marTop w:val="0"/>
                  <w:marBottom w:val="0"/>
                  <w:divBdr>
                    <w:top w:val="none" w:sz="0" w:space="0" w:color="auto"/>
                    <w:left w:val="none" w:sz="0" w:space="0" w:color="auto"/>
                    <w:bottom w:val="none" w:sz="0" w:space="0" w:color="auto"/>
                    <w:right w:val="none" w:sz="0" w:space="0" w:color="auto"/>
                  </w:divBdr>
                  <w:divsChild>
                    <w:div w:id="967468310">
                      <w:marLeft w:val="0"/>
                      <w:marRight w:val="0"/>
                      <w:marTop w:val="0"/>
                      <w:marBottom w:val="0"/>
                      <w:divBdr>
                        <w:top w:val="none" w:sz="0" w:space="0" w:color="auto"/>
                        <w:left w:val="none" w:sz="0" w:space="0" w:color="auto"/>
                        <w:bottom w:val="none" w:sz="0" w:space="0" w:color="auto"/>
                        <w:right w:val="none" w:sz="0" w:space="0" w:color="auto"/>
                      </w:divBdr>
                    </w:div>
                  </w:divsChild>
                </w:div>
                <w:div w:id="483083984">
                  <w:marLeft w:val="0"/>
                  <w:marRight w:val="0"/>
                  <w:marTop w:val="0"/>
                  <w:marBottom w:val="0"/>
                  <w:divBdr>
                    <w:top w:val="none" w:sz="0" w:space="0" w:color="auto"/>
                    <w:left w:val="none" w:sz="0" w:space="0" w:color="auto"/>
                    <w:bottom w:val="none" w:sz="0" w:space="0" w:color="auto"/>
                    <w:right w:val="none" w:sz="0" w:space="0" w:color="auto"/>
                  </w:divBdr>
                  <w:divsChild>
                    <w:div w:id="15953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58479">
          <w:marLeft w:val="0"/>
          <w:marRight w:val="0"/>
          <w:marTop w:val="0"/>
          <w:marBottom w:val="0"/>
          <w:divBdr>
            <w:top w:val="none" w:sz="0" w:space="0" w:color="auto"/>
            <w:left w:val="none" w:sz="0" w:space="0" w:color="auto"/>
            <w:bottom w:val="none" w:sz="0" w:space="0" w:color="auto"/>
            <w:right w:val="none" w:sz="0" w:space="0" w:color="auto"/>
          </w:divBdr>
          <w:divsChild>
            <w:div w:id="1016272977">
              <w:marLeft w:val="0"/>
              <w:marRight w:val="0"/>
              <w:marTop w:val="0"/>
              <w:marBottom w:val="0"/>
              <w:divBdr>
                <w:top w:val="none" w:sz="0" w:space="0" w:color="auto"/>
                <w:left w:val="none" w:sz="0" w:space="0" w:color="auto"/>
                <w:bottom w:val="none" w:sz="0" w:space="0" w:color="auto"/>
                <w:right w:val="none" w:sz="0" w:space="0" w:color="auto"/>
              </w:divBdr>
            </w:div>
            <w:div w:id="85462982">
              <w:marLeft w:val="0"/>
              <w:marRight w:val="0"/>
              <w:marTop w:val="0"/>
              <w:marBottom w:val="0"/>
              <w:divBdr>
                <w:top w:val="none" w:sz="0" w:space="0" w:color="auto"/>
                <w:left w:val="none" w:sz="0" w:space="0" w:color="auto"/>
                <w:bottom w:val="none" w:sz="0" w:space="0" w:color="auto"/>
                <w:right w:val="none" w:sz="0" w:space="0" w:color="auto"/>
              </w:divBdr>
            </w:div>
          </w:divsChild>
        </w:div>
        <w:div w:id="1907450209">
          <w:marLeft w:val="0"/>
          <w:marRight w:val="0"/>
          <w:marTop w:val="0"/>
          <w:marBottom w:val="0"/>
          <w:divBdr>
            <w:top w:val="none" w:sz="0" w:space="0" w:color="auto"/>
            <w:left w:val="none" w:sz="0" w:space="0" w:color="auto"/>
            <w:bottom w:val="none" w:sz="0" w:space="0" w:color="auto"/>
            <w:right w:val="none" w:sz="0" w:space="0" w:color="auto"/>
          </w:divBdr>
          <w:divsChild>
            <w:div w:id="1851218960">
              <w:marLeft w:val="-75"/>
              <w:marRight w:val="0"/>
              <w:marTop w:val="30"/>
              <w:marBottom w:val="30"/>
              <w:divBdr>
                <w:top w:val="none" w:sz="0" w:space="0" w:color="auto"/>
                <w:left w:val="none" w:sz="0" w:space="0" w:color="auto"/>
                <w:bottom w:val="none" w:sz="0" w:space="0" w:color="auto"/>
                <w:right w:val="none" w:sz="0" w:space="0" w:color="auto"/>
              </w:divBdr>
              <w:divsChild>
                <w:div w:id="889264279">
                  <w:marLeft w:val="0"/>
                  <w:marRight w:val="0"/>
                  <w:marTop w:val="0"/>
                  <w:marBottom w:val="0"/>
                  <w:divBdr>
                    <w:top w:val="none" w:sz="0" w:space="0" w:color="auto"/>
                    <w:left w:val="none" w:sz="0" w:space="0" w:color="auto"/>
                    <w:bottom w:val="none" w:sz="0" w:space="0" w:color="auto"/>
                    <w:right w:val="none" w:sz="0" w:space="0" w:color="auto"/>
                  </w:divBdr>
                  <w:divsChild>
                    <w:div w:id="1131561353">
                      <w:marLeft w:val="0"/>
                      <w:marRight w:val="0"/>
                      <w:marTop w:val="0"/>
                      <w:marBottom w:val="0"/>
                      <w:divBdr>
                        <w:top w:val="none" w:sz="0" w:space="0" w:color="auto"/>
                        <w:left w:val="none" w:sz="0" w:space="0" w:color="auto"/>
                        <w:bottom w:val="none" w:sz="0" w:space="0" w:color="auto"/>
                        <w:right w:val="none" w:sz="0" w:space="0" w:color="auto"/>
                      </w:divBdr>
                    </w:div>
                  </w:divsChild>
                </w:div>
                <w:div w:id="1016883035">
                  <w:marLeft w:val="0"/>
                  <w:marRight w:val="0"/>
                  <w:marTop w:val="0"/>
                  <w:marBottom w:val="0"/>
                  <w:divBdr>
                    <w:top w:val="none" w:sz="0" w:space="0" w:color="auto"/>
                    <w:left w:val="none" w:sz="0" w:space="0" w:color="auto"/>
                    <w:bottom w:val="none" w:sz="0" w:space="0" w:color="auto"/>
                    <w:right w:val="none" w:sz="0" w:space="0" w:color="auto"/>
                  </w:divBdr>
                  <w:divsChild>
                    <w:div w:id="2038582989">
                      <w:marLeft w:val="0"/>
                      <w:marRight w:val="0"/>
                      <w:marTop w:val="0"/>
                      <w:marBottom w:val="0"/>
                      <w:divBdr>
                        <w:top w:val="none" w:sz="0" w:space="0" w:color="auto"/>
                        <w:left w:val="none" w:sz="0" w:space="0" w:color="auto"/>
                        <w:bottom w:val="none" w:sz="0" w:space="0" w:color="auto"/>
                        <w:right w:val="none" w:sz="0" w:space="0" w:color="auto"/>
                      </w:divBdr>
                    </w:div>
                  </w:divsChild>
                </w:div>
                <w:div w:id="1617911031">
                  <w:marLeft w:val="0"/>
                  <w:marRight w:val="0"/>
                  <w:marTop w:val="0"/>
                  <w:marBottom w:val="0"/>
                  <w:divBdr>
                    <w:top w:val="none" w:sz="0" w:space="0" w:color="auto"/>
                    <w:left w:val="none" w:sz="0" w:space="0" w:color="auto"/>
                    <w:bottom w:val="none" w:sz="0" w:space="0" w:color="auto"/>
                    <w:right w:val="none" w:sz="0" w:space="0" w:color="auto"/>
                  </w:divBdr>
                  <w:divsChild>
                    <w:div w:id="996376297">
                      <w:marLeft w:val="0"/>
                      <w:marRight w:val="0"/>
                      <w:marTop w:val="0"/>
                      <w:marBottom w:val="0"/>
                      <w:divBdr>
                        <w:top w:val="none" w:sz="0" w:space="0" w:color="auto"/>
                        <w:left w:val="none" w:sz="0" w:space="0" w:color="auto"/>
                        <w:bottom w:val="none" w:sz="0" w:space="0" w:color="auto"/>
                        <w:right w:val="none" w:sz="0" w:space="0" w:color="auto"/>
                      </w:divBdr>
                    </w:div>
                  </w:divsChild>
                </w:div>
                <w:div w:id="2129002822">
                  <w:marLeft w:val="0"/>
                  <w:marRight w:val="0"/>
                  <w:marTop w:val="0"/>
                  <w:marBottom w:val="0"/>
                  <w:divBdr>
                    <w:top w:val="none" w:sz="0" w:space="0" w:color="auto"/>
                    <w:left w:val="none" w:sz="0" w:space="0" w:color="auto"/>
                    <w:bottom w:val="none" w:sz="0" w:space="0" w:color="auto"/>
                    <w:right w:val="none" w:sz="0" w:space="0" w:color="auto"/>
                  </w:divBdr>
                  <w:divsChild>
                    <w:div w:id="465975136">
                      <w:marLeft w:val="0"/>
                      <w:marRight w:val="0"/>
                      <w:marTop w:val="0"/>
                      <w:marBottom w:val="0"/>
                      <w:divBdr>
                        <w:top w:val="none" w:sz="0" w:space="0" w:color="auto"/>
                        <w:left w:val="none" w:sz="0" w:space="0" w:color="auto"/>
                        <w:bottom w:val="none" w:sz="0" w:space="0" w:color="auto"/>
                        <w:right w:val="none" w:sz="0" w:space="0" w:color="auto"/>
                      </w:divBdr>
                    </w:div>
                  </w:divsChild>
                </w:div>
                <w:div w:id="1469780600">
                  <w:marLeft w:val="0"/>
                  <w:marRight w:val="0"/>
                  <w:marTop w:val="0"/>
                  <w:marBottom w:val="0"/>
                  <w:divBdr>
                    <w:top w:val="none" w:sz="0" w:space="0" w:color="auto"/>
                    <w:left w:val="none" w:sz="0" w:space="0" w:color="auto"/>
                    <w:bottom w:val="none" w:sz="0" w:space="0" w:color="auto"/>
                    <w:right w:val="none" w:sz="0" w:space="0" w:color="auto"/>
                  </w:divBdr>
                  <w:divsChild>
                    <w:div w:id="1720856168">
                      <w:marLeft w:val="0"/>
                      <w:marRight w:val="0"/>
                      <w:marTop w:val="0"/>
                      <w:marBottom w:val="0"/>
                      <w:divBdr>
                        <w:top w:val="none" w:sz="0" w:space="0" w:color="auto"/>
                        <w:left w:val="none" w:sz="0" w:space="0" w:color="auto"/>
                        <w:bottom w:val="none" w:sz="0" w:space="0" w:color="auto"/>
                        <w:right w:val="none" w:sz="0" w:space="0" w:color="auto"/>
                      </w:divBdr>
                    </w:div>
                  </w:divsChild>
                </w:div>
                <w:div w:id="32078343">
                  <w:marLeft w:val="0"/>
                  <w:marRight w:val="0"/>
                  <w:marTop w:val="0"/>
                  <w:marBottom w:val="0"/>
                  <w:divBdr>
                    <w:top w:val="none" w:sz="0" w:space="0" w:color="auto"/>
                    <w:left w:val="none" w:sz="0" w:space="0" w:color="auto"/>
                    <w:bottom w:val="none" w:sz="0" w:space="0" w:color="auto"/>
                    <w:right w:val="none" w:sz="0" w:space="0" w:color="auto"/>
                  </w:divBdr>
                  <w:divsChild>
                    <w:div w:id="633222331">
                      <w:marLeft w:val="0"/>
                      <w:marRight w:val="0"/>
                      <w:marTop w:val="0"/>
                      <w:marBottom w:val="0"/>
                      <w:divBdr>
                        <w:top w:val="none" w:sz="0" w:space="0" w:color="auto"/>
                        <w:left w:val="none" w:sz="0" w:space="0" w:color="auto"/>
                        <w:bottom w:val="none" w:sz="0" w:space="0" w:color="auto"/>
                        <w:right w:val="none" w:sz="0" w:space="0" w:color="auto"/>
                      </w:divBdr>
                    </w:div>
                  </w:divsChild>
                </w:div>
                <w:div w:id="1937128039">
                  <w:marLeft w:val="0"/>
                  <w:marRight w:val="0"/>
                  <w:marTop w:val="0"/>
                  <w:marBottom w:val="0"/>
                  <w:divBdr>
                    <w:top w:val="none" w:sz="0" w:space="0" w:color="auto"/>
                    <w:left w:val="none" w:sz="0" w:space="0" w:color="auto"/>
                    <w:bottom w:val="none" w:sz="0" w:space="0" w:color="auto"/>
                    <w:right w:val="none" w:sz="0" w:space="0" w:color="auto"/>
                  </w:divBdr>
                  <w:divsChild>
                    <w:div w:id="244152972">
                      <w:marLeft w:val="0"/>
                      <w:marRight w:val="0"/>
                      <w:marTop w:val="0"/>
                      <w:marBottom w:val="0"/>
                      <w:divBdr>
                        <w:top w:val="none" w:sz="0" w:space="0" w:color="auto"/>
                        <w:left w:val="none" w:sz="0" w:space="0" w:color="auto"/>
                        <w:bottom w:val="none" w:sz="0" w:space="0" w:color="auto"/>
                        <w:right w:val="none" w:sz="0" w:space="0" w:color="auto"/>
                      </w:divBdr>
                    </w:div>
                  </w:divsChild>
                </w:div>
                <w:div w:id="483594779">
                  <w:marLeft w:val="0"/>
                  <w:marRight w:val="0"/>
                  <w:marTop w:val="0"/>
                  <w:marBottom w:val="0"/>
                  <w:divBdr>
                    <w:top w:val="none" w:sz="0" w:space="0" w:color="auto"/>
                    <w:left w:val="none" w:sz="0" w:space="0" w:color="auto"/>
                    <w:bottom w:val="none" w:sz="0" w:space="0" w:color="auto"/>
                    <w:right w:val="none" w:sz="0" w:space="0" w:color="auto"/>
                  </w:divBdr>
                  <w:divsChild>
                    <w:div w:id="222719321">
                      <w:marLeft w:val="0"/>
                      <w:marRight w:val="0"/>
                      <w:marTop w:val="0"/>
                      <w:marBottom w:val="0"/>
                      <w:divBdr>
                        <w:top w:val="none" w:sz="0" w:space="0" w:color="auto"/>
                        <w:left w:val="none" w:sz="0" w:space="0" w:color="auto"/>
                        <w:bottom w:val="none" w:sz="0" w:space="0" w:color="auto"/>
                        <w:right w:val="none" w:sz="0" w:space="0" w:color="auto"/>
                      </w:divBdr>
                    </w:div>
                  </w:divsChild>
                </w:div>
                <w:div w:id="1010528042">
                  <w:marLeft w:val="0"/>
                  <w:marRight w:val="0"/>
                  <w:marTop w:val="0"/>
                  <w:marBottom w:val="0"/>
                  <w:divBdr>
                    <w:top w:val="none" w:sz="0" w:space="0" w:color="auto"/>
                    <w:left w:val="none" w:sz="0" w:space="0" w:color="auto"/>
                    <w:bottom w:val="none" w:sz="0" w:space="0" w:color="auto"/>
                    <w:right w:val="none" w:sz="0" w:space="0" w:color="auto"/>
                  </w:divBdr>
                  <w:divsChild>
                    <w:div w:id="782111874">
                      <w:marLeft w:val="0"/>
                      <w:marRight w:val="0"/>
                      <w:marTop w:val="0"/>
                      <w:marBottom w:val="0"/>
                      <w:divBdr>
                        <w:top w:val="none" w:sz="0" w:space="0" w:color="auto"/>
                        <w:left w:val="none" w:sz="0" w:space="0" w:color="auto"/>
                        <w:bottom w:val="none" w:sz="0" w:space="0" w:color="auto"/>
                        <w:right w:val="none" w:sz="0" w:space="0" w:color="auto"/>
                      </w:divBdr>
                    </w:div>
                  </w:divsChild>
                </w:div>
                <w:div w:id="1664310439">
                  <w:marLeft w:val="0"/>
                  <w:marRight w:val="0"/>
                  <w:marTop w:val="0"/>
                  <w:marBottom w:val="0"/>
                  <w:divBdr>
                    <w:top w:val="none" w:sz="0" w:space="0" w:color="auto"/>
                    <w:left w:val="none" w:sz="0" w:space="0" w:color="auto"/>
                    <w:bottom w:val="none" w:sz="0" w:space="0" w:color="auto"/>
                    <w:right w:val="none" w:sz="0" w:space="0" w:color="auto"/>
                  </w:divBdr>
                  <w:divsChild>
                    <w:div w:id="1221212874">
                      <w:marLeft w:val="0"/>
                      <w:marRight w:val="0"/>
                      <w:marTop w:val="0"/>
                      <w:marBottom w:val="0"/>
                      <w:divBdr>
                        <w:top w:val="none" w:sz="0" w:space="0" w:color="auto"/>
                        <w:left w:val="none" w:sz="0" w:space="0" w:color="auto"/>
                        <w:bottom w:val="none" w:sz="0" w:space="0" w:color="auto"/>
                        <w:right w:val="none" w:sz="0" w:space="0" w:color="auto"/>
                      </w:divBdr>
                    </w:div>
                  </w:divsChild>
                </w:div>
                <w:div w:id="693580572">
                  <w:marLeft w:val="0"/>
                  <w:marRight w:val="0"/>
                  <w:marTop w:val="0"/>
                  <w:marBottom w:val="0"/>
                  <w:divBdr>
                    <w:top w:val="none" w:sz="0" w:space="0" w:color="auto"/>
                    <w:left w:val="none" w:sz="0" w:space="0" w:color="auto"/>
                    <w:bottom w:val="none" w:sz="0" w:space="0" w:color="auto"/>
                    <w:right w:val="none" w:sz="0" w:space="0" w:color="auto"/>
                  </w:divBdr>
                  <w:divsChild>
                    <w:div w:id="491799311">
                      <w:marLeft w:val="0"/>
                      <w:marRight w:val="0"/>
                      <w:marTop w:val="0"/>
                      <w:marBottom w:val="0"/>
                      <w:divBdr>
                        <w:top w:val="none" w:sz="0" w:space="0" w:color="auto"/>
                        <w:left w:val="none" w:sz="0" w:space="0" w:color="auto"/>
                        <w:bottom w:val="none" w:sz="0" w:space="0" w:color="auto"/>
                        <w:right w:val="none" w:sz="0" w:space="0" w:color="auto"/>
                      </w:divBdr>
                    </w:div>
                  </w:divsChild>
                </w:div>
                <w:div w:id="2086829113">
                  <w:marLeft w:val="0"/>
                  <w:marRight w:val="0"/>
                  <w:marTop w:val="0"/>
                  <w:marBottom w:val="0"/>
                  <w:divBdr>
                    <w:top w:val="none" w:sz="0" w:space="0" w:color="auto"/>
                    <w:left w:val="none" w:sz="0" w:space="0" w:color="auto"/>
                    <w:bottom w:val="none" w:sz="0" w:space="0" w:color="auto"/>
                    <w:right w:val="none" w:sz="0" w:space="0" w:color="auto"/>
                  </w:divBdr>
                  <w:divsChild>
                    <w:div w:id="1398241125">
                      <w:marLeft w:val="0"/>
                      <w:marRight w:val="0"/>
                      <w:marTop w:val="0"/>
                      <w:marBottom w:val="0"/>
                      <w:divBdr>
                        <w:top w:val="none" w:sz="0" w:space="0" w:color="auto"/>
                        <w:left w:val="none" w:sz="0" w:space="0" w:color="auto"/>
                        <w:bottom w:val="none" w:sz="0" w:space="0" w:color="auto"/>
                        <w:right w:val="none" w:sz="0" w:space="0" w:color="auto"/>
                      </w:divBdr>
                    </w:div>
                  </w:divsChild>
                </w:div>
                <w:div w:id="61219637">
                  <w:marLeft w:val="0"/>
                  <w:marRight w:val="0"/>
                  <w:marTop w:val="0"/>
                  <w:marBottom w:val="0"/>
                  <w:divBdr>
                    <w:top w:val="none" w:sz="0" w:space="0" w:color="auto"/>
                    <w:left w:val="none" w:sz="0" w:space="0" w:color="auto"/>
                    <w:bottom w:val="none" w:sz="0" w:space="0" w:color="auto"/>
                    <w:right w:val="none" w:sz="0" w:space="0" w:color="auto"/>
                  </w:divBdr>
                  <w:divsChild>
                    <w:div w:id="1105348266">
                      <w:marLeft w:val="0"/>
                      <w:marRight w:val="0"/>
                      <w:marTop w:val="0"/>
                      <w:marBottom w:val="0"/>
                      <w:divBdr>
                        <w:top w:val="none" w:sz="0" w:space="0" w:color="auto"/>
                        <w:left w:val="none" w:sz="0" w:space="0" w:color="auto"/>
                        <w:bottom w:val="none" w:sz="0" w:space="0" w:color="auto"/>
                        <w:right w:val="none" w:sz="0" w:space="0" w:color="auto"/>
                      </w:divBdr>
                    </w:div>
                  </w:divsChild>
                </w:div>
                <w:div w:id="1135752869">
                  <w:marLeft w:val="0"/>
                  <w:marRight w:val="0"/>
                  <w:marTop w:val="0"/>
                  <w:marBottom w:val="0"/>
                  <w:divBdr>
                    <w:top w:val="none" w:sz="0" w:space="0" w:color="auto"/>
                    <w:left w:val="none" w:sz="0" w:space="0" w:color="auto"/>
                    <w:bottom w:val="none" w:sz="0" w:space="0" w:color="auto"/>
                    <w:right w:val="none" w:sz="0" w:space="0" w:color="auto"/>
                  </w:divBdr>
                  <w:divsChild>
                    <w:div w:id="737090797">
                      <w:marLeft w:val="0"/>
                      <w:marRight w:val="0"/>
                      <w:marTop w:val="0"/>
                      <w:marBottom w:val="0"/>
                      <w:divBdr>
                        <w:top w:val="none" w:sz="0" w:space="0" w:color="auto"/>
                        <w:left w:val="none" w:sz="0" w:space="0" w:color="auto"/>
                        <w:bottom w:val="none" w:sz="0" w:space="0" w:color="auto"/>
                        <w:right w:val="none" w:sz="0" w:space="0" w:color="auto"/>
                      </w:divBdr>
                    </w:div>
                  </w:divsChild>
                </w:div>
                <w:div w:id="1636107889">
                  <w:marLeft w:val="0"/>
                  <w:marRight w:val="0"/>
                  <w:marTop w:val="0"/>
                  <w:marBottom w:val="0"/>
                  <w:divBdr>
                    <w:top w:val="none" w:sz="0" w:space="0" w:color="auto"/>
                    <w:left w:val="none" w:sz="0" w:space="0" w:color="auto"/>
                    <w:bottom w:val="none" w:sz="0" w:space="0" w:color="auto"/>
                    <w:right w:val="none" w:sz="0" w:space="0" w:color="auto"/>
                  </w:divBdr>
                  <w:divsChild>
                    <w:div w:id="1839272984">
                      <w:marLeft w:val="0"/>
                      <w:marRight w:val="0"/>
                      <w:marTop w:val="0"/>
                      <w:marBottom w:val="0"/>
                      <w:divBdr>
                        <w:top w:val="none" w:sz="0" w:space="0" w:color="auto"/>
                        <w:left w:val="none" w:sz="0" w:space="0" w:color="auto"/>
                        <w:bottom w:val="none" w:sz="0" w:space="0" w:color="auto"/>
                        <w:right w:val="none" w:sz="0" w:space="0" w:color="auto"/>
                      </w:divBdr>
                    </w:div>
                  </w:divsChild>
                </w:div>
                <w:div w:id="1208448557">
                  <w:marLeft w:val="0"/>
                  <w:marRight w:val="0"/>
                  <w:marTop w:val="0"/>
                  <w:marBottom w:val="0"/>
                  <w:divBdr>
                    <w:top w:val="none" w:sz="0" w:space="0" w:color="auto"/>
                    <w:left w:val="none" w:sz="0" w:space="0" w:color="auto"/>
                    <w:bottom w:val="none" w:sz="0" w:space="0" w:color="auto"/>
                    <w:right w:val="none" w:sz="0" w:space="0" w:color="auto"/>
                  </w:divBdr>
                  <w:divsChild>
                    <w:div w:id="619073747">
                      <w:marLeft w:val="0"/>
                      <w:marRight w:val="0"/>
                      <w:marTop w:val="0"/>
                      <w:marBottom w:val="0"/>
                      <w:divBdr>
                        <w:top w:val="none" w:sz="0" w:space="0" w:color="auto"/>
                        <w:left w:val="none" w:sz="0" w:space="0" w:color="auto"/>
                        <w:bottom w:val="none" w:sz="0" w:space="0" w:color="auto"/>
                        <w:right w:val="none" w:sz="0" w:space="0" w:color="auto"/>
                      </w:divBdr>
                    </w:div>
                  </w:divsChild>
                </w:div>
                <w:div w:id="157766535">
                  <w:marLeft w:val="0"/>
                  <w:marRight w:val="0"/>
                  <w:marTop w:val="0"/>
                  <w:marBottom w:val="0"/>
                  <w:divBdr>
                    <w:top w:val="none" w:sz="0" w:space="0" w:color="auto"/>
                    <w:left w:val="none" w:sz="0" w:space="0" w:color="auto"/>
                    <w:bottom w:val="none" w:sz="0" w:space="0" w:color="auto"/>
                    <w:right w:val="none" w:sz="0" w:space="0" w:color="auto"/>
                  </w:divBdr>
                  <w:divsChild>
                    <w:div w:id="1141116779">
                      <w:marLeft w:val="0"/>
                      <w:marRight w:val="0"/>
                      <w:marTop w:val="0"/>
                      <w:marBottom w:val="0"/>
                      <w:divBdr>
                        <w:top w:val="none" w:sz="0" w:space="0" w:color="auto"/>
                        <w:left w:val="none" w:sz="0" w:space="0" w:color="auto"/>
                        <w:bottom w:val="none" w:sz="0" w:space="0" w:color="auto"/>
                        <w:right w:val="none" w:sz="0" w:space="0" w:color="auto"/>
                      </w:divBdr>
                    </w:div>
                  </w:divsChild>
                </w:div>
                <w:div w:id="28918621">
                  <w:marLeft w:val="0"/>
                  <w:marRight w:val="0"/>
                  <w:marTop w:val="0"/>
                  <w:marBottom w:val="0"/>
                  <w:divBdr>
                    <w:top w:val="none" w:sz="0" w:space="0" w:color="auto"/>
                    <w:left w:val="none" w:sz="0" w:space="0" w:color="auto"/>
                    <w:bottom w:val="none" w:sz="0" w:space="0" w:color="auto"/>
                    <w:right w:val="none" w:sz="0" w:space="0" w:color="auto"/>
                  </w:divBdr>
                  <w:divsChild>
                    <w:div w:id="2082632465">
                      <w:marLeft w:val="0"/>
                      <w:marRight w:val="0"/>
                      <w:marTop w:val="0"/>
                      <w:marBottom w:val="0"/>
                      <w:divBdr>
                        <w:top w:val="none" w:sz="0" w:space="0" w:color="auto"/>
                        <w:left w:val="none" w:sz="0" w:space="0" w:color="auto"/>
                        <w:bottom w:val="none" w:sz="0" w:space="0" w:color="auto"/>
                        <w:right w:val="none" w:sz="0" w:space="0" w:color="auto"/>
                      </w:divBdr>
                    </w:div>
                  </w:divsChild>
                </w:div>
                <w:div w:id="844784189">
                  <w:marLeft w:val="0"/>
                  <w:marRight w:val="0"/>
                  <w:marTop w:val="0"/>
                  <w:marBottom w:val="0"/>
                  <w:divBdr>
                    <w:top w:val="none" w:sz="0" w:space="0" w:color="auto"/>
                    <w:left w:val="none" w:sz="0" w:space="0" w:color="auto"/>
                    <w:bottom w:val="none" w:sz="0" w:space="0" w:color="auto"/>
                    <w:right w:val="none" w:sz="0" w:space="0" w:color="auto"/>
                  </w:divBdr>
                  <w:divsChild>
                    <w:div w:id="1387798618">
                      <w:marLeft w:val="0"/>
                      <w:marRight w:val="0"/>
                      <w:marTop w:val="0"/>
                      <w:marBottom w:val="0"/>
                      <w:divBdr>
                        <w:top w:val="none" w:sz="0" w:space="0" w:color="auto"/>
                        <w:left w:val="none" w:sz="0" w:space="0" w:color="auto"/>
                        <w:bottom w:val="none" w:sz="0" w:space="0" w:color="auto"/>
                        <w:right w:val="none" w:sz="0" w:space="0" w:color="auto"/>
                      </w:divBdr>
                    </w:div>
                  </w:divsChild>
                </w:div>
                <w:div w:id="778526951">
                  <w:marLeft w:val="0"/>
                  <w:marRight w:val="0"/>
                  <w:marTop w:val="0"/>
                  <w:marBottom w:val="0"/>
                  <w:divBdr>
                    <w:top w:val="none" w:sz="0" w:space="0" w:color="auto"/>
                    <w:left w:val="none" w:sz="0" w:space="0" w:color="auto"/>
                    <w:bottom w:val="none" w:sz="0" w:space="0" w:color="auto"/>
                    <w:right w:val="none" w:sz="0" w:space="0" w:color="auto"/>
                  </w:divBdr>
                  <w:divsChild>
                    <w:div w:id="1496998073">
                      <w:marLeft w:val="0"/>
                      <w:marRight w:val="0"/>
                      <w:marTop w:val="0"/>
                      <w:marBottom w:val="0"/>
                      <w:divBdr>
                        <w:top w:val="none" w:sz="0" w:space="0" w:color="auto"/>
                        <w:left w:val="none" w:sz="0" w:space="0" w:color="auto"/>
                        <w:bottom w:val="none" w:sz="0" w:space="0" w:color="auto"/>
                        <w:right w:val="none" w:sz="0" w:space="0" w:color="auto"/>
                      </w:divBdr>
                    </w:div>
                  </w:divsChild>
                </w:div>
                <w:div w:id="1811047150">
                  <w:marLeft w:val="0"/>
                  <w:marRight w:val="0"/>
                  <w:marTop w:val="0"/>
                  <w:marBottom w:val="0"/>
                  <w:divBdr>
                    <w:top w:val="none" w:sz="0" w:space="0" w:color="auto"/>
                    <w:left w:val="none" w:sz="0" w:space="0" w:color="auto"/>
                    <w:bottom w:val="none" w:sz="0" w:space="0" w:color="auto"/>
                    <w:right w:val="none" w:sz="0" w:space="0" w:color="auto"/>
                  </w:divBdr>
                  <w:divsChild>
                    <w:div w:id="528686228">
                      <w:marLeft w:val="0"/>
                      <w:marRight w:val="0"/>
                      <w:marTop w:val="0"/>
                      <w:marBottom w:val="0"/>
                      <w:divBdr>
                        <w:top w:val="none" w:sz="0" w:space="0" w:color="auto"/>
                        <w:left w:val="none" w:sz="0" w:space="0" w:color="auto"/>
                        <w:bottom w:val="none" w:sz="0" w:space="0" w:color="auto"/>
                        <w:right w:val="none" w:sz="0" w:space="0" w:color="auto"/>
                      </w:divBdr>
                    </w:div>
                  </w:divsChild>
                </w:div>
                <w:div w:id="630864589">
                  <w:marLeft w:val="0"/>
                  <w:marRight w:val="0"/>
                  <w:marTop w:val="0"/>
                  <w:marBottom w:val="0"/>
                  <w:divBdr>
                    <w:top w:val="none" w:sz="0" w:space="0" w:color="auto"/>
                    <w:left w:val="none" w:sz="0" w:space="0" w:color="auto"/>
                    <w:bottom w:val="none" w:sz="0" w:space="0" w:color="auto"/>
                    <w:right w:val="none" w:sz="0" w:space="0" w:color="auto"/>
                  </w:divBdr>
                  <w:divsChild>
                    <w:div w:id="1560632741">
                      <w:marLeft w:val="0"/>
                      <w:marRight w:val="0"/>
                      <w:marTop w:val="0"/>
                      <w:marBottom w:val="0"/>
                      <w:divBdr>
                        <w:top w:val="none" w:sz="0" w:space="0" w:color="auto"/>
                        <w:left w:val="none" w:sz="0" w:space="0" w:color="auto"/>
                        <w:bottom w:val="none" w:sz="0" w:space="0" w:color="auto"/>
                        <w:right w:val="none" w:sz="0" w:space="0" w:color="auto"/>
                      </w:divBdr>
                    </w:div>
                  </w:divsChild>
                </w:div>
                <w:div w:id="71465970">
                  <w:marLeft w:val="0"/>
                  <w:marRight w:val="0"/>
                  <w:marTop w:val="0"/>
                  <w:marBottom w:val="0"/>
                  <w:divBdr>
                    <w:top w:val="none" w:sz="0" w:space="0" w:color="auto"/>
                    <w:left w:val="none" w:sz="0" w:space="0" w:color="auto"/>
                    <w:bottom w:val="none" w:sz="0" w:space="0" w:color="auto"/>
                    <w:right w:val="none" w:sz="0" w:space="0" w:color="auto"/>
                  </w:divBdr>
                  <w:divsChild>
                    <w:div w:id="1650478002">
                      <w:marLeft w:val="0"/>
                      <w:marRight w:val="0"/>
                      <w:marTop w:val="0"/>
                      <w:marBottom w:val="0"/>
                      <w:divBdr>
                        <w:top w:val="none" w:sz="0" w:space="0" w:color="auto"/>
                        <w:left w:val="none" w:sz="0" w:space="0" w:color="auto"/>
                        <w:bottom w:val="none" w:sz="0" w:space="0" w:color="auto"/>
                        <w:right w:val="none" w:sz="0" w:space="0" w:color="auto"/>
                      </w:divBdr>
                    </w:div>
                  </w:divsChild>
                </w:div>
                <w:div w:id="1297569283">
                  <w:marLeft w:val="0"/>
                  <w:marRight w:val="0"/>
                  <w:marTop w:val="0"/>
                  <w:marBottom w:val="0"/>
                  <w:divBdr>
                    <w:top w:val="none" w:sz="0" w:space="0" w:color="auto"/>
                    <w:left w:val="none" w:sz="0" w:space="0" w:color="auto"/>
                    <w:bottom w:val="none" w:sz="0" w:space="0" w:color="auto"/>
                    <w:right w:val="none" w:sz="0" w:space="0" w:color="auto"/>
                  </w:divBdr>
                  <w:divsChild>
                    <w:div w:id="30678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6</Pages>
  <Words>2245</Words>
  <Characters>12352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Barona Montoya</dc:creator>
  <cp:keywords/>
  <dc:description/>
  <cp:lastModifiedBy>Sergio Alejandro Barona Montoya</cp:lastModifiedBy>
  <cp:revision>4</cp:revision>
  <dcterms:created xsi:type="dcterms:W3CDTF">2026-06-17T03:27:00Z</dcterms:created>
  <dcterms:modified xsi:type="dcterms:W3CDTF">2026-06-17T09:36:00Z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9a54a4e7-fc24-465d-81c8-fae0d047fbef</vt:lpwstr>
  </property>
</Properties>
</file>