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4720D" w14:textId="77777777" w:rsidR="006B4345" w:rsidRPr="009332F3" w:rsidRDefault="006B4345" w:rsidP="006B4345">
      <w:pPr>
        <w:pStyle w:val="DocTitle"/>
        <w:jc w:val="center"/>
        <w:rPr>
          <w:rFonts w:ascii="Times New Roman" w:eastAsia="Times New Roman" w:hAnsi="Times New Roman" w:cs="Times New Roman"/>
          <w:b/>
          <w:bCs/>
          <w:sz w:val="32"/>
          <w:szCs w:val="32"/>
        </w:rPr>
      </w:pPr>
      <w:r w:rsidRPr="009332F3">
        <w:rPr>
          <w:rFonts w:ascii="Times New Roman" w:eastAsia="Times New Roman" w:hAnsi="Times New Roman" w:cs="Times New Roman"/>
          <w:b/>
          <w:bCs/>
          <w:sz w:val="32"/>
          <w:szCs w:val="32"/>
        </w:rPr>
        <w:t>Proyecto "Análisis sobre la asequibilidad de los hogares urbanos a dietas de costo mínimo para tres ciudades principales de Colombia durante el período 2019 – 2024"</w:t>
      </w:r>
    </w:p>
    <w:p w14:paraId="375822C8" w14:textId="77777777" w:rsidR="006B4345" w:rsidRPr="009332F3" w:rsidRDefault="006B4345" w:rsidP="006B4345">
      <w:pPr>
        <w:pStyle w:val="DocTitle"/>
        <w:jc w:val="center"/>
        <w:rPr>
          <w:rFonts w:ascii="Times New Roman" w:eastAsia="Times New Roman" w:hAnsi="Times New Roman" w:cs="Times New Roman"/>
          <w:sz w:val="28"/>
          <w:szCs w:val="28"/>
        </w:rPr>
      </w:pPr>
      <w:r w:rsidRPr="009332F3">
        <w:rPr>
          <w:rFonts w:ascii="Times New Roman" w:eastAsia="Times New Roman" w:hAnsi="Times New Roman" w:cs="Times New Roman"/>
          <w:sz w:val="28"/>
          <w:szCs w:val="28"/>
        </w:rPr>
        <w:t xml:space="preserve">Proyecto 5.271 </w:t>
      </w:r>
    </w:p>
    <w:p w14:paraId="4B3B2620" w14:textId="77777777" w:rsidR="006B4345" w:rsidRPr="009332F3" w:rsidRDefault="006B4345" w:rsidP="006B4345">
      <w:pPr>
        <w:pStyle w:val="DocTitle"/>
        <w:jc w:val="center"/>
        <w:rPr>
          <w:rFonts w:ascii="Times New Roman" w:eastAsia="Times New Roman" w:hAnsi="Times New Roman" w:cs="Times New Roman"/>
          <w:sz w:val="28"/>
          <w:szCs w:val="28"/>
        </w:rPr>
      </w:pPr>
      <w:r w:rsidRPr="009332F3">
        <w:rPr>
          <w:rFonts w:ascii="Times New Roman" w:eastAsia="Times New Roman" w:hAnsi="Times New Roman" w:cs="Times New Roman"/>
          <w:sz w:val="28"/>
          <w:szCs w:val="28"/>
        </w:rPr>
        <w:t>Fundación para la Promoción de la Investigación y la Tecnología</w:t>
      </w:r>
    </w:p>
    <w:p w14:paraId="373280CD" w14:textId="77777777" w:rsidR="006B4345" w:rsidRPr="009332F3" w:rsidRDefault="006B4345" w:rsidP="006B4345">
      <w:pPr>
        <w:pStyle w:val="DocTitle"/>
        <w:jc w:val="center"/>
        <w:rPr>
          <w:rFonts w:ascii="Times New Roman" w:eastAsia="Times New Roman" w:hAnsi="Times New Roman" w:cs="Times New Roman"/>
          <w:sz w:val="28"/>
          <w:szCs w:val="28"/>
        </w:rPr>
      </w:pPr>
      <w:r w:rsidRPr="009332F3">
        <w:rPr>
          <w:rFonts w:ascii="Times New Roman" w:eastAsia="Times New Roman" w:hAnsi="Times New Roman" w:cs="Times New Roman"/>
          <w:sz w:val="28"/>
          <w:szCs w:val="28"/>
        </w:rPr>
        <w:t>Banco de la República</w:t>
      </w:r>
    </w:p>
    <w:p w14:paraId="0DDB5B70" w14:textId="364C979B" w:rsidR="00C32B58" w:rsidRPr="006B4345" w:rsidRDefault="006B4345" w:rsidP="006B4345">
      <w:pPr>
        <w:pStyle w:val="DocTitle"/>
        <w:jc w:val="center"/>
        <w:rPr>
          <w:rFonts w:ascii="Times New Roman" w:eastAsia="Times New Roman" w:hAnsi="Times New Roman" w:cs="Times New Roman"/>
        </w:rPr>
      </w:pPr>
      <w:r w:rsidRPr="009332F3">
        <w:rPr>
          <w:rFonts w:ascii="Times New Roman" w:eastAsia="Times New Roman" w:hAnsi="Times New Roman" w:cs="Times New Roman"/>
          <w:sz w:val="24"/>
          <w:szCs w:val="24"/>
        </w:rPr>
        <w:t>Julio 2026</w:t>
      </w:r>
    </w:p>
    <w:p w14:paraId="410069FF" w14:textId="77777777" w:rsidR="006B4345" w:rsidRDefault="006B4345"/>
    <w:p w14:paraId="3BFDBC5C" w14:textId="77777777" w:rsidR="006B4345" w:rsidRDefault="006B4345"/>
    <w:p w14:paraId="50A0F65F" w14:textId="3EA56005" w:rsidR="00AA52B9" w:rsidRDefault="00AA52B9" w:rsidP="006B4345">
      <w:pPr>
        <w:pStyle w:val="Prrafodelista"/>
        <w:numPr>
          <w:ilvl w:val="0"/>
          <w:numId w:val="1"/>
        </w:numPr>
        <w:spacing w:after="160" w:line="259" w:lineRule="auto"/>
        <w:rPr>
          <w:rFonts w:ascii="Times New Roman" w:eastAsia="Times New Roman" w:hAnsi="Times New Roman" w:cs="Times New Roman"/>
          <w:color w:val="auto"/>
          <w:sz w:val="24"/>
          <w:szCs w:val="24"/>
          <w:lang w:val="en-US"/>
        </w:rPr>
      </w:pPr>
      <w:r w:rsidRPr="00171DA4">
        <w:rPr>
          <w:rFonts w:ascii="Times New Roman" w:eastAsia="Times New Roman" w:hAnsi="Times New Roman" w:cs="Times New Roman"/>
          <w:color w:val="auto"/>
          <w:sz w:val="24"/>
          <w:szCs w:val="24"/>
          <w:lang w:val="en-US"/>
        </w:rPr>
        <w:t>An explanation lies in the structure of the CoCA model, which is determined by whichever food offers the lowest price per kilocalorie in each market \textcolor{red}{(Mahrt et al., 2019; HAY QUE AÑADIR OTRA(S) CITA(S))}.</w:t>
      </w:r>
    </w:p>
    <w:p w14:paraId="3662FCF2" w14:textId="77777777" w:rsidR="00E412FA" w:rsidRDefault="00E412FA" w:rsidP="00E412FA">
      <w:pPr>
        <w:pStyle w:val="font-claude-response-body"/>
      </w:pPr>
      <w:r w:rsidRPr="00E412FA">
        <w:rPr>
          <w:rStyle w:val="Fuerte"/>
          <w:lang w:val="en-US"/>
        </w:rPr>
        <w:t>Headey and Alderman (2019):</w:t>
      </w:r>
      <w:r w:rsidRPr="00E412FA">
        <w:rPr>
          <w:lang w:val="en-US"/>
        </w:rPr>
        <w:t xml:space="preserve"> "the RCPs of most healthy foods are substantially more expensive in poorer countries". </w:t>
      </w:r>
      <w:r>
        <w:t>Esto respalda la parte de "bear the distributional consequences of this divergence", porque muestra que la brecha entre el costo de las calorías (baratas, vía almidones) y el costo de los nutrientes (caro, vía alimentos de origen animal y vegetales) no se distribuye parejo entre países ni hogares: son justamente los países y poblaciones de menores ingresos quienes enfrentan los precios relativos más altos por caloría nutritiva, y por tanto quienes cargan con el costo de esa divergencia estructural entre suficiencia calórica y adecuación nutricional.</w:t>
      </w:r>
    </w:p>
    <w:p w14:paraId="74363329" w14:textId="06CE4C18" w:rsidR="000B6405" w:rsidRPr="00E412FA" w:rsidRDefault="00E412FA" w:rsidP="00E412FA">
      <w:pPr>
        <w:pStyle w:val="font-claude-response-body"/>
      </w:pPr>
      <w:r w:rsidRPr="00E412FA">
        <w:rPr>
          <w:rStyle w:val="Fuerte"/>
          <w:lang w:val="en-US"/>
        </w:rPr>
        <w:t>Deptford et al. (2017):</w:t>
      </w:r>
      <w:r w:rsidRPr="00E412FA">
        <w:rPr>
          <w:lang w:val="en-US"/>
        </w:rPr>
        <w:t xml:space="preserve"> "the cumulative percentage of income that would be spent on the energy-only, nutritious and food habits nutritious diets". </w:t>
      </w:r>
      <w:r>
        <w:t>Esto respalda la misma idea, porque el método CotD cuantifica explícitamente cómo esa brecha entre un diet meramente calórico (energy-only) y uno nutricionalmente completo (food habits nutritious) se traduce en una carga de ingreso muy distinta según el grupo de riqueza (very poor, poor, middle, better-off): los hogares más pobres deben destinar una proporción mucho mayor</w:t>
      </w:r>
      <w:r>
        <w:t xml:space="preserve">, </w:t>
      </w:r>
      <w:r>
        <w:t>a veces inviable</w:t>
      </w:r>
      <w:r>
        <w:t>,</w:t>
      </w:r>
      <w:r>
        <w:t xml:space="preserve"> de su ingreso para cerrar esa brecha, mientras los hogares de mayores ingresos la absorben con facilidad, evidenciando quién soporta realmente las consecuencias distributivas de la divergencia entre ambos estándares dietéticos.</w:t>
      </w:r>
    </w:p>
    <w:p w14:paraId="19B6421C" w14:textId="77777777" w:rsidR="00856378" w:rsidRDefault="006B4345" w:rsidP="00856378">
      <w:pPr>
        <w:pStyle w:val="Prrafodelista"/>
        <w:numPr>
          <w:ilvl w:val="0"/>
          <w:numId w:val="1"/>
        </w:numPr>
        <w:spacing w:after="160" w:line="259" w:lineRule="auto"/>
        <w:rPr>
          <w:rFonts w:ascii="Times New Roman" w:eastAsia="Times New Roman" w:hAnsi="Times New Roman" w:cs="Times New Roman"/>
          <w:sz w:val="24"/>
          <w:szCs w:val="24"/>
          <w:lang w:val="en-US"/>
        </w:rPr>
      </w:pPr>
      <w:r w:rsidRPr="00E3132D">
        <w:rPr>
          <w:rFonts w:ascii="Times New Roman" w:eastAsia="Times New Roman" w:hAnsi="Times New Roman" w:cs="Times New Roman"/>
          <w:sz w:val="24"/>
          <w:szCs w:val="24"/>
          <w:lang w:val="en-US"/>
        </w:rPr>
        <w:t xml:space="preserve">These foods thus fell in price even in nominal terms as the general food price level continued to rise, which expanded the cost gap between caloric sufficiency and nutritional adequacy. Post-inflationary disinflation can thus cheapen basic caloric access in relative terms without proportionally relieving the cost of nutritional adequacy, and it is precisely the low-income households most dependent on starchy staple-based diets \textcolor{red}{(FALTA CITA)} that bear the distributional consequences of this divergence.  </w:t>
      </w:r>
    </w:p>
    <w:p w14:paraId="63FADD27" w14:textId="46CD39F8" w:rsidR="00856378" w:rsidRPr="00E61EA3" w:rsidRDefault="00856378" w:rsidP="00856378">
      <w:pPr>
        <w:spacing w:after="160" w:line="259" w:lineRule="auto"/>
        <w:rPr>
          <w:rFonts w:ascii="Times New Roman" w:hAnsi="Times New Roman" w:cs="Times New Roman"/>
          <w:sz w:val="24"/>
          <w:szCs w:val="24"/>
        </w:rPr>
      </w:pPr>
      <w:r w:rsidRPr="00856378">
        <w:rPr>
          <w:rFonts w:ascii="Times New Roman" w:hAnsi="Times New Roman" w:cs="Times New Roman"/>
          <w:b/>
          <w:bCs/>
          <w:sz w:val="24"/>
          <w:szCs w:val="24"/>
          <w:lang w:val="en-US"/>
        </w:rPr>
        <w:t>Bai et al. (2022)</w:t>
      </w:r>
      <w:r w:rsidRPr="00856378">
        <w:rPr>
          <w:rFonts w:ascii="Times New Roman" w:hAnsi="Times New Roman" w:cs="Times New Roman"/>
          <w:b/>
          <w:bCs/>
          <w:sz w:val="24"/>
          <w:szCs w:val="24"/>
          <w:lang w:val="en-US"/>
        </w:rPr>
        <w:t>:</w:t>
      </w:r>
      <w:r w:rsidRPr="00856378">
        <w:rPr>
          <w:rFonts w:ascii="Times New Roman" w:hAnsi="Times New Roman" w:cs="Times New Roman"/>
          <w:sz w:val="24"/>
          <w:szCs w:val="24"/>
          <w:lang w:val="en-US"/>
        </w:rPr>
        <w:t xml:space="preserve"> </w:t>
      </w:r>
      <w:r w:rsidRPr="00856378">
        <w:rPr>
          <w:rFonts w:ascii="Times New Roman" w:hAnsi="Times New Roman" w:cs="Times New Roman"/>
          <w:sz w:val="24"/>
          <w:szCs w:val="24"/>
          <w:lang w:val="en-US"/>
        </w:rPr>
        <w:t>"increasing income, reducing prices, or offering some form of external assistance would be needed for these individuals to obtain adequate nutrients at any stage of life</w:t>
      </w:r>
      <w:r w:rsidRPr="00856378">
        <w:rPr>
          <w:rFonts w:ascii="Times New Roman" w:hAnsi="Times New Roman" w:cs="Times New Roman"/>
          <w:sz w:val="24"/>
          <w:szCs w:val="24"/>
          <w:lang w:val="en-US"/>
        </w:rPr>
        <w:t>”</w:t>
      </w:r>
      <w:r w:rsidR="00E61EA3">
        <w:rPr>
          <w:rFonts w:ascii="Times New Roman" w:hAnsi="Times New Roman" w:cs="Times New Roman"/>
          <w:sz w:val="24"/>
          <w:szCs w:val="24"/>
          <w:lang w:val="en-US"/>
        </w:rPr>
        <w:t xml:space="preserve">. </w:t>
      </w:r>
      <w:r w:rsidR="00A35686" w:rsidRPr="00E61EA3">
        <w:rPr>
          <w:rFonts w:ascii="Times New Roman" w:hAnsi="Times New Roman" w:cs="Times New Roman"/>
          <w:sz w:val="24"/>
          <w:szCs w:val="24"/>
        </w:rPr>
        <w:t>Esto respalda la parte de</w:t>
      </w:r>
      <w:r w:rsidRPr="00E61EA3">
        <w:rPr>
          <w:rFonts w:ascii="Times New Roman" w:hAnsi="Times New Roman" w:cs="Times New Roman"/>
          <w:sz w:val="24"/>
          <w:szCs w:val="24"/>
        </w:rPr>
        <w:t xml:space="preserve"> "bear the distributional consequences of this divergence", </w:t>
      </w:r>
      <w:r w:rsidRPr="00E61EA3">
        <w:rPr>
          <w:rFonts w:ascii="Times New Roman" w:hAnsi="Times New Roman" w:cs="Times New Roman"/>
          <w:sz w:val="24"/>
          <w:szCs w:val="24"/>
        </w:rPr>
        <w:lastRenderedPageBreak/>
        <w:t>porque muestra que sin una intervención externa (ingreso, precios o asistencia) esos hogares no pueden cerrar la brecha entre suficiencia calórica y adecuación nutricional por sí solos.</w:t>
      </w:r>
    </w:p>
    <w:p w14:paraId="060E08E9" w14:textId="752CAB3B" w:rsidR="004C0A1F" w:rsidRPr="00A35686" w:rsidRDefault="00856378" w:rsidP="004C0A1F">
      <w:pPr>
        <w:spacing w:after="160" w:line="259" w:lineRule="auto"/>
        <w:rPr>
          <w:rFonts w:ascii="Times New Roman" w:hAnsi="Times New Roman" w:cs="Times New Roman"/>
          <w:sz w:val="24"/>
          <w:szCs w:val="24"/>
        </w:rPr>
      </w:pPr>
      <w:r w:rsidRPr="00856378">
        <w:rPr>
          <w:rFonts w:ascii="Times New Roman" w:hAnsi="Times New Roman" w:cs="Times New Roman"/>
          <w:b/>
          <w:bCs/>
          <w:sz w:val="24"/>
          <w:szCs w:val="24"/>
          <w:lang w:val="en-US"/>
        </w:rPr>
        <w:t>Wallingford et al. (2024</w:t>
      </w:r>
      <w:r w:rsidRPr="00856378">
        <w:rPr>
          <w:rFonts w:ascii="Times New Roman" w:hAnsi="Times New Roman" w:cs="Times New Roman"/>
          <w:b/>
          <w:bCs/>
          <w:sz w:val="24"/>
          <w:szCs w:val="24"/>
          <w:lang w:val="en-US"/>
        </w:rPr>
        <w:t xml:space="preserve">): </w:t>
      </w:r>
      <w:r w:rsidRPr="00856378">
        <w:rPr>
          <w:rFonts w:ascii="Times New Roman" w:hAnsi="Times New Roman" w:cs="Times New Roman"/>
          <w:sz w:val="24"/>
          <w:szCs w:val="24"/>
          <w:lang w:val="en-US"/>
        </w:rPr>
        <w:t>"CoHD is substantially above average food expenditures per capita per day in low- and lower-middle-income countries, because their actual consumption includes more low-cost starchy staples and other items than in the Healthy Diet Basket"</w:t>
      </w:r>
      <w:r w:rsidR="00A35686">
        <w:rPr>
          <w:rFonts w:ascii="Times New Roman" w:hAnsi="Times New Roman" w:cs="Times New Roman"/>
          <w:sz w:val="24"/>
          <w:szCs w:val="24"/>
          <w:lang w:val="en-US"/>
        </w:rPr>
        <w:t xml:space="preserve">. </w:t>
      </w:r>
      <w:r w:rsidR="00A35686" w:rsidRPr="00A35686">
        <w:rPr>
          <w:rFonts w:ascii="Times New Roman" w:hAnsi="Times New Roman" w:cs="Times New Roman"/>
          <w:sz w:val="24"/>
          <w:szCs w:val="24"/>
        </w:rPr>
        <w:t>S</w:t>
      </w:r>
      <w:r w:rsidR="00A35686">
        <w:rPr>
          <w:rFonts w:ascii="Times New Roman" w:hAnsi="Times New Roman" w:cs="Times New Roman"/>
          <w:sz w:val="24"/>
          <w:szCs w:val="24"/>
        </w:rPr>
        <w:t xml:space="preserve">on </w:t>
      </w:r>
      <w:r w:rsidRPr="00A35686">
        <w:rPr>
          <w:rFonts w:ascii="Times New Roman" w:hAnsi="Times New Roman" w:cs="Times New Roman"/>
          <w:sz w:val="24"/>
          <w:szCs w:val="24"/>
        </w:rPr>
        <w:t>justamente los hogares más dependientes de dietas basadas en almidones ("low-income households most dependent on starchy staple-based diets") los que cargan con esa brecha, porque confirma empíricamente que ese es el patrón de consumo en los países de bajos ingresos.</w:t>
      </w:r>
    </w:p>
    <w:p w14:paraId="3F34EF3F" w14:textId="303D14D2" w:rsidR="006B4345" w:rsidRDefault="006B4345" w:rsidP="006B4345">
      <w:pPr>
        <w:pStyle w:val="Prrafodelista"/>
        <w:numPr>
          <w:ilvl w:val="0"/>
          <w:numId w:val="1"/>
        </w:numPr>
        <w:spacing w:after="160" w:line="259" w:lineRule="auto"/>
        <w:rPr>
          <w:rFonts w:ascii="Times New Roman" w:eastAsia="Times New Roman" w:hAnsi="Times New Roman" w:cs="Times New Roman"/>
          <w:sz w:val="24"/>
          <w:szCs w:val="24"/>
        </w:rPr>
      </w:pPr>
      <w:r w:rsidRPr="00E3132D">
        <w:rPr>
          <w:rFonts w:ascii="Times New Roman" w:eastAsia="Times New Roman" w:hAnsi="Times New Roman" w:cs="Times New Roman"/>
          <w:sz w:val="24"/>
          <w:szCs w:val="24"/>
          <w:lang w:val="en-US"/>
        </w:rPr>
        <w:t xml:space="preserve">Three nutrients emerged as limiting in the CoNA model ins 100\% of months across all three cities: calcium, sodium, and vitamin C. This pattern is consistent with prior studies reporting... </w:t>
      </w:r>
      <w:r w:rsidRPr="00E3132D">
        <w:rPr>
          <w:rFonts w:ascii="Times New Roman" w:eastAsia="Times New Roman" w:hAnsi="Times New Roman" w:cs="Times New Roman"/>
          <w:sz w:val="24"/>
          <w:szCs w:val="24"/>
        </w:rPr>
        <w:t>[\textcolor{red}{AÑADIR CITAS: BUSCAR ESTUDIOS QUE REPORTEN ESTOS COMO NUTRIENTES LIMITANTES O, INCLUSO, ALGUNO DE LOS OTROS NUTRIENTES IDENTIFICADOS COMO LIMITANTES EN NUESTRO ESTUDIO. AÑADIR UNA O DOS ORACIONES QUE MUESTREN ESTO.}].</w:t>
      </w:r>
    </w:p>
    <w:p w14:paraId="1F183F07" w14:textId="77777777" w:rsidR="005D0F16" w:rsidRDefault="005D0F16" w:rsidP="005D0F16">
      <w:pPr>
        <w:pStyle w:val="font-claude-response-body"/>
      </w:pPr>
      <w:r w:rsidRPr="005D0F16">
        <w:rPr>
          <w:rStyle w:val="Fuerte"/>
          <w:lang w:val="en-US"/>
        </w:rPr>
        <w:t>Parlesak et al. (2016):</w:t>
      </w:r>
      <w:r w:rsidRPr="005D0F16">
        <w:rPr>
          <w:lang w:val="en-US"/>
        </w:rPr>
        <w:t xml:space="preserve"> "The RIs of vitamins D, C, calcium, iodine, potassium, and riboflavin were active constraints and controlled the total cost of basket N."</w:t>
      </w:r>
      <w:r w:rsidRPr="005D0F16">
        <w:rPr>
          <w:lang w:val="en-US"/>
        </w:rPr>
        <w:t xml:space="preserve">. </w:t>
      </w:r>
      <w:r>
        <w:t>Esta cita respalda directamente el hallazgo de calcio y vitamina C como nutrientes limitantes, ya que en un modelo danés de programación lineal independiente estos mismos dos nutrientes aparecen entre las restricciones activas que controlan el costo total de la canasta óptima.</w:t>
      </w:r>
    </w:p>
    <w:p w14:paraId="484F6522" w14:textId="77777777" w:rsidR="005D0F16" w:rsidRDefault="005D0F16" w:rsidP="005D0F16">
      <w:pPr>
        <w:pStyle w:val="font-claude-response-body"/>
      </w:pPr>
      <w:r w:rsidRPr="005D0F16">
        <w:rPr>
          <w:rStyle w:val="Fuerte"/>
        </w:rPr>
        <w:t xml:space="preserve">Nykänen et al. </w:t>
      </w:r>
      <w:r w:rsidRPr="005D0F16">
        <w:rPr>
          <w:rStyle w:val="Fuerte"/>
          <w:lang w:val="en-US"/>
        </w:rPr>
        <w:t>(2018):</w:t>
      </w:r>
      <w:r w:rsidRPr="005D0F16">
        <w:rPr>
          <w:lang w:val="en-US"/>
        </w:rPr>
        <w:t xml:space="preserve"> "The micronutrients determining the cost of the FBs were the minimum recommendation levels for calcium, iodine, riboflavin, niacin, vitamins B12 and C along with the polyunsaturated fatty acids."</w:t>
      </w:r>
      <w:r w:rsidRPr="005D0F16">
        <w:rPr>
          <w:lang w:val="en-US"/>
        </w:rPr>
        <w:t xml:space="preserve">. </w:t>
      </w:r>
      <w:r>
        <w:t>Esta cita refuerza el mismo patrón en un contexto geográfico distinto (Ghana), mostrando que calcio y vitamina C también determinan el costo de la canasta óptima en un modelo aplicado a familias de bajos ingresos africanas, lo que sugiere que la relevancia de estos nutrientes como limitantes no se restringe a un solo país o región.</w:t>
      </w:r>
    </w:p>
    <w:p w14:paraId="5D44B0EA" w14:textId="5AC66518" w:rsidR="009D082E" w:rsidRPr="009D082E" w:rsidRDefault="005D0F16" w:rsidP="005D0F16">
      <w:pPr>
        <w:pStyle w:val="font-claude-response-body"/>
      </w:pPr>
      <w:r w:rsidRPr="005D0F16">
        <w:rPr>
          <w:rStyle w:val="Fuerte"/>
        </w:rPr>
        <w:t xml:space="preserve">Verly-Jr et al. </w:t>
      </w:r>
      <w:r w:rsidRPr="005D0F16">
        <w:rPr>
          <w:rStyle w:val="Fuerte"/>
          <w:lang w:val="en-US"/>
        </w:rPr>
        <w:t>(2019):</w:t>
      </w:r>
      <w:r w:rsidRPr="005D0F16">
        <w:rPr>
          <w:lang w:val="en-US"/>
        </w:rPr>
        <w:t xml:space="preserve"> "The most frequent limiting nutrients were calcium; vitamins D, E, and A; zinc; fiber; sodium; and saturated and trans-fats."</w:t>
      </w:r>
      <w:r w:rsidRPr="005D0F16">
        <w:rPr>
          <w:lang w:val="en-US"/>
        </w:rPr>
        <w:t xml:space="preserve">. </w:t>
      </w:r>
      <w:r>
        <w:t>Esta cita aporta el respaldo específico para sodio (además de calcio), al identificar ambos nutrientes entre los más frecuentemente limitantes en un modelo de optimización de dietas para hogares de bajos ingresos en Brasil, complementando así la evidencia sobre vitamina C de los otros dos estudios.</w:t>
      </w:r>
    </w:p>
    <w:p w14:paraId="7964D6F8" w14:textId="3F7BCA7E" w:rsidR="00906B5A" w:rsidRPr="00906B5A" w:rsidRDefault="00906B5A" w:rsidP="00906B5A">
      <w:pPr>
        <w:pStyle w:val="Prrafodelista"/>
        <w:numPr>
          <w:ilvl w:val="0"/>
          <w:numId w:val="1"/>
        </w:numPr>
        <w:spacing w:after="160" w:line="259" w:lineRule="auto"/>
        <w:rPr>
          <w:rFonts w:ascii="Times New Roman" w:eastAsia="Times New Roman" w:hAnsi="Times New Roman" w:cs="Times New Roman"/>
          <w:sz w:val="24"/>
          <w:szCs w:val="24"/>
          <w:lang w:val="en-US"/>
        </w:rPr>
      </w:pPr>
      <w:r w:rsidRPr="00906B5A">
        <w:rPr>
          <w:rFonts w:ascii="Times New Roman" w:eastAsia="Times New Roman" w:hAnsi="Times New Roman" w:cs="Times New Roman"/>
          <w:sz w:val="24"/>
          <w:szCs w:val="24"/>
          <w:lang w:val="en-US"/>
        </w:rPr>
        <w:t xml:space="preserve">A single food source, pasteurized milk, drive this concentration, and it supplies between 64\% and 85\% of total dietary calcium in the optimal CoNA and between 97\% and 99\% of vitamin B12, which translates into a cost share of 35.1\% - 40.6\% of total minimum diet cost. Such dependence on a single food item, both nutritionally and economically, exposes CoNA to dairy price fluctuations, in line </w:t>
      </w:r>
      <w:r w:rsidRPr="00906B5A">
        <w:rPr>
          <w:rFonts w:ascii="Times New Roman" w:eastAsia="Times New Roman" w:hAnsi="Times New Roman" w:cs="Times New Roman"/>
          <w:sz w:val="24"/>
          <w:szCs w:val="24"/>
          <w:lang w:val="en-US"/>
        </w:rPr>
        <w:lastRenderedPageBreak/>
        <w:t xml:space="preserve">with evidence from middle-income countries where dairy products are relatively expensive and unsubsidized \textcolor{red}{(Passarelli et al., 2024; Bai et al., 2022b; HAY QUE REVISAR ESTAS REFERENCIAS)}. </w:t>
      </w:r>
      <w:r w:rsidRPr="00906B5A">
        <w:rPr>
          <w:rFonts w:ascii="Times New Roman" w:eastAsia="Times New Roman" w:hAnsi="Times New Roman" w:cs="Times New Roman"/>
          <w:sz w:val="24"/>
          <w:szCs w:val="24"/>
          <w:highlight w:val="yellow"/>
          <w:lang w:val="en-US"/>
        </w:rPr>
        <w:t>(REEMPLAZAR A PASSARELLI)</w:t>
      </w:r>
    </w:p>
    <w:p w14:paraId="012812C6" w14:textId="50E0A469" w:rsidR="00906B5A" w:rsidRPr="009E300F" w:rsidRDefault="009E300F" w:rsidP="009E300F">
      <w:pPr>
        <w:spacing w:after="160" w:line="259" w:lineRule="auto"/>
        <w:rPr>
          <w:rFonts w:ascii="Times New Roman" w:eastAsia="Times New Roman" w:hAnsi="Times New Roman" w:cs="Times New Roman"/>
          <w:sz w:val="24"/>
          <w:szCs w:val="24"/>
        </w:rPr>
      </w:pPr>
      <w:r w:rsidRPr="009E300F">
        <w:rPr>
          <w:rFonts w:ascii="Times New Roman" w:eastAsia="Times New Roman" w:hAnsi="Times New Roman" w:cs="Times New Roman"/>
          <w:b/>
          <w:bCs/>
          <w:sz w:val="24"/>
          <w:szCs w:val="24"/>
        </w:rPr>
        <w:t>Raghunathan, Headey &amp; Herforth (2021):</w:t>
      </w:r>
      <w:r w:rsidRPr="009E300F">
        <w:rPr>
          <w:rFonts w:ascii="Times New Roman" w:eastAsia="Times New Roman" w:hAnsi="Times New Roman" w:cs="Times New Roman"/>
          <w:sz w:val="24"/>
          <w:szCs w:val="24"/>
        </w:rPr>
        <w:t xml:space="preserve"> en su análisis de la asequibilidad de dietas nutritivas en zonas rurales de India, encuentran que los lácteos son, junto con la fruta, el grupo de alimentos más costoso por porción, y el que más contribuye CoRD, por encima incluso de los cereales. Los autores explican esta tendencia por la alta elasticidad-ingreso de los lácteos en India, que impulsa su demanda y, ante una oferta interna insuficiente, presiona sus precios al alza, dado que se trata de un producto altamente perecedero que no puede importarse de forma costo-efectiva. Adicionalmente, documentan que los programas públicos de subsidio alimentario (Public Distribution System) cubren únicamente arroz, trigo y otros alimentos básicos, dejando a los lácteos sin ningún tipo de subsidio o protección de precio, lo que los expone plenamente a las fluctuaciones del mercado. Esta evidencia, proveniente de un país de ingreso medio-bajo, respalda directamente la idea de que la dependencia económica de un solo alimento no subsidiado, como los lácteos, expone la dieta mínima a fluctuaciones de precio, un patrón consistente con lo hallado en países de ingresos medios como Colombia.</w:t>
      </w:r>
    </w:p>
    <w:p w14:paraId="46884285" w14:textId="76C510F2" w:rsidR="006B4345" w:rsidRDefault="006B4345" w:rsidP="00906B5A">
      <w:pPr>
        <w:pStyle w:val="Prrafodelista"/>
        <w:numPr>
          <w:ilvl w:val="0"/>
          <w:numId w:val="1"/>
        </w:numPr>
        <w:spacing w:after="160" w:line="259" w:lineRule="auto"/>
        <w:rPr>
          <w:rFonts w:ascii="Times New Roman" w:eastAsia="Times New Roman" w:hAnsi="Times New Roman" w:cs="Times New Roman"/>
          <w:sz w:val="24"/>
          <w:szCs w:val="24"/>
          <w:lang w:val="en-US"/>
        </w:rPr>
      </w:pPr>
      <w:r w:rsidRPr="00E3132D">
        <w:rPr>
          <w:rFonts w:ascii="Times New Roman" w:eastAsia="Times New Roman" w:hAnsi="Times New Roman" w:cs="Times New Roman"/>
          <w:sz w:val="24"/>
          <w:szCs w:val="24"/>
          <w:lang w:val="en-US"/>
        </w:rPr>
        <w:t>This strengthens the argument for targeted interventions on critical food items over general dietary approaches, following \cite{Frega2012} and \cite{Schneider2021} (\textcolor{red}{AYÚDAME REVISANDO SI AQUÍ HAY OTRAS REFERENCIAS. ESTAMOS REPITIENDO MUCHOS ESTUDIOS}).</w:t>
      </w:r>
    </w:p>
    <w:p w14:paraId="54393C71" w14:textId="79734414" w:rsidR="00D53BF9" w:rsidRDefault="00D53BF9" w:rsidP="00D53BF9">
      <w:pPr>
        <w:pStyle w:val="font-claude-response-body"/>
      </w:pPr>
      <w:r>
        <w:rPr>
          <w:rStyle w:val="Fuerte"/>
        </w:rPr>
        <w:t>Wallingford et al. (2024):</w:t>
      </w:r>
      <w:r>
        <w:t xml:space="preserve"> describen el enfoque </w:t>
      </w:r>
      <w:r w:rsidRPr="00D53BF9">
        <w:rPr>
          <w:rStyle w:val="nfasis"/>
          <w:i w:val="0"/>
          <w:iCs w:val="0"/>
        </w:rPr>
        <w:t>Fill the Nutrient Gap</w:t>
      </w:r>
      <w:r>
        <w:t xml:space="preserve"> del WFP, que usa modelos de dietas de costo mínimo para identificar intervenciones alimentarias dirigidas a nutrientes o alimentos puntuales</w:t>
      </w:r>
      <w:r>
        <w:t xml:space="preserve">, </w:t>
      </w:r>
      <w:r>
        <w:t>como la fortificación o la mejora de disponibilidad de un solo producto</w:t>
      </w:r>
      <w:r>
        <w:t>,</w:t>
      </w:r>
      <w:r>
        <w:t xml:space="preserve"> en vez de estrategias dietéticas generales. Esta cita aporta el respaldo metodológico directo al argumento de intervenciones focalizadas en alimentos críticos, mostrando que el enfoque ya es una práctica establecida a nivel institucional (FAO, Banco Mundial, WFP) para atender dependencias nutricionales concentradas en pocos alimentos.</w:t>
      </w:r>
    </w:p>
    <w:p w14:paraId="603B314A" w14:textId="2E20696D" w:rsidR="00D53BF9" w:rsidRPr="00697CAD" w:rsidRDefault="00D53BF9" w:rsidP="00697CAD">
      <w:pPr>
        <w:pStyle w:val="font-claude-response-body"/>
      </w:pPr>
      <w:r>
        <w:rPr>
          <w:rStyle w:val="Fuerte"/>
        </w:rPr>
        <w:t>Ryckman et al. (2021):</w:t>
      </w:r>
      <w:r>
        <w:t xml:space="preserve"> encuentran que, para varios micronutrientes (calcio, proteína animal, hierro), solo uno o dos alimentos por país logran cubrir las necesidades a un costo asequible, y que los lácteos figuran consistentemente entre las pocas fuentes accesibles de calcio en los seis países analizados de África oriental y austral. Esta cita complementa la evidencia de Wallingford al ilustrar, con datos empíricos de asequibilidad, el mismo patrón de dependencia de un alimento concentrado (paralelo directo a la dependencia de la leche pasteurizada encontrada en Cali, Medellín y Bogotá).</w:t>
      </w:r>
    </w:p>
    <w:p w14:paraId="1AB4B856" w14:textId="27DF0439" w:rsidR="006B4345" w:rsidRDefault="006B4345" w:rsidP="00906B5A">
      <w:pPr>
        <w:pStyle w:val="Prrafodelista"/>
        <w:numPr>
          <w:ilvl w:val="0"/>
          <w:numId w:val="1"/>
        </w:numPr>
        <w:spacing w:after="160" w:line="259" w:lineRule="auto"/>
        <w:rPr>
          <w:rFonts w:ascii="Times New Roman" w:eastAsia="Times New Roman" w:hAnsi="Times New Roman" w:cs="Times New Roman"/>
          <w:sz w:val="24"/>
          <w:szCs w:val="24"/>
          <w:lang w:val="en-US"/>
        </w:rPr>
      </w:pPr>
      <w:r w:rsidRPr="00E3132D">
        <w:rPr>
          <w:rFonts w:ascii="Times New Roman" w:eastAsia="Times New Roman" w:hAnsi="Times New Roman" w:cs="Times New Roman"/>
          <w:sz w:val="24"/>
          <w:szCs w:val="24"/>
          <w:lang w:val="en-US"/>
        </w:rPr>
        <w:t xml:space="preserve">The compositional analysis of CoRD adds a fundamental insight to the CoNA findings, demonstrating that the cost of recommended dietary diversity is determined not by which food groups demand more servings, but by the relative price of the foods the model selects within each group. Indeed, dairy products, with </w:t>
      </w:r>
      <w:r w:rsidRPr="00E3132D">
        <w:rPr>
          <w:rFonts w:ascii="Times New Roman" w:eastAsia="Times New Roman" w:hAnsi="Times New Roman" w:cs="Times New Roman"/>
          <w:sz w:val="24"/>
          <w:szCs w:val="24"/>
          <w:lang w:val="en-US"/>
        </w:rPr>
        <w:lastRenderedPageBreak/>
        <w:t>only 4.16 - 4.31 daily servings, account for between 63.3\% and 68\% of total CoRD across the three cities; in contrast to fats, the highest-volume group in terms of servings, which represent just 3.2\% - 4.4\% of total cost [\textcolor{red}{AÑADIR REFERENCIA. ¿QUÉ ESTUDIO ENCUENTRA LA MISMA IDEA?}].</w:t>
      </w:r>
    </w:p>
    <w:p w14:paraId="0B3F4496" w14:textId="77777777" w:rsidR="00856378" w:rsidRPr="00856378" w:rsidRDefault="00856378" w:rsidP="00856378">
      <w:pPr>
        <w:pStyle w:val="Prrafodelista"/>
        <w:rPr>
          <w:rFonts w:ascii="Times New Roman" w:eastAsia="Times New Roman" w:hAnsi="Times New Roman" w:cs="Times New Roman"/>
          <w:sz w:val="24"/>
          <w:szCs w:val="24"/>
          <w:lang w:val="en-US"/>
        </w:rPr>
      </w:pPr>
    </w:p>
    <w:p w14:paraId="52791C4B" w14:textId="21243D04" w:rsidR="00856378" w:rsidRPr="00561D87" w:rsidRDefault="00561D87" w:rsidP="00856378">
      <w:pPr>
        <w:spacing w:after="160" w:line="259" w:lineRule="auto"/>
        <w:rPr>
          <w:rFonts w:ascii="Times New Roman" w:eastAsia="Times New Roman" w:hAnsi="Times New Roman" w:cs="Times New Roman"/>
          <w:sz w:val="24"/>
          <w:szCs w:val="24"/>
        </w:rPr>
      </w:pPr>
      <w:r w:rsidRPr="00561D87">
        <w:rPr>
          <w:rFonts w:ascii="Times New Roman" w:eastAsia="Times New Roman" w:hAnsi="Times New Roman" w:cs="Times New Roman"/>
          <w:b/>
          <w:bCs/>
          <w:sz w:val="24"/>
          <w:szCs w:val="24"/>
        </w:rPr>
        <w:t>Islam et al. (2023):</w:t>
      </w:r>
      <w:r w:rsidRPr="00561D87">
        <w:rPr>
          <w:rFonts w:ascii="Times New Roman" w:eastAsia="Times New Roman" w:hAnsi="Times New Roman" w:cs="Times New Roman"/>
          <w:sz w:val="24"/>
          <w:szCs w:val="24"/>
        </w:rPr>
        <w:t xml:space="preserve"> encuentran que, en Bangladesh, el grupo de lácteos ("milk and milk products") requiere apenas 1</w:t>
      </w:r>
      <w:r w:rsidR="00517544">
        <w:rPr>
          <w:rFonts w:ascii="Times New Roman" w:eastAsia="Times New Roman" w:hAnsi="Times New Roman" w:cs="Times New Roman"/>
          <w:sz w:val="24"/>
          <w:szCs w:val="24"/>
        </w:rPr>
        <w:t>-</w:t>
      </w:r>
      <w:r w:rsidRPr="00561D87">
        <w:rPr>
          <w:rFonts w:ascii="Times New Roman" w:eastAsia="Times New Roman" w:hAnsi="Times New Roman" w:cs="Times New Roman"/>
          <w:sz w:val="24"/>
          <w:szCs w:val="24"/>
        </w:rPr>
        <w:t>2 porciones diarias</w:t>
      </w:r>
      <w:r>
        <w:rPr>
          <w:rFonts w:ascii="Times New Roman" w:eastAsia="Times New Roman" w:hAnsi="Times New Roman" w:cs="Times New Roman"/>
          <w:sz w:val="24"/>
          <w:szCs w:val="24"/>
        </w:rPr>
        <w:t xml:space="preserve">, </w:t>
      </w:r>
      <w:r w:rsidRPr="00561D87">
        <w:rPr>
          <w:rFonts w:ascii="Times New Roman" w:eastAsia="Times New Roman" w:hAnsi="Times New Roman" w:cs="Times New Roman"/>
          <w:sz w:val="24"/>
          <w:szCs w:val="24"/>
        </w:rPr>
        <w:t>la segunda cantidad más baja de todo el sistema de grupos de alimentos</w:t>
      </w:r>
      <w:r>
        <w:rPr>
          <w:rFonts w:ascii="Times New Roman" w:eastAsia="Times New Roman" w:hAnsi="Times New Roman" w:cs="Times New Roman"/>
          <w:sz w:val="24"/>
          <w:szCs w:val="24"/>
        </w:rPr>
        <w:t>,</w:t>
      </w:r>
      <w:r w:rsidRPr="00561D87">
        <w:rPr>
          <w:rFonts w:ascii="Times New Roman" w:eastAsia="Times New Roman" w:hAnsi="Times New Roman" w:cs="Times New Roman"/>
          <w:sz w:val="24"/>
          <w:szCs w:val="24"/>
        </w:rPr>
        <w:t xml:space="preserve"> pero contribuye con cerca del 16% del costo total del CoRD a nivel nacional, mientras que grasas y aceites, con 3</w:t>
      </w:r>
      <w:r w:rsidR="00517544">
        <w:rPr>
          <w:rFonts w:ascii="Times New Roman" w:eastAsia="Times New Roman" w:hAnsi="Times New Roman" w:cs="Times New Roman"/>
          <w:sz w:val="24"/>
          <w:szCs w:val="24"/>
        </w:rPr>
        <w:t>-</w:t>
      </w:r>
      <w:r w:rsidRPr="00561D87">
        <w:rPr>
          <w:rFonts w:ascii="Times New Roman" w:eastAsia="Times New Roman" w:hAnsi="Times New Roman" w:cs="Times New Roman"/>
          <w:sz w:val="24"/>
          <w:szCs w:val="24"/>
        </w:rPr>
        <w:t>6 porciones diarias (el segundo grupo con más porciones recomendadas), representa apenas una fracción marginal del costo total. Esta cita respalda directamente el hallazgo de que el costo de la dieta recomendada no está determinado por el volumen de porciones exigidas, sino por el precio relativo de los alimentos seleccionados en cada grupo</w:t>
      </w:r>
      <w:r w:rsidR="00517544">
        <w:rPr>
          <w:rFonts w:ascii="Times New Roman" w:eastAsia="Times New Roman" w:hAnsi="Times New Roman" w:cs="Times New Roman"/>
          <w:sz w:val="24"/>
          <w:szCs w:val="24"/>
        </w:rPr>
        <w:t>.</w:t>
      </w:r>
    </w:p>
    <w:p w14:paraId="24518424" w14:textId="52648EBF" w:rsidR="00856378" w:rsidRDefault="006B4345" w:rsidP="00906B5A">
      <w:pPr>
        <w:pStyle w:val="Prrafodelista"/>
        <w:numPr>
          <w:ilvl w:val="0"/>
          <w:numId w:val="1"/>
        </w:numPr>
        <w:spacing w:after="160" w:line="259" w:lineRule="auto"/>
        <w:rPr>
          <w:rFonts w:ascii="Times New Roman" w:eastAsia="Times New Roman" w:hAnsi="Times New Roman" w:cs="Times New Roman"/>
          <w:sz w:val="24"/>
          <w:szCs w:val="24"/>
          <w:lang w:val="en-US"/>
        </w:rPr>
      </w:pPr>
      <w:r w:rsidRPr="00E3132D">
        <w:rPr>
          <w:rFonts w:ascii="Times New Roman" w:eastAsia="Times New Roman" w:hAnsi="Times New Roman" w:cs="Times New Roman"/>
          <w:sz w:val="24"/>
          <w:szCs w:val="24"/>
          <w:lang w:val="en-US"/>
        </w:rPr>
        <w:t>Food selection within each food group is governed by local relative prices, and it is precisely this feature that drives intercity cost heterogeneity in the CoRD, since the FBDG's serving structure does not vary significantly across cities, by construction [\textcolor{red}{AÑADIR REFERENCIA. ¿QUÉ ESTUDIO ENCUENTRA LA MISMA IDEA?}].</w:t>
      </w:r>
    </w:p>
    <w:p w14:paraId="4A178C0F" w14:textId="3003A4CB" w:rsidR="00E643F7" w:rsidRPr="00E643F7" w:rsidRDefault="00E643F7" w:rsidP="00E643F7">
      <w:pPr>
        <w:spacing w:after="160" w:line="259" w:lineRule="auto"/>
        <w:rPr>
          <w:rFonts w:ascii="Times New Roman" w:eastAsia="Times New Roman" w:hAnsi="Times New Roman" w:cs="Times New Roman"/>
          <w:sz w:val="24"/>
          <w:szCs w:val="24"/>
        </w:rPr>
      </w:pPr>
      <w:r w:rsidRPr="00E643F7">
        <w:rPr>
          <w:rFonts w:ascii="Times New Roman" w:eastAsia="Times New Roman" w:hAnsi="Times New Roman" w:cs="Times New Roman"/>
          <w:b/>
          <w:bCs/>
          <w:sz w:val="24"/>
          <w:szCs w:val="24"/>
        </w:rPr>
        <w:t>Latino, Holleman &amp; Cafiero (2024):</w:t>
      </w:r>
      <w:r w:rsidRPr="00E643F7">
        <w:rPr>
          <w:rFonts w:ascii="Times New Roman" w:eastAsia="Times New Roman" w:hAnsi="Times New Roman" w:cs="Times New Roman"/>
          <w:sz w:val="24"/>
          <w:szCs w:val="24"/>
        </w:rPr>
        <w:t xml:space="preserve"> encuentran que los alimentos de origen animal exhiben la mayor variabilidad de precios entre unidades administrativas, explicada principalmente por variación intragrupo (por ejemplo, en la región de Fatick, Senegal, el pescado fresco cuesta 2.3 PPP dólares/kg frente a 18.5 PPP dólares/kg del queso, ambos dentro del mismo grupo de alimentos). Esta evidencia respalda directamente la idea de que, siendo fija la estructura de porciones y grupos de alimentos exigida por la guía o canasta de referencia, es la variación geográfica en los precios relativos de los alimentos seleccionados dentro de cada grupo</w:t>
      </w:r>
      <w:r>
        <w:rPr>
          <w:rFonts w:ascii="Times New Roman" w:eastAsia="Times New Roman" w:hAnsi="Times New Roman" w:cs="Times New Roman"/>
          <w:sz w:val="24"/>
          <w:szCs w:val="24"/>
        </w:rPr>
        <w:t xml:space="preserve">, </w:t>
      </w:r>
      <w:r w:rsidRPr="00E643F7">
        <w:rPr>
          <w:rFonts w:ascii="Times New Roman" w:eastAsia="Times New Roman" w:hAnsi="Times New Roman" w:cs="Times New Roman"/>
          <w:sz w:val="24"/>
          <w:szCs w:val="24"/>
        </w:rPr>
        <w:t>y no cambios en las recomendaciones</w:t>
      </w:r>
      <w:r>
        <w:rPr>
          <w:rFonts w:ascii="Times New Roman" w:eastAsia="Times New Roman" w:hAnsi="Times New Roman" w:cs="Times New Roman"/>
          <w:sz w:val="24"/>
          <w:szCs w:val="24"/>
        </w:rPr>
        <w:t>,</w:t>
      </w:r>
      <w:r w:rsidRPr="00E643F7">
        <w:rPr>
          <w:rFonts w:ascii="Times New Roman" w:eastAsia="Times New Roman" w:hAnsi="Times New Roman" w:cs="Times New Roman"/>
          <w:sz w:val="24"/>
          <w:szCs w:val="24"/>
        </w:rPr>
        <w:t xml:space="preserve"> la que explica la heterogeneidad intermunicipal del costo.</w:t>
      </w:r>
    </w:p>
    <w:p w14:paraId="125D6753" w14:textId="77777777" w:rsidR="00856378" w:rsidRPr="00E643F7" w:rsidRDefault="00856378" w:rsidP="00856378">
      <w:pPr>
        <w:spacing w:after="160" w:line="259" w:lineRule="auto"/>
        <w:rPr>
          <w:rFonts w:ascii="Times New Roman" w:eastAsia="Times New Roman" w:hAnsi="Times New Roman" w:cs="Times New Roman"/>
          <w:sz w:val="24"/>
          <w:szCs w:val="24"/>
        </w:rPr>
      </w:pPr>
    </w:p>
    <w:sectPr w:rsidR="00856378" w:rsidRPr="00E643F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7265C"/>
    <w:multiLevelType w:val="hybridMultilevel"/>
    <w:tmpl w:val="0E4E12AE"/>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9714922"/>
    <w:multiLevelType w:val="hybridMultilevel"/>
    <w:tmpl w:val="0E4E12AE"/>
    <w:lvl w:ilvl="0" w:tplc="0A223AF0">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82824204">
    <w:abstractNumId w:val="1"/>
  </w:num>
  <w:num w:numId="2" w16cid:durableId="1430349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345"/>
    <w:rsid w:val="00076701"/>
    <w:rsid w:val="000B6405"/>
    <w:rsid w:val="000C2507"/>
    <w:rsid w:val="00171DA4"/>
    <w:rsid w:val="001C3FCA"/>
    <w:rsid w:val="00226942"/>
    <w:rsid w:val="002C00E9"/>
    <w:rsid w:val="00373072"/>
    <w:rsid w:val="003B2013"/>
    <w:rsid w:val="004C0A1F"/>
    <w:rsid w:val="00517544"/>
    <w:rsid w:val="00561D87"/>
    <w:rsid w:val="0056257C"/>
    <w:rsid w:val="005D0F16"/>
    <w:rsid w:val="0063242A"/>
    <w:rsid w:val="006638B4"/>
    <w:rsid w:val="00697CAD"/>
    <w:rsid w:val="006B4345"/>
    <w:rsid w:val="00720858"/>
    <w:rsid w:val="00722DA4"/>
    <w:rsid w:val="00856378"/>
    <w:rsid w:val="00906B5A"/>
    <w:rsid w:val="009D082E"/>
    <w:rsid w:val="009E300F"/>
    <w:rsid w:val="00A16D82"/>
    <w:rsid w:val="00A35686"/>
    <w:rsid w:val="00AA52B9"/>
    <w:rsid w:val="00B3355B"/>
    <w:rsid w:val="00BA2F1A"/>
    <w:rsid w:val="00C32B58"/>
    <w:rsid w:val="00CB322F"/>
    <w:rsid w:val="00D53BF9"/>
    <w:rsid w:val="00E412FA"/>
    <w:rsid w:val="00E61EA3"/>
    <w:rsid w:val="00E643F7"/>
    <w:rsid w:val="00E7514D"/>
    <w:rsid w:val="00F076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26F24"/>
  <w15:chartTrackingRefBased/>
  <w15:docId w15:val="{74D81440-536C-4802-B557-8C9338E96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345"/>
    <w:pPr>
      <w:spacing w:after="0" w:line="264" w:lineRule="auto"/>
    </w:pPr>
    <w:rPr>
      <w:rFonts w:ascii="Aptos" w:eastAsia="Aptos" w:hAnsi="Aptos" w:cs="Aptos"/>
      <w:color w:val="000000"/>
      <w:lang w:eastAsia="es-CO"/>
    </w:rPr>
  </w:style>
  <w:style w:type="paragraph" w:styleId="Ttulo1">
    <w:name w:val="heading 1"/>
    <w:basedOn w:val="Normal"/>
    <w:next w:val="Normal"/>
    <w:link w:val="Ttulo1Car"/>
    <w:uiPriority w:val="9"/>
    <w:qFormat/>
    <w:rsid w:val="006B4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4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43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43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43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434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434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434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434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43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43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43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43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43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43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43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43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4345"/>
    <w:rPr>
      <w:rFonts w:eastAsiaTheme="majorEastAsia" w:cstheme="majorBidi"/>
      <w:color w:val="272727" w:themeColor="text1" w:themeTint="D8"/>
    </w:rPr>
  </w:style>
  <w:style w:type="paragraph" w:styleId="Ttulo">
    <w:name w:val="Title"/>
    <w:basedOn w:val="Normal"/>
    <w:next w:val="Normal"/>
    <w:link w:val="TtuloCar"/>
    <w:uiPriority w:val="10"/>
    <w:qFormat/>
    <w:rsid w:val="006B4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43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43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43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4345"/>
    <w:pPr>
      <w:spacing w:before="160"/>
      <w:jc w:val="center"/>
    </w:pPr>
    <w:rPr>
      <w:i/>
      <w:iCs/>
      <w:color w:val="404040" w:themeColor="text1" w:themeTint="BF"/>
    </w:rPr>
  </w:style>
  <w:style w:type="character" w:customStyle="1" w:styleId="CitaCar">
    <w:name w:val="Cita Car"/>
    <w:basedOn w:val="Fuentedeprrafopredeter"/>
    <w:link w:val="Cita"/>
    <w:uiPriority w:val="29"/>
    <w:rsid w:val="006B4345"/>
    <w:rPr>
      <w:i/>
      <w:iCs/>
      <w:color w:val="404040" w:themeColor="text1" w:themeTint="BF"/>
    </w:rPr>
  </w:style>
  <w:style w:type="paragraph" w:styleId="Prrafodelista">
    <w:name w:val="List Paragraph"/>
    <w:basedOn w:val="Normal"/>
    <w:uiPriority w:val="34"/>
    <w:qFormat/>
    <w:rsid w:val="006B4345"/>
    <w:pPr>
      <w:ind w:left="720"/>
      <w:contextualSpacing/>
    </w:pPr>
  </w:style>
  <w:style w:type="character" w:styleId="nfasisintenso">
    <w:name w:val="Intense Emphasis"/>
    <w:basedOn w:val="Fuentedeprrafopredeter"/>
    <w:uiPriority w:val="21"/>
    <w:qFormat/>
    <w:rsid w:val="006B4345"/>
    <w:rPr>
      <w:i/>
      <w:iCs/>
      <w:color w:val="0F4761" w:themeColor="accent1" w:themeShade="BF"/>
    </w:rPr>
  </w:style>
  <w:style w:type="paragraph" w:styleId="Citadestacada">
    <w:name w:val="Intense Quote"/>
    <w:basedOn w:val="Normal"/>
    <w:next w:val="Normal"/>
    <w:link w:val="CitadestacadaCar"/>
    <w:uiPriority w:val="30"/>
    <w:qFormat/>
    <w:rsid w:val="006B4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4345"/>
    <w:rPr>
      <w:i/>
      <w:iCs/>
      <w:color w:val="0F4761" w:themeColor="accent1" w:themeShade="BF"/>
    </w:rPr>
  </w:style>
  <w:style w:type="character" w:styleId="Referenciaintensa">
    <w:name w:val="Intense Reference"/>
    <w:basedOn w:val="Fuentedeprrafopredeter"/>
    <w:uiPriority w:val="32"/>
    <w:qFormat/>
    <w:rsid w:val="006B4345"/>
    <w:rPr>
      <w:b/>
      <w:bCs/>
      <w:smallCaps/>
      <w:color w:val="0F4761" w:themeColor="accent1" w:themeShade="BF"/>
      <w:spacing w:val="5"/>
    </w:rPr>
  </w:style>
  <w:style w:type="paragraph" w:customStyle="1" w:styleId="DocTitle">
    <w:name w:val="Doc Title"/>
    <w:basedOn w:val="Normal"/>
    <w:next w:val="Normal"/>
    <w:rsid w:val="006B4345"/>
  </w:style>
  <w:style w:type="paragraph" w:customStyle="1" w:styleId="font-claude-response-body">
    <w:name w:val="font-claude-response-body"/>
    <w:basedOn w:val="Normal"/>
    <w:rsid w:val="0085637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Fuerte">
    <w:name w:val="Strong"/>
    <w:basedOn w:val="Fuentedeprrafopredeter"/>
    <w:uiPriority w:val="22"/>
    <w:qFormat/>
    <w:rsid w:val="00A16D82"/>
    <w:rPr>
      <w:b/>
      <w:bCs/>
    </w:rPr>
  </w:style>
  <w:style w:type="character" w:styleId="nfasis">
    <w:name w:val="Emphasis"/>
    <w:basedOn w:val="Fuentedeprrafopredeter"/>
    <w:uiPriority w:val="20"/>
    <w:qFormat/>
    <w:rsid w:val="00D53B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4959</TotalTime>
  <Pages>4</Pages>
  <Words>1691</Words>
  <Characters>9302</Characters>
  <Application>Microsoft Office Word</Application>
  <DocSecurity>0</DocSecurity>
  <Lines>77</Lines>
  <Paragraphs>21</Paragraphs>
  <ScaleCrop>false</ScaleCrop>
  <Company/>
  <LinksUpToDate>false</LinksUpToDate>
  <CharactersWithSpaces>10972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Valdés Cárdenas</dc:creator>
  <cp:keywords/>
  <dc:description/>
  <cp:lastModifiedBy>Daniela Valdés Cárdenas</cp:lastModifiedBy>
  <cp:revision>29</cp:revision>
  <dcterms:created xsi:type="dcterms:W3CDTF">2026-07-16T21:55:00Z</dcterms:created>
  <dcterms:modified xsi:type="dcterms:W3CDTF">2026-07-22T16:40:00Z</dcterms:modified>
</cp:coreProperties>
</file>