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F00" w:rsidRPr="00697F00" w:rsidRDefault="00697F00" w:rsidP="00697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en-US" w:eastAsia="es-CO"/>
        </w:rPr>
      </w:pPr>
      <w:r w:rsidRPr="00697F0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en-US" w:eastAsia="es-CO"/>
        </w:rPr>
        <w:t>Figures</w:t>
      </w:r>
    </w:p>
    <w:p w:rsidR="00697F00" w:rsidRPr="00697F00" w:rsidRDefault="00697F00" w:rsidP="00697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highlight w:val="yellow"/>
          <w:lang w:val="en-US" w:eastAsia="es-CO"/>
        </w:rPr>
      </w:pPr>
      <w:r w:rsidRPr="00E86B3E">
        <w:rPr>
          <w:rFonts w:ascii="Times New Roman" w:eastAsia="Times New Roman" w:hAnsi="Times New Roman" w:cs="Times New Roman"/>
          <w:b/>
          <w:bCs/>
          <w:strike/>
          <w:sz w:val="24"/>
          <w:szCs w:val="24"/>
          <w:highlight w:val="yellow"/>
          <w:lang w:val="en-US" w:eastAsia="es-CO"/>
        </w:rPr>
        <w:t>Figure 1. Daily diet cost for each member of the representative household, 2019–2024</w:t>
      </w:r>
      <w:r w:rsidRPr="00697F00">
        <w:rPr>
          <w:rFonts w:ascii="Times New Roman" w:eastAsia="Times New Roman" w:hAnsi="Times New Roman" w:cs="Times New Roman"/>
          <w:strike/>
          <w:sz w:val="24"/>
          <w:szCs w:val="24"/>
          <w:highlight w:val="yellow"/>
          <w:lang w:val="en-US" w:eastAsia="es-CO"/>
        </w:rPr>
        <w:t xml:space="preserve"> </w:t>
      </w:r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 xml:space="preserve">Panel time series. Rows: household members (adult male, adult female, female child). Columns: cities (Bogotá, Medellín, Cali). Lines: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>CoCA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 xml:space="preserve"> (blue),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>CoNA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 xml:space="preserve"> (red),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>CoRD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 xml:space="preserve"> (green). Y-axis: nominal COP per day. Note: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>CoCA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 xml:space="preserve"> = Cost of Caloric Adequacy;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>CoNA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 xml:space="preserve"> = Cost of Nutritional Adequacy;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>CoRD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 xml:space="preserve"> = Cost of the Recommended Diet. Costs estimated monthly for a representative household comprising one adult male (31–51 years), one adult female (31–51 years), and one female child (10–14 years). Nutritional requirements follow GABAS dietary guidelines adjusted by city-specific estimated energy requirements.</w:t>
      </w:r>
    </w:p>
    <w:p w:rsidR="00697F00" w:rsidRPr="00697F00" w:rsidRDefault="00697F00" w:rsidP="00697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lang w:val="en-US" w:eastAsia="es-CO"/>
        </w:rPr>
      </w:pPr>
      <w:r w:rsidRPr="00E86B3E">
        <w:rPr>
          <w:rFonts w:ascii="Times New Roman" w:eastAsia="Times New Roman" w:hAnsi="Times New Roman" w:cs="Times New Roman"/>
          <w:b/>
          <w:bCs/>
          <w:strike/>
          <w:sz w:val="24"/>
          <w:szCs w:val="24"/>
          <w:highlight w:val="yellow"/>
          <w:lang w:val="en-US" w:eastAsia="es-CO"/>
        </w:rPr>
        <w:t>Figure 2. Real daily diet cost per 1,000 kcal for each member of the representative household, 2019–2024</w:t>
      </w:r>
      <w:r w:rsidRPr="00697F00">
        <w:rPr>
          <w:rFonts w:ascii="Times New Roman" w:eastAsia="Times New Roman" w:hAnsi="Times New Roman" w:cs="Times New Roman"/>
          <w:strike/>
          <w:sz w:val="24"/>
          <w:szCs w:val="24"/>
          <w:highlight w:val="yellow"/>
          <w:lang w:val="en-US" w:eastAsia="es-CO"/>
        </w:rPr>
        <w:t xml:space="preserve"> </w:t>
      </w:r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yellow"/>
          <w:lang w:val="en-US" w:eastAsia="es-CO"/>
        </w:rPr>
        <w:t>Panel time series. Same layout as Figure 1. Y-axis: real COP per 1,000 kcal (deflated using the national CPI, base year 2019). Note: cost per 1,000 kcal is a diet-quality-adjusted cost measure that controls for differences in energy density across diets and household members.</w:t>
      </w:r>
    </w:p>
    <w:p w:rsidR="00697F00" w:rsidRPr="00697F00" w:rsidRDefault="00697F00" w:rsidP="00697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lang w:val="en-US" w:eastAsia="es-CO"/>
        </w:rPr>
      </w:pPr>
      <w:bookmarkStart w:id="0" w:name="_GoBack"/>
      <w:r w:rsidRPr="00E86B3E">
        <w:rPr>
          <w:rFonts w:ascii="Times New Roman" w:eastAsia="Times New Roman" w:hAnsi="Times New Roman" w:cs="Times New Roman"/>
          <w:b/>
          <w:bCs/>
          <w:strike/>
          <w:sz w:val="24"/>
          <w:szCs w:val="24"/>
          <w:highlight w:val="green"/>
          <w:lang w:val="en-US" w:eastAsia="es-CO"/>
        </w:rPr>
        <w:t>Figure 3. Real daily diet cost for the representative household, 2019–2024</w:t>
      </w:r>
      <w:r w:rsidRPr="00697F00">
        <w:rPr>
          <w:rFonts w:ascii="Times New Roman" w:eastAsia="Times New Roman" w:hAnsi="Times New Roman" w:cs="Times New Roman"/>
          <w:strike/>
          <w:sz w:val="24"/>
          <w:szCs w:val="24"/>
          <w:highlight w:val="green"/>
          <w:lang w:val="en-US" w:eastAsia="es-CO"/>
        </w:rPr>
        <w:t xml:space="preserve"> </w:t>
      </w:r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green"/>
          <w:lang w:val="en-US" w:eastAsia="es-CO"/>
        </w:rPr>
        <w:t xml:space="preserve">Single time series per city. Three lines per panel: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green"/>
          <w:lang w:val="en-US" w:eastAsia="es-CO"/>
        </w:rPr>
        <w:t>CoCA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green"/>
          <w:lang w:val="en-US" w:eastAsia="es-CO"/>
        </w:rPr>
        <w:t xml:space="preserve">,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green"/>
          <w:lang w:val="en-US" w:eastAsia="es-CO"/>
        </w:rPr>
        <w:t>CoNA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green"/>
          <w:lang w:val="en-US" w:eastAsia="es-CO"/>
        </w:rPr>
        <w:t xml:space="preserve">,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green"/>
          <w:lang w:val="en-US" w:eastAsia="es-CO"/>
        </w:rPr>
        <w:t>CoRD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green"/>
          <w:lang w:val="en-US" w:eastAsia="es-CO"/>
        </w:rPr>
        <w:t>. Y-axis: real COP per day, summed across all three household members. Shaded bands represent ±1 standard deviation across monthly observations within each year. Note: household cost is the sum of individual costs across the three household members.</w:t>
      </w:r>
    </w:p>
    <w:p w:rsidR="00697F00" w:rsidRPr="00697F00" w:rsidRDefault="00697F00" w:rsidP="00697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lang w:val="en-US" w:eastAsia="es-CO"/>
        </w:rPr>
      </w:pPr>
      <w:r w:rsidRPr="00E86B3E">
        <w:rPr>
          <w:rFonts w:ascii="Times New Roman" w:eastAsia="Times New Roman" w:hAnsi="Times New Roman" w:cs="Times New Roman"/>
          <w:b/>
          <w:bCs/>
          <w:strike/>
          <w:sz w:val="24"/>
          <w:szCs w:val="24"/>
          <w:highlight w:val="cyan"/>
          <w:lang w:val="en-US" w:eastAsia="es-CO"/>
        </w:rPr>
        <w:t>Figure 4. Cost premiums of nutritionally adequate and recommended diets relative to the least-cost diet, 2019–2024</w:t>
      </w:r>
      <w:r w:rsidRPr="00697F00">
        <w:rPr>
          <w:rFonts w:ascii="Times New Roman" w:eastAsia="Times New Roman" w:hAnsi="Times New Roman" w:cs="Times New Roman"/>
          <w:strike/>
          <w:sz w:val="24"/>
          <w:szCs w:val="24"/>
          <w:highlight w:val="cyan"/>
          <w:lang w:val="en-US" w:eastAsia="es-CO"/>
        </w:rPr>
        <w:t xml:space="preserve"> </w:t>
      </w:r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 xml:space="preserve">Panel time series. Three ratios shown: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CoNA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/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CoCA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 xml:space="preserve">,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CoRD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/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CoCA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 xml:space="preserve">, and 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CoRD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/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CoNA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. Facet by city. Y-axis: ratio (values above 1 indicate higher cost). Dashed horizontal line at 1 for reference. Note: a ratio of 1.20 indicates that the diet is 20% more expensive than the reference diet. All costs aggregated at the household level.</w:t>
      </w:r>
    </w:p>
    <w:p w:rsidR="00697F00" w:rsidRPr="00697F00" w:rsidRDefault="00697F00" w:rsidP="00697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lang w:val="en-US" w:eastAsia="es-CO"/>
        </w:rPr>
      </w:pPr>
      <w:r w:rsidRPr="00E86B3E">
        <w:rPr>
          <w:rFonts w:ascii="Times New Roman" w:eastAsia="Times New Roman" w:hAnsi="Times New Roman" w:cs="Times New Roman"/>
          <w:b/>
          <w:bCs/>
          <w:strike/>
          <w:sz w:val="24"/>
          <w:szCs w:val="24"/>
          <w:highlight w:val="cyan"/>
          <w:lang w:val="en-US" w:eastAsia="es-CO"/>
        </w:rPr>
        <w:t>Figure 5. Food group composition of the recommended diet (</w:t>
      </w:r>
      <w:proofErr w:type="spellStart"/>
      <w:r w:rsidRPr="00E86B3E">
        <w:rPr>
          <w:rFonts w:ascii="Times New Roman" w:eastAsia="Times New Roman" w:hAnsi="Times New Roman" w:cs="Times New Roman"/>
          <w:b/>
          <w:bCs/>
          <w:strike/>
          <w:sz w:val="24"/>
          <w:szCs w:val="24"/>
          <w:highlight w:val="cyan"/>
          <w:lang w:val="en-US" w:eastAsia="es-CO"/>
        </w:rPr>
        <w:t>CoRD</w:t>
      </w:r>
      <w:proofErr w:type="spellEnd"/>
      <w:r w:rsidRPr="00E86B3E">
        <w:rPr>
          <w:rFonts w:ascii="Times New Roman" w:eastAsia="Times New Roman" w:hAnsi="Times New Roman" w:cs="Times New Roman"/>
          <w:b/>
          <w:bCs/>
          <w:strike/>
          <w:sz w:val="24"/>
          <w:szCs w:val="24"/>
          <w:highlight w:val="cyan"/>
          <w:lang w:val="en-US" w:eastAsia="es-CO"/>
        </w:rPr>
        <w:t>), 2019–2024</w:t>
      </w:r>
      <w:r w:rsidRPr="00697F00">
        <w:rPr>
          <w:rFonts w:ascii="Times New Roman" w:eastAsia="Times New Roman" w:hAnsi="Times New Roman" w:cs="Times New Roman"/>
          <w:strike/>
          <w:sz w:val="24"/>
          <w:szCs w:val="24"/>
          <w:highlight w:val="cyan"/>
          <w:lang w:val="en-US" w:eastAsia="es-CO"/>
        </w:rPr>
        <w:t xml:space="preserve"> </w:t>
      </w:r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Stacked area chart. Columns: cities. Rows: household members. X-axis: time. Y-axis: daily servings by food group. Food groups follow GABAS classification. Note: the composition reflects the cost-</w:t>
      </w:r>
      <w:proofErr w:type="spellStart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>minimising</w:t>
      </w:r>
      <w:proofErr w:type="spellEnd"/>
      <w:r w:rsidRPr="00E86B3E">
        <w:rPr>
          <w:rFonts w:ascii="Times New Roman" w:eastAsia="Times New Roman" w:hAnsi="Times New Roman" w:cs="Times New Roman"/>
          <w:i/>
          <w:iCs/>
          <w:strike/>
          <w:sz w:val="24"/>
          <w:szCs w:val="24"/>
          <w:highlight w:val="cyan"/>
          <w:lang w:val="en-US" w:eastAsia="es-CO"/>
        </w:rPr>
        <w:t xml:space="preserve"> diet consistent with GABAS recommended servings, adjusted by city-specific energy requirements and IPC expenditure shares.</w:t>
      </w:r>
    </w:p>
    <w:bookmarkEnd w:id="0"/>
    <w:p w:rsidR="00697F00" w:rsidRPr="00697F00" w:rsidRDefault="00697F00" w:rsidP="00697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Figure 6. Shadow price elasticities of nutritional constraints in the </w:t>
      </w:r>
      <w:proofErr w:type="spellStart"/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CoNA</w:t>
      </w:r>
      <w:proofErr w:type="spellEnd"/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and </w:t>
      </w:r>
      <w:proofErr w:type="spellStart"/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CoRD</w:t>
      </w:r>
      <w:proofErr w:type="spellEnd"/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diets, 2019–2024</w:t>
      </w:r>
      <w:r w:rsidRPr="00697F0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 xml:space="preserve">Heatmap. Rows: nutrients. Columns: household member × city. Two side-by-side panels: </w:t>
      </w:r>
      <w:proofErr w:type="spellStart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CoNA</w:t>
      </w:r>
      <w:proofErr w:type="spellEnd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 xml:space="preserve"> (left) and </w:t>
      </w:r>
      <w:proofErr w:type="spellStart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CoRD</w:t>
      </w:r>
      <w:proofErr w:type="spellEnd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 xml:space="preserve"> (right). Color intensity: mean absolute shadow price elasticity (|SPE|) across all city–month observations. Dots indicate nutrients that are binding in ≥50% of observations. Note: the shadow price elasticity measures the proportional reduction in diet cost from a marginal relaxation of each nutritional lower bound, </w:t>
      </w:r>
      <w:proofErr w:type="spellStart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normalised</w:t>
      </w:r>
      <w:proofErr w:type="spellEnd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 xml:space="preserve"> by the constraint level. Higher values indicate nutrients that place greater cost pressure on the optimal diet.</w:t>
      </w:r>
    </w:p>
    <w:p w:rsidR="00697F00" w:rsidRPr="00697F00" w:rsidRDefault="00697F00" w:rsidP="00697F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97F00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697F00" w:rsidRPr="00697F00" w:rsidRDefault="00697F00" w:rsidP="00697F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</w:pPr>
      <w:r w:rsidRPr="00697F0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CO"/>
        </w:rPr>
        <w:lastRenderedPageBreak/>
        <w:t>Tables</w:t>
      </w:r>
    </w:p>
    <w:p w:rsidR="00697F00" w:rsidRPr="00697F00" w:rsidRDefault="00697F00" w:rsidP="00697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lang w:val="en-US" w:eastAsia="es-CO"/>
        </w:rPr>
      </w:pPr>
      <w:r w:rsidRPr="00C72D24">
        <w:rPr>
          <w:rFonts w:ascii="Times New Roman" w:eastAsia="Times New Roman" w:hAnsi="Times New Roman" w:cs="Times New Roman"/>
          <w:b/>
          <w:bCs/>
          <w:strike/>
          <w:sz w:val="24"/>
          <w:szCs w:val="24"/>
          <w:lang w:val="en-US" w:eastAsia="es-CO"/>
        </w:rPr>
        <w:t>Table 1. Daily energy requirements for the representative household</w:t>
      </w:r>
      <w:r w:rsidRPr="00697F00">
        <w:rPr>
          <w:rFonts w:ascii="Times New Roman" w:eastAsia="Times New Roman" w:hAnsi="Times New Roman" w:cs="Times New Roman"/>
          <w:strike/>
          <w:sz w:val="24"/>
          <w:szCs w:val="24"/>
          <w:lang w:val="en-US" w:eastAsia="es-CO"/>
        </w:rPr>
        <w:t xml:space="preserve"> </w:t>
      </w:r>
      <w:r w:rsidRPr="00C72D24">
        <w:rPr>
          <w:rFonts w:ascii="Times New Roman" w:eastAsia="Times New Roman" w:hAnsi="Times New Roman" w:cs="Times New Roman"/>
          <w:i/>
          <w:iCs/>
          <w:strike/>
          <w:sz w:val="24"/>
          <w:szCs w:val="24"/>
          <w:lang w:val="en-US" w:eastAsia="es-CO"/>
        </w:rPr>
        <w:t>Energy requirements (kcal/day) by household member, sex, and city. Requirements follow GABAS dietary guidelines adjusted by city-specific estimated energy requirements (EER) derived from doubly-labelled water equations. Values represent the city-specific mean over 2019–2024.</w:t>
      </w:r>
    </w:p>
    <w:p w:rsidR="00697F00" w:rsidRPr="00697F00" w:rsidRDefault="00697F00" w:rsidP="00697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Table 2. GABAS recommended number of daily servings by food group</w:t>
      </w:r>
      <w:r w:rsidRPr="00697F0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Number of recommended daily food exchanges by food group and household member, following GABAS dietary guidelines adjusted by city-specific EER. Food groups follow the GABAS classification: cereals, roots, tubers and plantains; fruits; vegetables; dairy; meat, eggs, legumes, nuts and seeds; fats; sugars.</w:t>
      </w:r>
    </w:p>
    <w:p w:rsidR="00697F00" w:rsidRPr="00697F00" w:rsidRDefault="00697F00" w:rsidP="00697F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Table 3. Frequency of binding nutritional constraints in the </w:t>
      </w:r>
      <w:proofErr w:type="spellStart"/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CoNA</w:t>
      </w:r>
      <w:proofErr w:type="spellEnd"/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and </w:t>
      </w:r>
      <w:proofErr w:type="spellStart"/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CoRD</w:t>
      </w:r>
      <w:proofErr w:type="spellEnd"/>
      <w:r w:rsidRPr="00697F0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 xml:space="preserve"> diets</w:t>
      </w:r>
      <w:r w:rsidRPr="00697F00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Percentage of city–month observations (January 2019–December 2024) in which each nutritional lower bound is binding in the cost-</w:t>
      </w:r>
      <w:proofErr w:type="spellStart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minimising</w:t>
      </w:r>
      <w:proofErr w:type="spellEnd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 xml:space="preserve"> diet, by household member. A constraint is binding when the optimal diet exactly meets — but does not exceed — the minimum nutritional requirement. Results shown separately for </w:t>
      </w:r>
      <w:proofErr w:type="spellStart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CoNA</w:t>
      </w:r>
      <w:proofErr w:type="spellEnd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 xml:space="preserve"> and </w:t>
      </w:r>
      <w:proofErr w:type="spellStart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CoRD</w:t>
      </w:r>
      <w:proofErr w:type="spellEnd"/>
      <w:r w:rsidRPr="00697F00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CO"/>
        </w:rPr>
        <w:t>. Nutrients ordered by descending overall binding frequency.</w:t>
      </w:r>
    </w:p>
    <w:p w:rsidR="00697F00" w:rsidRPr="00697F00" w:rsidRDefault="00697F00" w:rsidP="00E22E98">
      <w:pPr>
        <w:rPr>
          <w:lang w:val="en-US"/>
        </w:rPr>
      </w:pPr>
    </w:p>
    <w:p w:rsidR="00697F00" w:rsidRPr="00697F00" w:rsidRDefault="00697F00" w:rsidP="00E22E98">
      <w:pPr>
        <w:rPr>
          <w:lang w:val="en-US"/>
        </w:rPr>
      </w:pPr>
    </w:p>
    <w:sectPr w:rsidR="00697F00" w:rsidRPr="00697F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9148FA"/>
    <w:multiLevelType w:val="multilevel"/>
    <w:tmpl w:val="B98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93"/>
    <w:rsid w:val="00102392"/>
    <w:rsid w:val="00393D57"/>
    <w:rsid w:val="00697F00"/>
    <w:rsid w:val="00B67993"/>
    <w:rsid w:val="00C31812"/>
    <w:rsid w:val="00C72D24"/>
    <w:rsid w:val="00E22E98"/>
    <w:rsid w:val="00E8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CB220"/>
  <w15:chartTrackingRefBased/>
  <w15:docId w15:val="{DF72929A-F71B-494F-8152-D82CEC85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7F00"/>
  </w:style>
  <w:style w:type="paragraph" w:styleId="Ttulo2">
    <w:name w:val="heading 2"/>
    <w:basedOn w:val="Normal"/>
    <w:link w:val="Ttulo2Car"/>
    <w:uiPriority w:val="9"/>
    <w:qFormat/>
    <w:rsid w:val="00697F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97F0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font-claude-response-body">
    <w:name w:val="font-claude-response-body"/>
    <w:basedOn w:val="Normal"/>
    <w:rsid w:val="00697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97F00"/>
    <w:rPr>
      <w:b/>
      <w:bCs/>
    </w:rPr>
  </w:style>
  <w:style w:type="character" w:styleId="nfasis">
    <w:name w:val="Emphasis"/>
    <w:basedOn w:val="Fuentedeprrafopredeter"/>
    <w:uiPriority w:val="20"/>
    <w:qFormat/>
    <w:rsid w:val="00697F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9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638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Javeriana Cali</Company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Barona Montoya</dc:creator>
  <cp:keywords/>
  <dc:description/>
  <cp:lastModifiedBy>Sergio Alejandro Barona Montoya</cp:lastModifiedBy>
  <cp:revision>1</cp:revision>
  <dcterms:created xsi:type="dcterms:W3CDTF">2026-03-27T08:40:00Z</dcterms:created>
  <dcterms:modified xsi:type="dcterms:W3CDTF">2026-03-27T11:27:00Z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bc9b63b6-a83f-4ac9-b744-f2baccbf3782</vt:lpwstr>
  </property>
</Properties>
</file>