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7260A" w14:textId="77777777" w:rsidR="007679A7" w:rsidRPr="009332F3" w:rsidRDefault="007679A7" w:rsidP="007679A7">
      <w:pPr>
        <w:pStyle w:val="DocTitle"/>
        <w:jc w:val="center"/>
        <w:rPr>
          <w:rFonts w:ascii="Times New Roman" w:eastAsia="Times New Roman" w:hAnsi="Times New Roman" w:cs="Times New Roman"/>
          <w:b/>
          <w:bCs/>
          <w:sz w:val="32"/>
          <w:szCs w:val="32"/>
        </w:rPr>
      </w:pPr>
      <w:r w:rsidRPr="009332F3">
        <w:rPr>
          <w:rFonts w:ascii="Times New Roman" w:eastAsia="Times New Roman" w:hAnsi="Times New Roman" w:cs="Times New Roman"/>
          <w:b/>
          <w:bCs/>
          <w:sz w:val="32"/>
          <w:szCs w:val="32"/>
        </w:rPr>
        <w:t>Proyecto "Análisis sobre la asequibilidad de los hogares urbanos a dietas de costo mínimo para tres ciudades principales de Colombia durante el período 2019 – 2024"</w:t>
      </w:r>
    </w:p>
    <w:p w14:paraId="0C7B0383" w14:textId="77777777" w:rsidR="007679A7" w:rsidRPr="009332F3" w:rsidRDefault="007679A7" w:rsidP="007679A7">
      <w:pPr>
        <w:pStyle w:val="DocTitle"/>
        <w:jc w:val="center"/>
        <w:rPr>
          <w:rFonts w:ascii="Times New Roman" w:eastAsia="Times New Roman" w:hAnsi="Times New Roman" w:cs="Times New Roman"/>
          <w:sz w:val="28"/>
          <w:szCs w:val="28"/>
        </w:rPr>
      </w:pPr>
      <w:r w:rsidRPr="009332F3">
        <w:rPr>
          <w:rFonts w:ascii="Times New Roman" w:eastAsia="Times New Roman" w:hAnsi="Times New Roman" w:cs="Times New Roman"/>
          <w:sz w:val="28"/>
          <w:szCs w:val="28"/>
        </w:rPr>
        <w:t xml:space="preserve">Proyecto 5.271 </w:t>
      </w:r>
    </w:p>
    <w:p w14:paraId="66426834" w14:textId="77777777" w:rsidR="007679A7" w:rsidRPr="009332F3" w:rsidRDefault="007679A7" w:rsidP="007679A7">
      <w:pPr>
        <w:pStyle w:val="DocTitle"/>
        <w:jc w:val="center"/>
        <w:rPr>
          <w:rFonts w:ascii="Times New Roman" w:eastAsia="Times New Roman" w:hAnsi="Times New Roman" w:cs="Times New Roman"/>
          <w:sz w:val="28"/>
          <w:szCs w:val="28"/>
        </w:rPr>
      </w:pPr>
      <w:r w:rsidRPr="009332F3">
        <w:rPr>
          <w:rFonts w:ascii="Times New Roman" w:eastAsia="Times New Roman" w:hAnsi="Times New Roman" w:cs="Times New Roman"/>
          <w:sz w:val="28"/>
          <w:szCs w:val="28"/>
        </w:rPr>
        <w:t>Fundación para la Promoción de la Investigación y la Tecnología</w:t>
      </w:r>
    </w:p>
    <w:p w14:paraId="1CA49083" w14:textId="77777777" w:rsidR="007679A7" w:rsidRPr="009332F3" w:rsidRDefault="007679A7" w:rsidP="007679A7">
      <w:pPr>
        <w:pStyle w:val="DocTitle"/>
        <w:jc w:val="center"/>
        <w:rPr>
          <w:rFonts w:ascii="Times New Roman" w:eastAsia="Times New Roman" w:hAnsi="Times New Roman" w:cs="Times New Roman"/>
          <w:sz w:val="28"/>
          <w:szCs w:val="28"/>
        </w:rPr>
      </w:pPr>
      <w:r w:rsidRPr="009332F3">
        <w:rPr>
          <w:rFonts w:ascii="Times New Roman" w:eastAsia="Times New Roman" w:hAnsi="Times New Roman" w:cs="Times New Roman"/>
          <w:sz w:val="28"/>
          <w:szCs w:val="28"/>
        </w:rPr>
        <w:t>Banco de la República</w:t>
      </w:r>
    </w:p>
    <w:p w14:paraId="7048A5E3" w14:textId="77777777" w:rsidR="007679A7" w:rsidRPr="009332F3" w:rsidRDefault="007679A7" w:rsidP="007679A7">
      <w:pPr>
        <w:pStyle w:val="DocTitle"/>
        <w:jc w:val="center"/>
        <w:rPr>
          <w:rFonts w:ascii="Times New Roman" w:eastAsia="Times New Roman" w:hAnsi="Times New Roman" w:cs="Times New Roman"/>
        </w:rPr>
      </w:pPr>
      <w:r w:rsidRPr="009332F3">
        <w:rPr>
          <w:rFonts w:ascii="Times New Roman" w:eastAsia="Times New Roman" w:hAnsi="Times New Roman" w:cs="Times New Roman"/>
          <w:sz w:val="24"/>
          <w:szCs w:val="24"/>
        </w:rPr>
        <w:t>Julio 2026</w:t>
      </w:r>
    </w:p>
    <w:p w14:paraId="010DC97B" w14:textId="77777777" w:rsidR="007679A7" w:rsidRDefault="007679A7" w:rsidP="00A972BD">
      <w:pPr>
        <w:spacing w:after="40"/>
        <w:jc w:val="both"/>
        <w:rPr>
          <w:rFonts w:ascii="Times New Roman" w:eastAsia="Times New Roman" w:hAnsi="Times New Roman" w:cs="Times New Roman"/>
          <w:sz w:val="24"/>
          <w:szCs w:val="24"/>
        </w:rPr>
      </w:pPr>
    </w:p>
    <w:p w14:paraId="35F370B1" w14:textId="77777777" w:rsidR="00495315" w:rsidRPr="008D646B" w:rsidRDefault="00A972BD" w:rsidP="008D646B">
      <w:pPr>
        <w:pStyle w:val="Prrafodelista"/>
        <w:numPr>
          <w:ilvl w:val="0"/>
          <w:numId w:val="3"/>
        </w:numPr>
        <w:spacing w:after="40"/>
        <w:jc w:val="both"/>
        <w:rPr>
          <w:rFonts w:ascii="Times New Roman" w:eastAsia="Times New Roman" w:hAnsi="Times New Roman" w:cs="Times New Roman"/>
          <w:b/>
          <w:bCs/>
          <w:sz w:val="24"/>
          <w:szCs w:val="24"/>
        </w:rPr>
      </w:pPr>
      <w:r w:rsidRPr="008D646B">
        <w:rPr>
          <w:rFonts w:ascii="Times New Roman" w:eastAsia="Times New Roman" w:hAnsi="Times New Roman" w:cs="Times New Roman"/>
          <w:b/>
          <w:bCs/>
          <w:sz w:val="24"/>
          <w:szCs w:val="24"/>
        </w:rPr>
        <w:t xml:space="preserve">Laborde et al. (2021) </w:t>
      </w:r>
    </w:p>
    <w:p w14:paraId="51FF33C3" w14:textId="77777777" w:rsidR="00495315" w:rsidRPr="008D646B" w:rsidRDefault="00495315" w:rsidP="008D646B">
      <w:pPr>
        <w:spacing w:after="40"/>
        <w:jc w:val="both"/>
        <w:rPr>
          <w:rStyle w:val="Fuerte"/>
          <w:rFonts w:ascii="Times New Roman" w:hAnsi="Times New Roman" w:cs="Times New Roman"/>
          <w:sz w:val="24"/>
          <w:szCs w:val="24"/>
        </w:rPr>
      </w:pPr>
      <w:r w:rsidRPr="008D646B">
        <w:rPr>
          <w:rStyle w:val="Fuerte"/>
          <w:rFonts w:ascii="Times New Roman" w:hAnsi="Times New Roman" w:cs="Times New Roman"/>
          <w:sz w:val="24"/>
          <w:szCs w:val="24"/>
        </w:rPr>
        <w:t>Objetivo</w:t>
      </w:r>
    </w:p>
    <w:p w14:paraId="4F629FF5" w14:textId="0BD5A802" w:rsidR="00495315" w:rsidRPr="008D646B" w:rsidRDefault="004B2BD1" w:rsidP="008D646B">
      <w:pPr>
        <w:spacing w:after="40"/>
        <w:jc w:val="both"/>
        <w:rPr>
          <w:rFonts w:ascii="Times New Roman" w:hAnsi="Times New Roman" w:cs="Times New Roman"/>
          <w:sz w:val="24"/>
          <w:szCs w:val="24"/>
        </w:rPr>
      </w:pPr>
      <w:r w:rsidRPr="008D646B">
        <w:rPr>
          <w:rFonts w:ascii="Times New Roman" w:hAnsi="Times New Roman" w:cs="Times New Roman"/>
          <w:sz w:val="24"/>
          <w:szCs w:val="24"/>
        </w:rPr>
        <w:t>Cuantificar</w:t>
      </w:r>
      <w:r w:rsidR="00495315" w:rsidRPr="008D646B">
        <w:rPr>
          <w:rFonts w:ascii="Times New Roman" w:hAnsi="Times New Roman" w:cs="Times New Roman"/>
          <w:sz w:val="24"/>
          <w:szCs w:val="24"/>
        </w:rPr>
        <w:t xml:space="preserve"> el impacto adicional que tuvo la pandemia de COVID-19 sobre la </w:t>
      </w:r>
      <w:proofErr w:type="spellStart"/>
      <w:r w:rsidR="00495315" w:rsidRPr="008D646B">
        <w:rPr>
          <w:rFonts w:ascii="Times New Roman" w:hAnsi="Times New Roman" w:cs="Times New Roman"/>
          <w:sz w:val="24"/>
          <w:szCs w:val="24"/>
        </w:rPr>
        <w:t>inasequibilidad</w:t>
      </w:r>
      <w:proofErr w:type="spellEnd"/>
      <w:r w:rsidR="00495315" w:rsidRPr="008D646B">
        <w:rPr>
          <w:rFonts w:ascii="Times New Roman" w:hAnsi="Times New Roman" w:cs="Times New Roman"/>
          <w:sz w:val="24"/>
          <w:szCs w:val="24"/>
        </w:rPr>
        <w:t xml:space="preserve"> de dietas saludables y dietas nutricionalmente adecuadas en 63 países de ingresos bajos y medios (LMIC), así como proyectar los cambios esperados en los patrones de consumo de alimentos derivados de esa crisis.</w:t>
      </w:r>
    </w:p>
    <w:p w14:paraId="6F0B8024" w14:textId="77777777" w:rsidR="00495315" w:rsidRPr="008D646B" w:rsidRDefault="00495315" w:rsidP="008D646B">
      <w:pPr>
        <w:spacing w:after="40"/>
        <w:jc w:val="both"/>
        <w:rPr>
          <w:rStyle w:val="Fuerte"/>
          <w:rFonts w:ascii="Times New Roman" w:hAnsi="Times New Roman" w:cs="Times New Roman"/>
          <w:sz w:val="24"/>
          <w:szCs w:val="24"/>
        </w:rPr>
      </w:pPr>
      <w:r w:rsidRPr="008D646B">
        <w:rPr>
          <w:rStyle w:val="Fuerte"/>
          <w:rFonts w:ascii="Times New Roman" w:hAnsi="Times New Roman" w:cs="Times New Roman"/>
          <w:sz w:val="24"/>
          <w:szCs w:val="24"/>
        </w:rPr>
        <w:t>Metodología</w:t>
      </w:r>
    </w:p>
    <w:p w14:paraId="5CB26121" w14:textId="6F36EBE9" w:rsidR="00A347FA" w:rsidRPr="008D646B" w:rsidRDefault="00495315" w:rsidP="008D646B">
      <w:pPr>
        <w:spacing w:after="40"/>
        <w:jc w:val="both"/>
        <w:rPr>
          <w:rFonts w:ascii="Times New Roman" w:hAnsi="Times New Roman" w:cs="Times New Roman"/>
          <w:sz w:val="24"/>
          <w:szCs w:val="24"/>
        </w:rPr>
      </w:pPr>
      <w:r w:rsidRPr="008D646B">
        <w:rPr>
          <w:rFonts w:ascii="Times New Roman" w:hAnsi="Times New Roman" w:cs="Times New Roman"/>
          <w:sz w:val="24"/>
          <w:szCs w:val="24"/>
        </w:rPr>
        <w:t>Los autores no calculan los costos de dieta desde cero: toman como línea base los costos ya estimados por Herforth et al. (2020) en el informe SOFI 2020, que usó precios de alimentos de 2017 para 170 países</w:t>
      </w:r>
      <w:r w:rsidR="00265E4D" w:rsidRPr="008D646B">
        <w:rPr>
          <w:rFonts w:ascii="Times New Roman" w:hAnsi="Times New Roman" w:cs="Times New Roman"/>
          <w:sz w:val="24"/>
          <w:szCs w:val="24"/>
        </w:rPr>
        <w:t xml:space="preserve"> (Colombia en la lista)</w:t>
      </w:r>
      <w:r w:rsidRPr="008D646B">
        <w:rPr>
          <w:rFonts w:ascii="Times New Roman" w:hAnsi="Times New Roman" w:cs="Times New Roman"/>
          <w:sz w:val="24"/>
          <w:szCs w:val="24"/>
        </w:rPr>
        <w:t>. Trabajan con dos tipos de dieta, definidas explícitamente así en el texto: la dieta saludable ("</w:t>
      </w:r>
      <w:proofErr w:type="spellStart"/>
      <w:r w:rsidRPr="008D646B">
        <w:rPr>
          <w:rFonts w:ascii="Times New Roman" w:hAnsi="Times New Roman" w:cs="Times New Roman"/>
          <w:sz w:val="24"/>
          <w:szCs w:val="24"/>
        </w:rPr>
        <w:t>healthy</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diet</w:t>
      </w:r>
      <w:proofErr w:type="spellEnd"/>
      <w:r w:rsidRPr="008D646B">
        <w:rPr>
          <w:rFonts w:ascii="Times New Roman" w:hAnsi="Times New Roman" w:cs="Times New Roman"/>
          <w:sz w:val="24"/>
          <w:szCs w:val="24"/>
        </w:rPr>
        <w:t>"), construida a partir de guías alimentarias basadas en alimentos (</w:t>
      </w:r>
      <w:proofErr w:type="spellStart"/>
      <w:r w:rsidRPr="008D646B">
        <w:rPr>
          <w:rFonts w:ascii="Times New Roman" w:hAnsi="Times New Roman" w:cs="Times New Roman"/>
          <w:sz w:val="24"/>
          <w:szCs w:val="24"/>
        </w:rPr>
        <w:t>food-based</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dietary</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guidelines</w:t>
      </w:r>
      <w:proofErr w:type="spellEnd"/>
      <w:r w:rsidRPr="008D646B">
        <w:rPr>
          <w:rFonts w:ascii="Times New Roman" w:hAnsi="Times New Roman" w:cs="Times New Roman"/>
          <w:sz w:val="24"/>
          <w:szCs w:val="24"/>
        </w:rPr>
        <w:t>); y la dieta nutricionalmente adecuada ("</w:t>
      </w:r>
      <w:proofErr w:type="spellStart"/>
      <w:r w:rsidRPr="008D646B">
        <w:rPr>
          <w:rFonts w:ascii="Times New Roman" w:hAnsi="Times New Roman" w:cs="Times New Roman"/>
          <w:sz w:val="24"/>
          <w:szCs w:val="24"/>
        </w:rPr>
        <w:t>nutrient-adequate</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diet</w:t>
      </w:r>
      <w:proofErr w:type="spellEnd"/>
      <w:r w:rsidRPr="008D646B">
        <w:rPr>
          <w:rFonts w:ascii="Times New Roman" w:hAnsi="Times New Roman" w:cs="Times New Roman"/>
          <w:sz w:val="24"/>
          <w:szCs w:val="24"/>
        </w:rPr>
        <w:t xml:space="preserve">"), obtenida mediante optimización lineal para cubrir únicamente los requerimientos de nutrientes, sin tomar en cuenta recomendaciones dietéticas, comportamiento ni preferencias alimentarias, distinción que el </w:t>
      </w:r>
      <w:proofErr w:type="spellStart"/>
      <w:r w:rsidRPr="008D646B">
        <w:rPr>
          <w:rFonts w:ascii="Times New Roman" w:hAnsi="Times New Roman" w:cs="Times New Roman"/>
          <w:sz w:val="24"/>
          <w:szCs w:val="24"/>
        </w:rPr>
        <w:t>paper</w:t>
      </w:r>
      <w:proofErr w:type="spellEnd"/>
      <w:r w:rsidRPr="008D646B">
        <w:rPr>
          <w:rFonts w:ascii="Times New Roman" w:hAnsi="Times New Roman" w:cs="Times New Roman"/>
          <w:sz w:val="24"/>
          <w:szCs w:val="24"/>
        </w:rPr>
        <w:t xml:space="preserve"> marca de forma explícita. Sobre esos costos base de 2017, los ajustan a 2020 usando el modelo de equilibrio general computable MIRAGRODEP (basado en datos macroeconómicos y sectoriales de GTAP v.10) y sus extensiones a nivel de hogar, asumiendo que los precios relativos de los alimentos no cambiaron entre 2017 y 2020 dado el crecimiento económico modesto en ese periodo. Para 2021 y 2022 aplican tres escenarios de crecimiento del ingreso nacional bruto (optimista, moderado, pesimista), asumiendo que las disrupciones del sistema alimentario se van desvaneciendo pero los efectos macroeconómicos e ingreso persisten. Con esos costos y escenarios de ingreso, y bajo el supuesto de que el 63% del ingreso puede destinarse a alimentación (tomado también del SOFI 2020), estiman la proporción de población que podría costear 100%, 75%, 50% o 25% del costo de cada dieta. Por separado, usan MIRAGRODEP para proyectar cambios en el consumo per cápita de 10 grupos de alimentos agregados, determinados endógenamente por el modelo a partir de tres factores: elasticidades ingreso alimento específicas por producto, cambios de comportamiento asociados a la pandemia (en particular menor demanda de alimentos fuera del hogar, FAFH) y cambios en precios relativos por disrupciones logísticas y de cadena de suministro durante los confinamientos.</w:t>
      </w:r>
    </w:p>
    <w:p w14:paraId="516A7E44" w14:textId="77777777" w:rsidR="00A347FA" w:rsidRPr="008D646B" w:rsidRDefault="00495315" w:rsidP="008D646B">
      <w:pPr>
        <w:spacing w:after="40"/>
        <w:jc w:val="both"/>
        <w:rPr>
          <w:rStyle w:val="Fuerte"/>
          <w:rFonts w:ascii="Times New Roman" w:hAnsi="Times New Roman" w:cs="Times New Roman"/>
          <w:sz w:val="24"/>
          <w:szCs w:val="24"/>
        </w:rPr>
      </w:pPr>
      <w:r w:rsidRPr="008D646B">
        <w:rPr>
          <w:rStyle w:val="Fuerte"/>
          <w:rFonts w:ascii="Times New Roman" w:hAnsi="Times New Roman" w:cs="Times New Roman"/>
          <w:sz w:val="24"/>
          <w:szCs w:val="24"/>
        </w:rPr>
        <w:t>Resultados</w:t>
      </w:r>
    </w:p>
    <w:p w14:paraId="3F0A86DE" w14:textId="6F23F26A" w:rsidR="00495315" w:rsidRPr="008D646B" w:rsidRDefault="00495315" w:rsidP="008D646B">
      <w:pPr>
        <w:spacing w:after="40"/>
        <w:jc w:val="both"/>
        <w:rPr>
          <w:rFonts w:ascii="Times New Roman" w:eastAsia="Times New Roman" w:hAnsi="Times New Roman" w:cs="Times New Roman"/>
          <w:sz w:val="24"/>
          <w:szCs w:val="24"/>
        </w:rPr>
      </w:pPr>
      <w:r w:rsidRPr="008D646B">
        <w:rPr>
          <w:rFonts w:ascii="Times New Roman" w:hAnsi="Times New Roman" w:cs="Times New Roman"/>
          <w:sz w:val="24"/>
          <w:szCs w:val="24"/>
        </w:rPr>
        <w:lastRenderedPageBreak/>
        <w:t xml:space="preserve">De los 3,500 millones de personas en los 63 países, el 70% (2,500 millones) ya no podía costear una dieta saludable en el contrafactual sin COVID de 2020; con la pandemia, la cifra subió a 74% en 2020 (141 millones adicionales), con incrementos proyectados de 94.6 millones en 2021 (rango de 21.6 a 98.6 millones según escenario) y 32 millones en 2022 (rango de 18.4 a 57.6 millones) respecto al contrafactual sin COVID. Para la dieta nutricionalmente adecuada, el número de personas que no podían costearla pasó de 1,300 millones (36% de la población) a un incremento de 220 millones (43%). En cuanto a profundidad de </w:t>
      </w:r>
      <w:proofErr w:type="spellStart"/>
      <w:r w:rsidRPr="008D646B">
        <w:rPr>
          <w:rFonts w:ascii="Times New Roman" w:hAnsi="Times New Roman" w:cs="Times New Roman"/>
          <w:sz w:val="24"/>
          <w:szCs w:val="24"/>
        </w:rPr>
        <w:t>inasequibilidad</w:t>
      </w:r>
      <w:proofErr w:type="spellEnd"/>
      <w:r w:rsidRPr="008D646B">
        <w:rPr>
          <w:rFonts w:ascii="Times New Roman" w:hAnsi="Times New Roman" w:cs="Times New Roman"/>
          <w:sz w:val="24"/>
          <w:szCs w:val="24"/>
        </w:rPr>
        <w:t>, la proporción de personas que no podían costear ni siquiera la mitad del costo de una dieta saludable subió de 43% a 50%, y para la dieta nutricionalmente adecuada de 12% a 17% (en África subsahariana, de 61% a 66% para no costear la dieta nutricionalmente adecuada, y de 28% a 34% para no costear ni la mitad de su costo). Sobre consumo, el modelo proyecta aumento en el consumo de aceites vegetales, azúcar, otros cultivos y otros alimentos procesados, y caída en granos, frutas, verduras, nueces y legumbres, pescado, carne y huevos, lácteos y alimentos fuera del hogar (FAFH), con la caída más pronunciada en FAFH.</w:t>
      </w:r>
    </w:p>
    <w:p w14:paraId="4581DC36" w14:textId="77777777" w:rsidR="00E3132D" w:rsidRPr="008D646B" w:rsidRDefault="00A972BD" w:rsidP="008D646B">
      <w:pPr>
        <w:pStyle w:val="Prrafodelista"/>
        <w:numPr>
          <w:ilvl w:val="0"/>
          <w:numId w:val="3"/>
        </w:numPr>
        <w:spacing w:after="40"/>
        <w:jc w:val="both"/>
        <w:rPr>
          <w:rFonts w:ascii="Times New Roman" w:eastAsia="Times New Roman" w:hAnsi="Times New Roman" w:cs="Times New Roman"/>
          <w:b/>
          <w:bCs/>
          <w:sz w:val="24"/>
          <w:szCs w:val="24"/>
        </w:rPr>
      </w:pPr>
      <w:r w:rsidRPr="008D646B">
        <w:rPr>
          <w:rFonts w:ascii="Times New Roman" w:eastAsia="Times New Roman" w:hAnsi="Times New Roman" w:cs="Times New Roman"/>
          <w:b/>
          <w:bCs/>
          <w:sz w:val="24"/>
          <w:szCs w:val="24"/>
        </w:rPr>
        <w:t xml:space="preserve">Lee et al. (2021) </w:t>
      </w:r>
    </w:p>
    <w:p w14:paraId="02096847" w14:textId="77777777" w:rsidR="00E3132D" w:rsidRPr="008D646B" w:rsidRDefault="00E3132D" w:rsidP="008D646B">
      <w:pPr>
        <w:spacing w:after="40"/>
        <w:jc w:val="both"/>
        <w:rPr>
          <w:rStyle w:val="Fuerte"/>
          <w:rFonts w:ascii="Times New Roman" w:hAnsi="Times New Roman" w:cs="Times New Roman"/>
          <w:sz w:val="24"/>
          <w:szCs w:val="24"/>
        </w:rPr>
      </w:pPr>
      <w:r w:rsidRPr="008D646B">
        <w:rPr>
          <w:rStyle w:val="Fuerte"/>
          <w:rFonts w:ascii="Times New Roman" w:hAnsi="Times New Roman" w:cs="Times New Roman"/>
          <w:sz w:val="24"/>
          <w:szCs w:val="24"/>
        </w:rPr>
        <w:t>Objetivo</w:t>
      </w:r>
    </w:p>
    <w:p w14:paraId="3C6386BB" w14:textId="69407B27" w:rsidR="00543FFB" w:rsidRPr="008D646B" w:rsidRDefault="0005233B" w:rsidP="008D646B">
      <w:pPr>
        <w:spacing w:after="40"/>
        <w:jc w:val="both"/>
        <w:rPr>
          <w:rFonts w:ascii="Times New Roman" w:hAnsi="Times New Roman" w:cs="Times New Roman"/>
          <w:sz w:val="24"/>
          <w:szCs w:val="24"/>
        </w:rPr>
      </w:pPr>
      <w:r w:rsidRPr="008D646B">
        <w:rPr>
          <w:rFonts w:ascii="Times New Roman" w:hAnsi="Times New Roman" w:cs="Times New Roman"/>
          <w:sz w:val="24"/>
          <w:szCs w:val="24"/>
        </w:rPr>
        <w:t>Evaluar</w:t>
      </w:r>
      <w:r w:rsidR="00E3132D" w:rsidRPr="008D646B">
        <w:rPr>
          <w:rFonts w:ascii="Times New Roman" w:hAnsi="Times New Roman" w:cs="Times New Roman"/>
          <w:sz w:val="24"/>
          <w:szCs w:val="24"/>
        </w:rPr>
        <w:t xml:space="preserve"> el impacto de la pandemia de COVID-19 y de los suplementos de ingreso entregados por el gobierno australiano sobre el costo y la asequibilidad de dietas actuales y dietas recomendadas en hogares de bajos ingresos del área urbana de </w:t>
      </w:r>
      <w:proofErr w:type="spellStart"/>
      <w:r w:rsidR="00E3132D" w:rsidRPr="008D646B">
        <w:rPr>
          <w:rFonts w:ascii="Times New Roman" w:hAnsi="Times New Roman" w:cs="Times New Roman"/>
          <w:sz w:val="24"/>
          <w:szCs w:val="24"/>
        </w:rPr>
        <w:t>Greater</w:t>
      </w:r>
      <w:proofErr w:type="spellEnd"/>
      <w:r w:rsidR="00E3132D" w:rsidRPr="008D646B">
        <w:rPr>
          <w:rFonts w:ascii="Times New Roman" w:hAnsi="Times New Roman" w:cs="Times New Roman"/>
          <w:sz w:val="24"/>
          <w:szCs w:val="24"/>
        </w:rPr>
        <w:t xml:space="preserve"> Brisbane, Queensland, Australia, comparando específicamente los periodos previo (2019) y durante (2020) la pandemia.</w:t>
      </w:r>
    </w:p>
    <w:p w14:paraId="624AF42B" w14:textId="77777777" w:rsidR="00543FFB" w:rsidRPr="008D646B" w:rsidRDefault="00E3132D" w:rsidP="008D646B">
      <w:pPr>
        <w:spacing w:after="40"/>
        <w:jc w:val="both"/>
        <w:rPr>
          <w:rStyle w:val="Fuerte"/>
          <w:rFonts w:ascii="Times New Roman" w:hAnsi="Times New Roman" w:cs="Times New Roman"/>
          <w:sz w:val="24"/>
          <w:szCs w:val="24"/>
        </w:rPr>
      </w:pPr>
      <w:r w:rsidRPr="008D646B">
        <w:rPr>
          <w:rStyle w:val="Fuerte"/>
          <w:rFonts w:ascii="Times New Roman" w:hAnsi="Times New Roman" w:cs="Times New Roman"/>
          <w:sz w:val="24"/>
          <w:szCs w:val="24"/>
        </w:rPr>
        <w:t>Metodología</w:t>
      </w:r>
    </w:p>
    <w:p w14:paraId="2EFCAA49" w14:textId="569EDA79" w:rsidR="0020416E" w:rsidRPr="008D646B" w:rsidRDefault="00ED6E56" w:rsidP="008D646B">
      <w:pPr>
        <w:spacing w:after="40"/>
        <w:jc w:val="both"/>
        <w:rPr>
          <w:rFonts w:ascii="Times New Roman" w:hAnsi="Times New Roman" w:cs="Times New Roman"/>
          <w:sz w:val="24"/>
          <w:szCs w:val="24"/>
        </w:rPr>
      </w:pPr>
      <w:r w:rsidRPr="008D646B">
        <w:rPr>
          <w:rFonts w:ascii="Times New Roman" w:hAnsi="Times New Roman" w:cs="Times New Roman"/>
          <w:sz w:val="24"/>
          <w:szCs w:val="24"/>
        </w:rPr>
        <w:t xml:space="preserve">El estudio aplica el protocolo </w:t>
      </w:r>
      <w:proofErr w:type="spellStart"/>
      <w:r w:rsidRPr="008D646B">
        <w:rPr>
          <w:rFonts w:ascii="Times New Roman" w:hAnsi="Times New Roman" w:cs="Times New Roman"/>
          <w:sz w:val="24"/>
          <w:szCs w:val="24"/>
        </w:rPr>
        <w:t>Healthy</w:t>
      </w:r>
      <w:proofErr w:type="spellEnd"/>
      <w:r w:rsidRPr="008D646B">
        <w:rPr>
          <w:rFonts w:ascii="Times New Roman" w:hAnsi="Times New Roman" w:cs="Times New Roman"/>
          <w:sz w:val="24"/>
          <w:szCs w:val="24"/>
        </w:rPr>
        <w:t xml:space="preserve"> Diets ASAP (</w:t>
      </w:r>
      <w:proofErr w:type="spellStart"/>
      <w:r w:rsidRPr="008D646B">
        <w:rPr>
          <w:rFonts w:ascii="Times New Roman" w:hAnsi="Times New Roman" w:cs="Times New Roman"/>
          <w:sz w:val="24"/>
          <w:szCs w:val="24"/>
        </w:rPr>
        <w:t>Australian</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Standardised</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Affordability</w:t>
      </w:r>
      <w:proofErr w:type="spellEnd"/>
      <w:r w:rsidRPr="008D646B">
        <w:rPr>
          <w:rFonts w:ascii="Times New Roman" w:hAnsi="Times New Roman" w:cs="Times New Roman"/>
          <w:sz w:val="24"/>
          <w:szCs w:val="24"/>
        </w:rPr>
        <w:t xml:space="preserve"> and </w:t>
      </w:r>
      <w:proofErr w:type="spellStart"/>
      <w:r w:rsidRPr="008D646B">
        <w:rPr>
          <w:rFonts w:ascii="Times New Roman" w:hAnsi="Times New Roman" w:cs="Times New Roman"/>
          <w:sz w:val="24"/>
          <w:szCs w:val="24"/>
        </w:rPr>
        <w:t>Pricing</w:t>
      </w:r>
      <w:proofErr w:type="spellEnd"/>
      <w:r w:rsidRPr="008D646B">
        <w:rPr>
          <w:rFonts w:ascii="Times New Roman" w:hAnsi="Times New Roman" w:cs="Times New Roman"/>
          <w:sz w:val="24"/>
          <w:szCs w:val="24"/>
        </w:rPr>
        <w:t xml:space="preserve">), desarrollado siguiendo el enfoque óptimo de INFORMAS (International Network </w:t>
      </w:r>
      <w:proofErr w:type="spellStart"/>
      <w:r w:rsidRPr="008D646B">
        <w:rPr>
          <w:rFonts w:ascii="Times New Roman" w:hAnsi="Times New Roman" w:cs="Times New Roman"/>
          <w:sz w:val="24"/>
          <w:szCs w:val="24"/>
        </w:rPr>
        <w:t>for</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Food</w:t>
      </w:r>
      <w:proofErr w:type="spellEnd"/>
      <w:r w:rsidRPr="008D646B">
        <w:rPr>
          <w:rFonts w:ascii="Times New Roman" w:hAnsi="Times New Roman" w:cs="Times New Roman"/>
          <w:sz w:val="24"/>
          <w:szCs w:val="24"/>
        </w:rPr>
        <w:t xml:space="preserve"> and </w:t>
      </w:r>
      <w:proofErr w:type="spellStart"/>
      <w:r w:rsidRPr="008D646B">
        <w:rPr>
          <w:rFonts w:ascii="Times New Roman" w:hAnsi="Times New Roman" w:cs="Times New Roman"/>
          <w:sz w:val="24"/>
          <w:szCs w:val="24"/>
        </w:rPr>
        <w:t>Obesity</w:t>
      </w:r>
      <w:proofErr w:type="spellEnd"/>
      <w:r w:rsidRPr="008D646B">
        <w:rPr>
          <w:rFonts w:ascii="Times New Roman" w:hAnsi="Times New Roman" w:cs="Times New Roman"/>
          <w:sz w:val="24"/>
          <w:szCs w:val="24"/>
        </w:rPr>
        <w:t xml:space="preserve">/NCD </w:t>
      </w:r>
      <w:proofErr w:type="spellStart"/>
      <w:r w:rsidRPr="008D646B">
        <w:rPr>
          <w:rFonts w:ascii="Times New Roman" w:hAnsi="Times New Roman" w:cs="Times New Roman"/>
          <w:sz w:val="24"/>
          <w:szCs w:val="24"/>
        </w:rPr>
        <w:t>Research</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Monitoring</w:t>
      </w:r>
      <w:proofErr w:type="spellEnd"/>
      <w:r w:rsidRPr="008D646B">
        <w:rPr>
          <w:rFonts w:ascii="Times New Roman" w:hAnsi="Times New Roman" w:cs="Times New Roman"/>
          <w:sz w:val="24"/>
          <w:szCs w:val="24"/>
        </w:rPr>
        <w:t xml:space="preserve"> and </w:t>
      </w:r>
      <w:proofErr w:type="spellStart"/>
      <w:r w:rsidRPr="008D646B">
        <w:rPr>
          <w:rFonts w:ascii="Times New Roman" w:hAnsi="Times New Roman" w:cs="Times New Roman"/>
          <w:sz w:val="24"/>
          <w:szCs w:val="24"/>
        </w:rPr>
        <w:t>Action</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Support</w:t>
      </w:r>
      <w:proofErr w:type="spellEnd"/>
      <w:r w:rsidRPr="008D646B">
        <w:rPr>
          <w:rFonts w:ascii="Times New Roman" w:hAnsi="Times New Roman" w:cs="Times New Roman"/>
          <w:sz w:val="24"/>
          <w:szCs w:val="24"/>
        </w:rPr>
        <w:t xml:space="preserve">). Este protocolo corresponde conceptualmente a una métrica tipo </w:t>
      </w:r>
      <w:proofErr w:type="spellStart"/>
      <w:r w:rsidRPr="008D646B">
        <w:rPr>
          <w:rFonts w:ascii="Times New Roman" w:hAnsi="Times New Roman" w:cs="Times New Roman"/>
          <w:sz w:val="24"/>
          <w:szCs w:val="24"/>
        </w:rPr>
        <w:t>CoRD</w:t>
      </w:r>
      <w:proofErr w:type="spellEnd"/>
      <w:r w:rsidRPr="008D646B">
        <w:rPr>
          <w:rFonts w:ascii="Times New Roman" w:hAnsi="Times New Roman" w:cs="Times New Roman"/>
          <w:sz w:val="24"/>
          <w:szCs w:val="24"/>
        </w:rPr>
        <w:t xml:space="preserve"> (Cost </w:t>
      </w:r>
      <w:proofErr w:type="spellStart"/>
      <w:r w:rsidRPr="008D646B">
        <w:rPr>
          <w:rFonts w:ascii="Times New Roman" w:hAnsi="Times New Roman" w:cs="Times New Roman"/>
          <w:sz w:val="24"/>
          <w:szCs w:val="24"/>
        </w:rPr>
        <w:t>of</w:t>
      </w:r>
      <w:proofErr w:type="spellEnd"/>
      <w:r w:rsidRPr="008D646B">
        <w:rPr>
          <w:rFonts w:ascii="Times New Roman" w:hAnsi="Times New Roman" w:cs="Times New Roman"/>
          <w:sz w:val="24"/>
          <w:szCs w:val="24"/>
        </w:rPr>
        <w:t xml:space="preserve"> a </w:t>
      </w:r>
      <w:proofErr w:type="spellStart"/>
      <w:r w:rsidRPr="008D646B">
        <w:rPr>
          <w:rFonts w:ascii="Times New Roman" w:hAnsi="Times New Roman" w:cs="Times New Roman"/>
          <w:sz w:val="24"/>
          <w:szCs w:val="24"/>
        </w:rPr>
        <w:t>Recommended</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Diet</w:t>
      </w:r>
      <w:proofErr w:type="spellEnd"/>
      <w:r w:rsidRPr="008D646B">
        <w:rPr>
          <w:rFonts w:ascii="Times New Roman" w:hAnsi="Times New Roman" w:cs="Times New Roman"/>
          <w:sz w:val="24"/>
          <w:szCs w:val="24"/>
        </w:rPr>
        <w:t>), ya que la dieta recomendada se construye a partir de las cantidades y tipos de alimentos prescritos explícitamente por las Guías Alimentarias Australianas (</w:t>
      </w:r>
      <w:proofErr w:type="spellStart"/>
      <w:r w:rsidRPr="008D646B">
        <w:rPr>
          <w:rFonts w:ascii="Times New Roman" w:hAnsi="Times New Roman" w:cs="Times New Roman"/>
          <w:sz w:val="24"/>
          <w:szCs w:val="24"/>
        </w:rPr>
        <w:t>Australian</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Dietary</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Guidelines</w:t>
      </w:r>
      <w:proofErr w:type="spellEnd"/>
      <w:r w:rsidRPr="008D646B">
        <w:rPr>
          <w:rFonts w:ascii="Times New Roman" w:hAnsi="Times New Roman" w:cs="Times New Roman"/>
          <w:sz w:val="24"/>
          <w:szCs w:val="24"/>
        </w:rPr>
        <w:t>, ADG), es decir, toma en cuenta recomendaciones dietéticas oficiales y no solo la cobertura mínima de nutrientes ni el alimento más barato disponible. El protocolo compara dos canastas para un hogar de referencia de cuatro personas (hombre y mujer de 31 a 50 años, un niño de 14 y una niña de 8) por quincena: la dieta actual (</w:t>
      </w:r>
      <w:proofErr w:type="spellStart"/>
      <w:r w:rsidRPr="008D646B">
        <w:rPr>
          <w:rFonts w:ascii="Times New Roman" w:hAnsi="Times New Roman" w:cs="Times New Roman"/>
          <w:sz w:val="24"/>
          <w:szCs w:val="24"/>
        </w:rPr>
        <w:t>current</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diet</w:t>
      </w:r>
      <w:proofErr w:type="spellEnd"/>
      <w:r w:rsidRPr="008D646B">
        <w:rPr>
          <w:rFonts w:ascii="Times New Roman" w:hAnsi="Times New Roman" w:cs="Times New Roman"/>
          <w:sz w:val="24"/>
          <w:szCs w:val="24"/>
        </w:rPr>
        <w:t xml:space="preserve">), basada en los datos más recientes de ingesta dietética nacional de la encuesta NNPAS 2011-2013, que incluye alimentos saludables </w:t>
      </w:r>
      <w:proofErr w:type="spellStart"/>
      <w:r w:rsidRPr="008D646B">
        <w:rPr>
          <w:rFonts w:ascii="Times New Roman" w:hAnsi="Times New Roman" w:cs="Times New Roman"/>
          <w:sz w:val="24"/>
          <w:szCs w:val="24"/>
        </w:rPr>
        <w:t>mas</w:t>
      </w:r>
      <w:proofErr w:type="spellEnd"/>
      <w:r w:rsidRPr="008D646B">
        <w:rPr>
          <w:rFonts w:ascii="Times New Roman" w:hAnsi="Times New Roman" w:cs="Times New Roman"/>
          <w:sz w:val="24"/>
          <w:szCs w:val="24"/>
        </w:rPr>
        <w:t xml:space="preserve"> en cantidades menores a las recomendadas, junto con alimentos discrecionales (definidos por las ADG como no necesarios para la salud y altos en grasa saturada, azúcar añadida, sodio o alcohol); y la dieta recomendada (</w:t>
      </w:r>
      <w:proofErr w:type="spellStart"/>
      <w:r w:rsidRPr="008D646B">
        <w:rPr>
          <w:rFonts w:ascii="Times New Roman" w:hAnsi="Times New Roman" w:cs="Times New Roman"/>
          <w:sz w:val="24"/>
          <w:szCs w:val="24"/>
        </w:rPr>
        <w:t>recommended</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diet</w:t>
      </w:r>
      <w:proofErr w:type="spellEnd"/>
      <w:r w:rsidRPr="008D646B">
        <w:rPr>
          <w:rFonts w:ascii="Times New Roman" w:hAnsi="Times New Roman" w:cs="Times New Roman"/>
          <w:sz w:val="24"/>
          <w:szCs w:val="24"/>
        </w:rPr>
        <w:t xml:space="preserve">), que contiene únicamente alimentos saludables en las cantidades prescritas por las ADG. Ambas dietas fueron calibradas para aportar una cantidad de energía comparable (33,869 kJ/día la actual y 33,610 kJ/día la recomendada). La recolección de precios se hizo en 78 puntos de venta de </w:t>
      </w:r>
      <w:proofErr w:type="spellStart"/>
      <w:r w:rsidRPr="008D646B">
        <w:rPr>
          <w:rFonts w:ascii="Times New Roman" w:hAnsi="Times New Roman" w:cs="Times New Roman"/>
          <w:sz w:val="24"/>
          <w:szCs w:val="24"/>
        </w:rPr>
        <w:t>Greater</w:t>
      </w:r>
      <w:proofErr w:type="spellEnd"/>
      <w:r w:rsidRPr="008D646B">
        <w:rPr>
          <w:rFonts w:ascii="Times New Roman" w:hAnsi="Times New Roman" w:cs="Times New Roman"/>
          <w:sz w:val="24"/>
          <w:szCs w:val="24"/>
        </w:rPr>
        <w:t xml:space="preserve"> Brisbane entre agosto y octubre de 2020 (comparados con 80 puntos de venta relevados entre mayo y octubre de 2019 en un estudio previo), incluyendo en cada </w:t>
      </w:r>
      <w:r w:rsidRPr="008D646B">
        <w:rPr>
          <w:rFonts w:ascii="Times New Roman" w:hAnsi="Times New Roman" w:cs="Times New Roman"/>
          <w:sz w:val="24"/>
          <w:szCs w:val="24"/>
        </w:rPr>
        <w:lastRenderedPageBreak/>
        <w:t xml:space="preserve">ubicación dos supermercados grandes, un almacén independiente, una panadería, una tienda de pescado y papas fritas, dos restaurantes de comida rápida y una licorería, siguiendo la estratificación por quintiles de desventaja socioeconómica según el </w:t>
      </w:r>
      <w:proofErr w:type="spellStart"/>
      <w:r w:rsidRPr="008D646B">
        <w:rPr>
          <w:rFonts w:ascii="Times New Roman" w:hAnsi="Times New Roman" w:cs="Times New Roman"/>
          <w:sz w:val="24"/>
          <w:szCs w:val="24"/>
        </w:rPr>
        <w:t>Index</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of</w:t>
      </w:r>
      <w:proofErr w:type="spellEnd"/>
      <w:r w:rsidRPr="008D646B">
        <w:rPr>
          <w:rFonts w:ascii="Times New Roman" w:hAnsi="Times New Roman" w:cs="Times New Roman"/>
          <w:sz w:val="24"/>
          <w:szCs w:val="24"/>
        </w:rPr>
        <w:t xml:space="preserve"> Relative </w:t>
      </w:r>
      <w:proofErr w:type="spellStart"/>
      <w:r w:rsidRPr="008D646B">
        <w:rPr>
          <w:rFonts w:ascii="Times New Roman" w:hAnsi="Times New Roman" w:cs="Times New Roman"/>
          <w:sz w:val="24"/>
          <w:szCs w:val="24"/>
        </w:rPr>
        <w:t>Socioeconomic</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Disadvantage</w:t>
      </w:r>
      <w:proofErr w:type="spellEnd"/>
      <w:r w:rsidRPr="008D646B">
        <w:rPr>
          <w:rFonts w:ascii="Times New Roman" w:hAnsi="Times New Roman" w:cs="Times New Roman"/>
          <w:sz w:val="24"/>
          <w:szCs w:val="24"/>
        </w:rPr>
        <w:t xml:space="preserve"> (IRSD). Los costos de las dietas se reportan en dólares australianos corrientes de cada periodo de recolección (2019 y 2020), sin que el </w:t>
      </w:r>
      <w:proofErr w:type="spellStart"/>
      <w:r w:rsidRPr="008D646B">
        <w:rPr>
          <w:rFonts w:ascii="Times New Roman" w:hAnsi="Times New Roman" w:cs="Times New Roman"/>
          <w:sz w:val="24"/>
          <w:szCs w:val="24"/>
        </w:rPr>
        <w:t>paper</w:t>
      </w:r>
      <w:proofErr w:type="spellEnd"/>
      <w:r w:rsidRPr="008D646B">
        <w:rPr>
          <w:rFonts w:ascii="Times New Roman" w:hAnsi="Times New Roman" w:cs="Times New Roman"/>
          <w:sz w:val="24"/>
          <w:szCs w:val="24"/>
        </w:rPr>
        <w:t xml:space="preserve"> indique un ajuste o </w:t>
      </w:r>
      <w:proofErr w:type="spellStart"/>
      <w:r w:rsidRPr="008D646B">
        <w:rPr>
          <w:rFonts w:ascii="Times New Roman" w:hAnsi="Times New Roman" w:cs="Times New Roman"/>
          <w:sz w:val="24"/>
          <w:szCs w:val="24"/>
        </w:rPr>
        <w:t>deflactación</w:t>
      </w:r>
      <w:proofErr w:type="spellEnd"/>
      <w:r w:rsidRPr="008D646B">
        <w:rPr>
          <w:rFonts w:ascii="Times New Roman" w:hAnsi="Times New Roman" w:cs="Times New Roman"/>
          <w:sz w:val="24"/>
          <w:szCs w:val="24"/>
        </w:rPr>
        <w:t xml:space="preserve"> previa por inflación en el cálculo de los costos; en la discusión, los autores solo contrastan a posteriori el incremento observado en el costo de la dieta actual (3.3%) con el Índice de Precios al Consumidor de alimentos y bebidas no alcohólicas (3.4% entre 2019 y 2020) como referencia externa de contexto, no como procedimiento metodológico aplicado a sus propios datos. Para la asequibilidad, se calcularon los ingresos disponibles de hogares con salario mínimo y con ingreso exclusivamente de asistencia social, siguiendo los supuestos del protocolo e incorporando en 2020 los suplementos gubernamentales de emergencia (ESPCS), compuestos por un pago único de AUD 750 y un suplemento quincenal de AUD 550 para elegibles de </w:t>
      </w:r>
      <w:proofErr w:type="spellStart"/>
      <w:r w:rsidRPr="008D646B">
        <w:rPr>
          <w:rFonts w:ascii="Times New Roman" w:hAnsi="Times New Roman" w:cs="Times New Roman"/>
          <w:sz w:val="24"/>
          <w:szCs w:val="24"/>
        </w:rPr>
        <w:t>JobSeeker</w:t>
      </w:r>
      <w:proofErr w:type="spellEnd"/>
      <w:r w:rsidRPr="008D646B">
        <w:rPr>
          <w:rFonts w:ascii="Times New Roman" w:hAnsi="Times New Roman" w:cs="Times New Roman"/>
          <w:sz w:val="24"/>
          <w:szCs w:val="24"/>
        </w:rPr>
        <w:t>. Se considera que una dieta es inasequible si su costo representa el 30% o más del ingreso disponible del hogar, y que el hogar está bajo estrés alimentario si el costo está entre 25% y 30% del ingreso. Las diferencias entre los resultados de 2019 y 2020 se evaluaron mediante prueba t tras confirmar mediante análisis de varianza que los datos eran paramétricos.</w:t>
      </w:r>
    </w:p>
    <w:p w14:paraId="5D232129" w14:textId="77777777" w:rsidR="0020416E" w:rsidRPr="008D646B" w:rsidRDefault="00E3132D" w:rsidP="008D646B">
      <w:pPr>
        <w:spacing w:after="40"/>
        <w:jc w:val="both"/>
        <w:rPr>
          <w:rStyle w:val="Fuerte"/>
          <w:rFonts w:ascii="Times New Roman" w:hAnsi="Times New Roman" w:cs="Times New Roman"/>
          <w:sz w:val="24"/>
          <w:szCs w:val="24"/>
        </w:rPr>
      </w:pPr>
      <w:r w:rsidRPr="008D646B">
        <w:rPr>
          <w:rStyle w:val="Fuerte"/>
          <w:rFonts w:ascii="Times New Roman" w:hAnsi="Times New Roman" w:cs="Times New Roman"/>
          <w:sz w:val="24"/>
          <w:szCs w:val="24"/>
        </w:rPr>
        <w:t>Resultados</w:t>
      </w:r>
    </w:p>
    <w:p w14:paraId="3A0FD829" w14:textId="7944688A" w:rsidR="00E3132D" w:rsidRPr="008D646B" w:rsidRDefault="00E3132D" w:rsidP="008D646B">
      <w:pPr>
        <w:spacing w:after="40"/>
        <w:jc w:val="both"/>
        <w:rPr>
          <w:rFonts w:ascii="Times New Roman" w:eastAsia="Times New Roman" w:hAnsi="Times New Roman" w:cs="Times New Roman"/>
          <w:sz w:val="24"/>
          <w:szCs w:val="24"/>
        </w:rPr>
      </w:pPr>
      <w:r w:rsidRPr="008D646B">
        <w:rPr>
          <w:rFonts w:ascii="Times New Roman" w:hAnsi="Times New Roman" w:cs="Times New Roman"/>
          <w:sz w:val="24"/>
          <w:szCs w:val="24"/>
        </w:rPr>
        <w:t>Tanto en 2019 como en 2020, la dieta actual (AUD 772.20 y AUD 797.36 por quincena, respectivamente) fue significativamente más costosa que la dieta recomendada (AUD 619.04 y AUD 643.47 por quincena, p &lt; 0.01), siendo la dieta recomendada 20% (AUD 153.16) más barata en 2019 y 19% (AUD 153.89) más barata en 2020. Entre 2019 y 2020, el costo de ambas dietas aumentó significativamente (3.3% la actual, p = 0.01; 4.0% la recomendada, p &lt; 0.5), con un incremento proporcional 21% mayor en la dieta recomendada. En la dieta actual, el precio de los alimentos saludables subió en promedio 4.6% (p &lt; 0.01), mientras que el precio de los alimentos discrecionales no cambió significativamente. En la dieta recomendada, los grupos de alimentos que más subieron de precio fueron frutas (22.3%, p &lt; 0.01), lácteos y alternativas (7.4%, p &lt; 0.5) y carnes magras, aves, pescado, huevos y alternativas (6.1%, p &lt; 0.01); el único grupo que bajó de precio fue verduras y legumbres (menos 12.1%, p &lt; 0.01). En ambos años, los alimentos discrecionales representaron cerca del 60% del gasto total en dieta del hogar de referencia, encabezados por comida para llevar (19 a 20%) y bebidas alcohólicas (12 a 13%). El ingreso disponible quincenal de hogares con salario mínimo pasó de AUD 2358.33 en 2019 a AUD 3336.20 en 2020 por efecto del ESPCS, y el de hogares solo con asistencia social pasó de AUD 1739.68 a AUD 3082.52. En cuanto a asequibilidad, la dieta recomendada costaba 26% del ingreso disponible de los hogares con salario mínimo en 2019 (bajo estrés alimentario), bajando a 19% en 2020 gracias al ESPCS, con lo cual se volvió asequible; para hogares solo con asistencia social, la dieta recomendada era inasequible en 2019 (36% del ingreso), pasando a 21% en 2020, siendo la primera vez que resultó asequible para este grupo. En términos de mejora porcentual, la asequibilidad de la dieta recomendada mejoró 27% para hogares con salario mínimo y 42% para hogares solo con asistencia social entre 2019 y 2020.</w:t>
      </w:r>
    </w:p>
    <w:p w14:paraId="51075855" w14:textId="77777777" w:rsidR="001D5AED" w:rsidRPr="008D646B" w:rsidRDefault="00A972BD" w:rsidP="008D646B">
      <w:pPr>
        <w:pStyle w:val="Prrafodelista"/>
        <w:numPr>
          <w:ilvl w:val="0"/>
          <w:numId w:val="3"/>
        </w:numPr>
        <w:spacing w:after="40"/>
        <w:jc w:val="both"/>
        <w:rPr>
          <w:rFonts w:ascii="Times New Roman" w:eastAsia="Times New Roman" w:hAnsi="Times New Roman" w:cs="Times New Roman"/>
          <w:b/>
          <w:bCs/>
          <w:sz w:val="24"/>
          <w:szCs w:val="24"/>
        </w:rPr>
      </w:pPr>
      <w:r w:rsidRPr="008D646B">
        <w:rPr>
          <w:rFonts w:ascii="Times New Roman" w:eastAsia="Times New Roman" w:hAnsi="Times New Roman" w:cs="Times New Roman"/>
          <w:b/>
          <w:bCs/>
          <w:sz w:val="24"/>
          <w:szCs w:val="24"/>
        </w:rPr>
        <w:lastRenderedPageBreak/>
        <w:t xml:space="preserve">Lewis et al. (2023) </w:t>
      </w:r>
    </w:p>
    <w:p w14:paraId="43F266F1" w14:textId="77777777" w:rsidR="001D5AED" w:rsidRPr="008D646B" w:rsidRDefault="001D5AED" w:rsidP="008D646B">
      <w:pPr>
        <w:spacing w:after="40"/>
        <w:jc w:val="both"/>
        <w:rPr>
          <w:rStyle w:val="Fuerte"/>
          <w:rFonts w:ascii="Times New Roman" w:hAnsi="Times New Roman" w:cs="Times New Roman"/>
          <w:sz w:val="24"/>
          <w:szCs w:val="24"/>
        </w:rPr>
      </w:pPr>
      <w:r w:rsidRPr="008D646B">
        <w:rPr>
          <w:rStyle w:val="Fuerte"/>
          <w:rFonts w:ascii="Times New Roman" w:hAnsi="Times New Roman" w:cs="Times New Roman"/>
          <w:sz w:val="24"/>
          <w:szCs w:val="24"/>
        </w:rPr>
        <w:t>Objetivo</w:t>
      </w:r>
    </w:p>
    <w:p w14:paraId="696BB409" w14:textId="0C581CF4" w:rsidR="001D5AED" w:rsidRPr="008D646B" w:rsidRDefault="0005233B" w:rsidP="008D646B">
      <w:pPr>
        <w:spacing w:after="40"/>
        <w:jc w:val="both"/>
        <w:rPr>
          <w:rFonts w:ascii="Times New Roman" w:hAnsi="Times New Roman" w:cs="Times New Roman"/>
          <w:sz w:val="24"/>
          <w:szCs w:val="24"/>
        </w:rPr>
      </w:pPr>
      <w:r w:rsidRPr="008D646B">
        <w:rPr>
          <w:rFonts w:ascii="Times New Roman" w:hAnsi="Times New Roman" w:cs="Times New Roman"/>
          <w:sz w:val="24"/>
          <w:szCs w:val="24"/>
        </w:rPr>
        <w:t>Evaluar</w:t>
      </w:r>
      <w:r w:rsidR="001D5AED" w:rsidRPr="008D646B">
        <w:rPr>
          <w:rFonts w:ascii="Times New Roman" w:hAnsi="Times New Roman" w:cs="Times New Roman"/>
          <w:sz w:val="24"/>
          <w:szCs w:val="24"/>
        </w:rPr>
        <w:t xml:space="preserve"> los costos y la asequibilidad de dietas habituales (no saludables) y dietas recomendadas (saludables, equitativas y más sostenibles), junto con sus componentes, en </w:t>
      </w:r>
      <w:proofErr w:type="spellStart"/>
      <w:r w:rsidR="001D5AED" w:rsidRPr="008D646B">
        <w:rPr>
          <w:rFonts w:ascii="Times New Roman" w:hAnsi="Times New Roman" w:cs="Times New Roman"/>
          <w:sz w:val="24"/>
          <w:szCs w:val="24"/>
        </w:rPr>
        <w:t>Greater</w:t>
      </w:r>
      <w:proofErr w:type="spellEnd"/>
      <w:r w:rsidR="001D5AED" w:rsidRPr="008D646B">
        <w:rPr>
          <w:rFonts w:ascii="Times New Roman" w:hAnsi="Times New Roman" w:cs="Times New Roman"/>
          <w:sz w:val="24"/>
          <w:szCs w:val="24"/>
        </w:rPr>
        <w:t xml:space="preserve"> Brisbane, Queensland, Australia, entre 2019 y 2022, en el contexto de la pandemia de COVID-19 y de otras presiones concurrentes sobre el sistema alimentario como el cambio climático y la guerra en Ucrania.</w:t>
      </w:r>
    </w:p>
    <w:p w14:paraId="5DC009F8" w14:textId="77777777" w:rsidR="001D5AED" w:rsidRPr="008D646B" w:rsidRDefault="001D5AED" w:rsidP="008D646B">
      <w:pPr>
        <w:spacing w:after="40"/>
        <w:jc w:val="both"/>
        <w:rPr>
          <w:rStyle w:val="Fuerte"/>
          <w:rFonts w:ascii="Times New Roman" w:hAnsi="Times New Roman" w:cs="Times New Roman"/>
          <w:sz w:val="24"/>
          <w:szCs w:val="24"/>
        </w:rPr>
      </w:pPr>
      <w:r w:rsidRPr="008D646B">
        <w:rPr>
          <w:rStyle w:val="Fuerte"/>
          <w:rFonts w:ascii="Times New Roman" w:hAnsi="Times New Roman" w:cs="Times New Roman"/>
          <w:sz w:val="24"/>
          <w:szCs w:val="24"/>
        </w:rPr>
        <w:t>Metodología</w:t>
      </w:r>
    </w:p>
    <w:p w14:paraId="694D9ADB" w14:textId="77777777" w:rsidR="001D5AED" w:rsidRPr="008D646B" w:rsidRDefault="001D5AED" w:rsidP="008D646B">
      <w:pPr>
        <w:spacing w:after="40"/>
        <w:jc w:val="both"/>
        <w:rPr>
          <w:rFonts w:ascii="Times New Roman" w:hAnsi="Times New Roman" w:cs="Times New Roman"/>
          <w:sz w:val="24"/>
          <w:szCs w:val="24"/>
        </w:rPr>
      </w:pPr>
      <w:r w:rsidRPr="008D646B">
        <w:rPr>
          <w:rFonts w:ascii="Times New Roman" w:hAnsi="Times New Roman" w:cs="Times New Roman"/>
          <w:sz w:val="24"/>
          <w:szCs w:val="24"/>
        </w:rPr>
        <w:t xml:space="preserve">El estudio aplica el protocolo </w:t>
      </w:r>
      <w:proofErr w:type="spellStart"/>
      <w:r w:rsidRPr="008D646B">
        <w:rPr>
          <w:rFonts w:ascii="Times New Roman" w:hAnsi="Times New Roman" w:cs="Times New Roman"/>
          <w:sz w:val="24"/>
          <w:szCs w:val="24"/>
        </w:rPr>
        <w:t>Healthy</w:t>
      </w:r>
      <w:proofErr w:type="spellEnd"/>
      <w:r w:rsidRPr="008D646B">
        <w:rPr>
          <w:rFonts w:ascii="Times New Roman" w:hAnsi="Times New Roman" w:cs="Times New Roman"/>
          <w:sz w:val="24"/>
          <w:szCs w:val="24"/>
        </w:rPr>
        <w:t xml:space="preserve"> Diets ASAP (</w:t>
      </w:r>
      <w:proofErr w:type="spellStart"/>
      <w:r w:rsidRPr="008D646B">
        <w:rPr>
          <w:rFonts w:ascii="Times New Roman" w:hAnsi="Times New Roman" w:cs="Times New Roman"/>
          <w:sz w:val="24"/>
          <w:szCs w:val="24"/>
        </w:rPr>
        <w:t>Australian</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Standardised</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Affordability</w:t>
      </w:r>
      <w:proofErr w:type="spellEnd"/>
      <w:r w:rsidRPr="008D646B">
        <w:rPr>
          <w:rFonts w:ascii="Times New Roman" w:hAnsi="Times New Roman" w:cs="Times New Roman"/>
          <w:sz w:val="24"/>
          <w:szCs w:val="24"/>
        </w:rPr>
        <w:t xml:space="preserve"> and </w:t>
      </w:r>
      <w:proofErr w:type="spellStart"/>
      <w:r w:rsidRPr="008D646B">
        <w:rPr>
          <w:rFonts w:ascii="Times New Roman" w:hAnsi="Times New Roman" w:cs="Times New Roman"/>
          <w:sz w:val="24"/>
          <w:szCs w:val="24"/>
        </w:rPr>
        <w:t>Pricing</w:t>
      </w:r>
      <w:proofErr w:type="spellEnd"/>
      <w:r w:rsidRPr="008D646B">
        <w:rPr>
          <w:rFonts w:ascii="Times New Roman" w:hAnsi="Times New Roman" w:cs="Times New Roman"/>
          <w:sz w:val="24"/>
          <w:szCs w:val="24"/>
        </w:rPr>
        <w:t xml:space="preserve">), desarrollado siguiendo el enfoque óptimo del marco INFORMAS. Al igual que en estudios previos que usan este mismo protocolo, la métrica corresponde conceptualmente a un </w:t>
      </w:r>
      <w:proofErr w:type="spellStart"/>
      <w:r w:rsidRPr="008D646B">
        <w:rPr>
          <w:rFonts w:ascii="Times New Roman" w:hAnsi="Times New Roman" w:cs="Times New Roman"/>
          <w:sz w:val="24"/>
          <w:szCs w:val="24"/>
        </w:rPr>
        <w:t>CoRD</w:t>
      </w:r>
      <w:proofErr w:type="spellEnd"/>
      <w:r w:rsidRPr="008D646B">
        <w:rPr>
          <w:rFonts w:ascii="Times New Roman" w:hAnsi="Times New Roman" w:cs="Times New Roman"/>
          <w:sz w:val="24"/>
          <w:szCs w:val="24"/>
        </w:rPr>
        <w:t xml:space="preserve"> (Cost </w:t>
      </w:r>
      <w:proofErr w:type="spellStart"/>
      <w:r w:rsidRPr="008D646B">
        <w:rPr>
          <w:rFonts w:ascii="Times New Roman" w:hAnsi="Times New Roman" w:cs="Times New Roman"/>
          <w:sz w:val="24"/>
          <w:szCs w:val="24"/>
        </w:rPr>
        <w:t>of</w:t>
      </w:r>
      <w:proofErr w:type="spellEnd"/>
      <w:r w:rsidRPr="008D646B">
        <w:rPr>
          <w:rFonts w:ascii="Times New Roman" w:hAnsi="Times New Roman" w:cs="Times New Roman"/>
          <w:sz w:val="24"/>
          <w:szCs w:val="24"/>
        </w:rPr>
        <w:t xml:space="preserve"> a </w:t>
      </w:r>
      <w:proofErr w:type="spellStart"/>
      <w:r w:rsidRPr="008D646B">
        <w:rPr>
          <w:rFonts w:ascii="Times New Roman" w:hAnsi="Times New Roman" w:cs="Times New Roman"/>
          <w:sz w:val="24"/>
          <w:szCs w:val="24"/>
        </w:rPr>
        <w:t>Recommended</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Diet</w:t>
      </w:r>
      <w:proofErr w:type="spellEnd"/>
      <w:r w:rsidRPr="008D646B">
        <w:rPr>
          <w:rFonts w:ascii="Times New Roman" w:hAnsi="Times New Roman" w:cs="Times New Roman"/>
          <w:sz w:val="24"/>
          <w:szCs w:val="24"/>
        </w:rPr>
        <w:t xml:space="preserve">), ya que la dieta recomendada se construye a partir de las cantidades y tipos de alimentos prescritos por las Guías Alimentarias Australianas (ADG), incorporando recomendaciones dietéticas oficiales y no solo la cobertura mínima de nutrientes ni el alimento de menor costo disponible. El protocolo compara dos canastas para un hogar de referencia de cuatro personas (hombre y mujer de 31 a 50 años, un niño de 14 y una niña de 8) por quincena: la dieta habitual (habitual </w:t>
      </w:r>
      <w:proofErr w:type="spellStart"/>
      <w:r w:rsidRPr="008D646B">
        <w:rPr>
          <w:rFonts w:ascii="Times New Roman" w:hAnsi="Times New Roman" w:cs="Times New Roman"/>
          <w:sz w:val="24"/>
          <w:szCs w:val="24"/>
        </w:rPr>
        <w:t>diet</w:t>
      </w:r>
      <w:proofErr w:type="spellEnd"/>
      <w:r w:rsidRPr="008D646B">
        <w:rPr>
          <w:rFonts w:ascii="Times New Roman" w:hAnsi="Times New Roman" w:cs="Times New Roman"/>
          <w:sz w:val="24"/>
          <w:szCs w:val="24"/>
        </w:rPr>
        <w:t>), basada en los datos de ingesta dietética nacional más recientes disponibles de la encuesta NNPAS 2011-2013, que incluye algunos alimentos saludables en cantidades menores a las recomendadas junto con numerosos alimentos discrecionales (definidos por las ADG como no necesarios para la salud y altos en grasa saturada, azúcar añadida, sodio o alcohol); y la dieta recomendada (</w:t>
      </w:r>
      <w:proofErr w:type="spellStart"/>
      <w:r w:rsidRPr="008D646B">
        <w:rPr>
          <w:rFonts w:ascii="Times New Roman" w:hAnsi="Times New Roman" w:cs="Times New Roman"/>
          <w:sz w:val="24"/>
          <w:szCs w:val="24"/>
        </w:rPr>
        <w:t>recommended</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diet</w:t>
      </w:r>
      <w:proofErr w:type="spellEnd"/>
      <w:r w:rsidRPr="008D646B">
        <w:rPr>
          <w:rFonts w:ascii="Times New Roman" w:hAnsi="Times New Roman" w:cs="Times New Roman"/>
          <w:sz w:val="24"/>
          <w:szCs w:val="24"/>
        </w:rPr>
        <w:t xml:space="preserve">), que contiene únicamente alimentos saludables en las cantidades prescritas por las ADG. Ambas dietas fueron calibradas para aportar una cantidad de energía comparable (33,869 kJ/día la habitual y 33,610 kJ/día la recomendada). Los precios se recolectaron anualmente entre agosto y octubre de cada año (2019 a 2022) en las mismas 10 ubicaciones SA2 de </w:t>
      </w:r>
      <w:proofErr w:type="spellStart"/>
      <w:r w:rsidRPr="008D646B">
        <w:rPr>
          <w:rFonts w:ascii="Times New Roman" w:hAnsi="Times New Roman" w:cs="Times New Roman"/>
          <w:sz w:val="24"/>
          <w:szCs w:val="24"/>
        </w:rPr>
        <w:t>Greater</w:t>
      </w:r>
      <w:proofErr w:type="spellEnd"/>
      <w:r w:rsidRPr="008D646B">
        <w:rPr>
          <w:rFonts w:ascii="Times New Roman" w:hAnsi="Times New Roman" w:cs="Times New Roman"/>
          <w:sz w:val="24"/>
          <w:szCs w:val="24"/>
        </w:rPr>
        <w:t xml:space="preserve"> Brisbane, estratificadas en quintiles de desventaja socioeconómica según el </w:t>
      </w:r>
      <w:proofErr w:type="spellStart"/>
      <w:r w:rsidRPr="008D646B">
        <w:rPr>
          <w:rFonts w:ascii="Times New Roman" w:hAnsi="Times New Roman" w:cs="Times New Roman"/>
          <w:sz w:val="24"/>
          <w:szCs w:val="24"/>
        </w:rPr>
        <w:t>Index</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of</w:t>
      </w:r>
      <w:proofErr w:type="spellEnd"/>
      <w:r w:rsidRPr="008D646B">
        <w:rPr>
          <w:rFonts w:ascii="Times New Roman" w:hAnsi="Times New Roman" w:cs="Times New Roman"/>
          <w:sz w:val="24"/>
          <w:szCs w:val="24"/>
        </w:rPr>
        <w:t xml:space="preserve"> Relative </w:t>
      </w:r>
      <w:proofErr w:type="spellStart"/>
      <w:r w:rsidRPr="008D646B">
        <w:rPr>
          <w:rFonts w:ascii="Times New Roman" w:hAnsi="Times New Roman" w:cs="Times New Roman"/>
          <w:sz w:val="24"/>
          <w:szCs w:val="24"/>
        </w:rPr>
        <w:t>Socioeconomic</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Disadvantage</w:t>
      </w:r>
      <w:proofErr w:type="spellEnd"/>
      <w:r w:rsidRPr="008D646B">
        <w:rPr>
          <w:rFonts w:ascii="Times New Roman" w:hAnsi="Times New Roman" w:cs="Times New Roman"/>
          <w:sz w:val="24"/>
          <w:szCs w:val="24"/>
        </w:rPr>
        <w:t xml:space="preserve"> (IRSD), relevando en cada ubicación dos supermercados grandes, un almacén independiente, una panadería, una tienda de pescado y papas fritas, dos restaurantes de comida rápida y una licorería. Los costos de las dietas se reportan en dólares australianos corrientes de cada año de recolección; el </w:t>
      </w:r>
      <w:proofErr w:type="spellStart"/>
      <w:r w:rsidRPr="008D646B">
        <w:rPr>
          <w:rFonts w:ascii="Times New Roman" w:hAnsi="Times New Roman" w:cs="Times New Roman"/>
          <w:sz w:val="24"/>
          <w:szCs w:val="24"/>
        </w:rPr>
        <w:t>paper</w:t>
      </w:r>
      <w:proofErr w:type="spellEnd"/>
      <w:r w:rsidRPr="008D646B">
        <w:rPr>
          <w:rFonts w:ascii="Times New Roman" w:hAnsi="Times New Roman" w:cs="Times New Roman"/>
          <w:sz w:val="24"/>
          <w:szCs w:val="24"/>
        </w:rPr>
        <w:t xml:space="preserve"> no aplica una </w:t>
      </w:r>
      <w:proofErr w:type="spellStart"/>
      <w:r w:rsidRPr="008D646B">
        <w:rPr>
          <w:rFonts w:ascii="Times New Roman" w:hAnsi="Times New Roman" w:cs="Times New Roman"/>
          <w:sz w:val="24"/>
          <w:szCs w:val="24"/>
        </w:rPr>
        <w:t>deflactación</w:t>
      </w:r>
      <w:proofErr w:type="spellEnd"/>
      <w:r w:rsidRPr="008D646B">
        <w:rPr>
          <w:rFonts w:ascii="Times New Roman" w:hAnsi="Times New Roman" w:cs="Times New Roman"/>
          <w:sz w:val="24"/>
          <w:szCs w:val="24"/>
        </w:rPr>
        <w:t xml:space="preserve"> o ajuste a valores constantes en el cálculo de los costos de las dietas, es decir, los valores comparados año a año son montos nominales. Sin embargo, a diferencia de estudios anteriores del mismo grupo, aquí sí se incorpora explícitamente el Índice de Precios al Consumidor de alimentos y bebidas no alcohólicas (CPI-</w:t>
      </w:r>
      <w:proofErr w:type="spellStart"/>
      <w:r w:rsidRPr="008D646B">
        <w:rPr>
          <w:rFonts w:ascii="Times New Roman" w:hAnsi="Times New Roman" w:cs="Times New Roman"/>
          <w:sz w:val="24"/>
          <w:szCs w:val="24"/>
        </w:rPr>
        <w:t>food</w:t>
      </w:r>
      <w:proofErr w:type="spellEnd"/>
      <w:r w:rsidRPr="008D646B">
        <w:rPr>
          <w:rFonts w:ascii="Times New Roman" w:hAnsi="Times New Roman" w:cs="Times New Roman"/>
          <w:sz w:val="24"/>
          <w:szCs w:val="24"/>
        </w:rPr>
        <w:t xml:space="preserve">) de Brisbane como referencia de comparación externa a lo largo de la serie 2019-2022, para contrastar el ritmo de aumento de los costos de las dietas frente a la inflación general de alimentos, sin que esto implique una corrección de los costos nominales reportados. Para la asequibilidad, se calcularon los ingresos disponibles del hogar de referencia en tres niveles: ingreso mediano bruto (obtenido del Censo 2016 de la ABS y ajustado por el Índice de Precios Salariales), ingreso disponible con salario mínimo, e ingreso dependiente de asistencia social exclusivamente, siguiendo los supuestos del protocolo y las bases de pago de </w:t>
      </w:r>
      <w:proofErr w:type="spellStart"/>
      <w:r w:rsidRPr="008D646B">
        <w:rPr>
          <w:rFonts w:ascii="Times New Roman" w:hAnsi="Times New Roman" w:cs="Times New Roman"/>
          <w:sz w:val="24"/>
          <w:szCs w:val="24"/>
        </w:rPr>
        <w:t>Services</w:t>
      </w:r>
      <w:proofErr w:type="spellEnd"/>
      <w:r w:rsidRPr="008D646B">
        <w:rPr>
          <w:rFonts w:ascii="Times New Roman" w:hAnsi="Times New Roman" w:cs="Times New Roman"/>
          <w:sz w:val="24"/>
          <w:szCs w:val="24"/>
        </w:rPr>
        <w:t xml:space="preserve"> Australia; para 2020 se incorporaron los pagos de emergencia relacionados con </w:t>
      </w:r>
      <w:r w:rsidRPr="008D646B">
        <w:rPr>
          <w:rFonts w:ascii="Times New Roman" w:hAnsi="Times New Roman" w:cs="Times New Roman"/>
          <w:sz w:val="24"/>
          <w:szCs w:val="24"/>
        </w:rPr>
        <w:lastRenderedPageBreak/>
        <w:t>COVID-19 (</w:t>
      </w:r>
      <w:proofErr w:type="spellStart"/>
      <w:r w:rsidRPr="008D646B">
        <w:rPr>
          <w:rFonts w:ascii="Times New Roman" w:hAnsi="Times New Roman" w:cs="Times New Roman"/>
          <w:sz w:val="24"/>
          <w:szCs w:val="24"/>
        </w:rPr>
        <w:t>Economic</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Support</w:t>
      </w:r>
      <w:proofErr w:type="spellEnd"/>
      <w:r w:rsidRPr="008D646B">
        <w:rPr>
          <w:rFonts w:ascii="Times New Roman" w:hAnsi="Times New Roman" w:cs="Times New Roman"/>
          <w:sz w:val="24"/>
          <w:szCs w:val="24"/>
        </w:rPr>
        <w:t xml:space="preserve"> Payment y Coronavirus </w:t>
      </w:r>
      <w:proofErr w:type="spellStart"/>
      <w:r w:rsidRPr="008D646B">
        <w:rPr>
          <w:rFonts w:ascii="Times New Roman" w:hAnsi="Times New Roman" w:cs="Times New Roman"/>
          <w:sz w:val="24"/>
          <w:szCs w:val="24"/>
        </w:rPr>
        <w:t>Supplement</w:t>
      </w:r>
      <w:proofErr w:type="spellEnd"/>
      <w:r w:rsidRPr="008D646B">
        <w:rPr>
          <w:rFonts w:ascii="Times New Roman" w:hAnsi="Times New Roman" w:cs="Times New Roman"/>
          <w:sz w:val="24"/>
          <w:szCs w:val="24"/>
        </w:rPr>
        <w:t>, ESP y CS) entregados entre mayo y septiembre de ese año. Se considera que una dieta es inasequible si su costo representa el 30% o más del ingreso disponible del hogar, y que el hogar está bajo estrés alimentario si el costo está entre 25% y 30% del ingreso. Las diferencias entre periodos se evaluaron mediante pruebas t pareadas, con significancia estadística fijada en p ≤ 0.05.</w:t>
      </w:r>
    </w:p>
    <w:p w14:paraId="70C11A46" w14:textId="77777777" w:rsidR="001D5AED" w:rsidRPr="008D646B" w:rsidRDefault="001D5AED" w:rsidP="008D646B">
      <w:pPr>
        <w:spacing w:after="40"/>
        <w:jc w:val="both"/>
        <w:rPr>
          <w:rStyle w:val="Fuerte"/>
          <w:rFonts w:ascii="Times New Roman" w:hAnsi="Times New Roman" w:cs="Times New Roman"/>
          <w:sz w:val="24"/>
          <w:szCs w:val="24"/>
        </w:rPr>
      </w:pPr>
      <w:r w:rsidRPr="008D646B">
        <w:rPr>
          <w:rStyle w:val="Fuerte"/>
          <w:rFonts w:ascii="Times New Roman" w:hAnsi="Times New Roman" w:cs="Times New Roman"/>
          <w:sz w:val="24"/>
          <w:szCs w:val="24"/>
        </w:rPr>
        <w:t>Resultados</w:t>
      </w:r>
    </w:p>
    <w:p w14:paraId="1F09400D" w14:textId="67A2AEA5" w:rsidR="00265E4D" w:rsidRPr="008D646B" w:rsidRDefault="001D5AED" w:rsidP="008D646B">
      <w:pPr>
        <w:spacing w:after="40"/>
        <w:jc w:val="both"/>
        <w:rPr>
          <w:rFonts w:ascii="Times New Roman" w:eastAsia="Times New Roman" w:hAnsi="Times New Roman" w:cs="Times New Roman"/>
          <w:b/>
          <w:bCs/>
          <w:sz w:val="24"/>
          <w:szCs w:val="24"/>
        </w:rPr>
      </w:pPr>
      <w:r w:rsidRPr="008D646B">
        <w:rPr>
          <w:rFonts w:ascii="Times New Roman" w:hAnsi="Times New Roman" w:cs="Times New Roman"/>
          <w:sz w:val="24"/>
          <w:szCs w:val="24"/>
        </w:rPr>
        <w:t xml:space="preserve">En 2022, el costo medio de la dieta recomendada en </w:t>
      </w:r>
      <w:proofErr w:type="spellStart"/>
      <w:r w:rsidRPr="008D646B">
        <w:rPr>
          <w:rFonts w:ascii="Times New Roman" w:hAnsi="Times New Roman" w:cs="Times New Roman"/>
          <w:sz w:val="24"/>
          <w:szCs w:val="24"/>
        </w:rPr>
        <w:t>Greater</w:t>
      </w:r>
      <w:proofErr w:type="spellEnd"/>
      <w:r w:rsidRPr="008D646B">
        <w:rPr>
          <w:rFonts w:ascii="Times New Roman" w:hAnsi="Times New Roman" w:cs="Times New Roman"/>
          <w:sz w:val="24"/>
          <w:szCs w:val="24"/>
        </w:rPr>
        <w:t xml:space="preserve"> Brisbane fue de AUD 729.71 por quincena, siendo la dieta habitual 18.4% más cara (AUD 863.93); optar por la dieta recomendada en lugar de la habitual habría representado un ahorro de AUD 134.22 por quincena. Entre 2019 y 2022, el costo de la dieta recomendada aumentó 17.9% (de AUD 619.04 a AUD 729.71, p &lt; 0.001), con cerca de tres cuartas partes de ese incremento concentradas en el último año del estudio, periodo en que el costo de los alimentos saludables subió 12.8% (p &lt; 0.001). El costo de la dieta habitual aumentó 11.9% en el mismo periodo de cuatro años (de AUD 772.20 a AUD 863.83, p &lt; 0.001), con un incremento de 7.8% entre 2021 y 2022, explicado principalmente porque el costo de los alimentos discrecionales dentro de la dieta habitual solo subió 7.0% en ese último año. El CPI-</w:t>
      </w:r>
      <w:proofErr w:type="spellStart"/>
      <w:r w:rsidRPr="008D646B">
        <w:rPr>
          <w:rFonts w:ascii="Times New Roman" w:hAnsi="Times New Roman" w:cs="Times New Roman"/>
          <w:sz w:val="24"/>
          <w:szCs w:val="24"/>
        </w:rPr>
        <w:t>food</w:t>
      </w:r>
      <w:proofErr w:type="spellEnd"/>
      <w:r w:rsidRPr="008D646B">
        <w:rPr>
          <w:rFonts w:ascii="Times New Roman" w:hAnsi="Times New Roman" w:cs="Times New Roman"/>
          <w:sz w:val="24"/>
          <w:szCs w:val="24"/>
        </w:rPr>
        <w:t xml:space="preserve"> de Brisbane para el periodo septiembre 2021 a septiembre 2022 fue de 8.6%, de modo que el aumento del costo de la dieta recomendada (12.8%) fue 49% mayor que ese CPI-</w:t>
      </w:r>
      <w:proofErr w:type="spellStart"/>
      <w:r w:rsidRPr="008D646B">
        <w:rPr>
          <w:rFonts w:ascii="Times New Roman" w:hAnsi="Times New Roman" w:cs="Times New Roman"/>
          <w:sz w:val="24"/>
          <w:szCs w:val="24"/>
        </w:rPr>
        <w:t>food</w:t>
      </w:r>
      <w:proofErr w:type="spellEnd"/>
      <w:r w:rsidRPr="008D646B">
        <w:rPr>
          <w:rFonts w:ascii="Times New Roman" w:hAnsi="Times New Roman" w:cs="Times New Roman"/>
          <w:sz w:val="24"/>
          <w:szCs w:val="24"/>
        </w:rPr>
        <w:t>, y 64% mayor que el aumento del costo de la dieta habitual (7.8%) en el mismo periodo; en los dos años previos a septiembre de 2021, el CPI-</w:t>
      </w:r>
      <w:proofErr w:type="spellStart"/>
      <w:r w:rsidRPr="008D646B">
        <w:rPr>
          <w:rFonts w:ascii="Times New Roman" w:hAnsi="Times New Roman" w:cs="Times New Roman"/>
          <w:sz w:val="24"/>
          <w:szCs w:val="24"/>
        </w:rPr>
        <w:t>food</w:t>
      </w:r>
      <w:proofErr w:type="spellEnd"/>
      <w:r w:rsidRPr="008D646B">
        <w:rPr>
          <w:rFonts w:ascii="Times New Roman" w:hAnsi="Times New Roman" w:cs="Times New Roman"/>
          <w:sz w:val="24"/>
          <w:szCs w:val="24"/>
        </w:rPr>
        <w:t xml:space="preserve"> había aumentado 3.8%, y los incrementos de costo de ambas dietas se mantuvieron más cercanos a ese valor. El diferencial de costo entre la dieta habitual y la recomendada fue de 24.7% en 2019, se mantuvo similar en 2020 (23.9%, p = 0.90) y 2021 (23.8%, p = 0.98), pero cayó significativamente a 18.4% entre 2021 y 2022 (p &lt; 0.001), es decir, la dieta recomendada se volvió relativamente más cara respecto a la habitual de lo que había sido en 2019 (p = 0.006). Dentro de la dieta recomendada, los grupos de alimentos con mayores incrementos de costo de 2019 a 2022 y de 2021 a 2022, respectivamente, fueron verduras y legumbres (20.5% y 34.9%, ambos p &lt; 0.001), cereales de grano (15.6% y 11.4%, ambos p &lt; 0.001), fruta (23.4% y 8.2%) y grasas y aceites saludables (27.3% y 17.5%, ambos p &lt; 0.001); el grupo de leche, yogur y queso subió 14.7% en total desde 2019, con un patrón no lineal (alza en 2019-2020, ligera caída en 2020-2021, alza marcada en 2021-2022); y el grupo de carnes magras, aves, pescado, huevos y alternativas subió de forma más constante, con un incremento acumulado de 16.9%. En contraste, el costo total de los alimentos discrecionales de la dieta habitual aumentó solo 9.0% entre 2019 y 2022, con variación interna marcada: las bebidas alcohólicas cayeron 1.8% en el periodo completo, las bebidas azucaradas subieron 12.3% solo entre 2021 y 2022, las bebidas con edulcorantes artificiales subieron 21.5% en todo el periodo, y la comida para llevar (</w:t>
      </w:r>
      <w:proofErr w:type="spellStart"/>
      <w:r w:rsidRPr="008D646B">
        <w:rPr>
          <w:rFonts w:ascii="Times New Roman" w:hAnsi="Times New Roman" w:cs="Times New Roman"/>
          <w:sz w:val="24"/>
          <w:szCs w:val="24"/>
        </w:rPr>
        <w:t>take</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away</w:t>
      </w:r>
      <w:proofErr w:type="spellEnd"/>
      <w:r w:rsidRPr="008D646B">
        <w:rPr>
          <w:rFonts w:ascii="Times New Roman" w:hAnsi="Times New Roman" w:cs="Times New Roman"/>
          <w:sz w:val="24"/>
          <w:szCs w:val="24"/>
        </w:rPr>
        <w:t xml:space="preserve">) tuvo el mayor incremento entre los ítems discrecionales, con 14.7% acumulado. En cuanto a ingresos y asequibilidad, el ingreso mediano bruto quincenal en 2019 (AUD 3188.00) fue 35% mayor que el de hogares con salario mínimo (AUD 2358.00) y 83% mayor que el de hogares dependientes de asistencia social (AUD 1739.68); por efecto del ESP y CS, ambos ingresos de hogares vulnerables subieron marcadamente entre mayo y septiembre de 2020 (41.5% y 77.3%, respectivamente), y tras el retiro de esos pagos a inicios de 2021 volvieron a niveles </w:t>
      </w:r>
      <w:r w:rsidRPr="008D646B">
        <w:rPr>
          <w:rFonts w:ascii="Times New Roman" w:hAnsi="Times New Roman" w:cs="Times New Roman"/>
          <w:sz w:val="24"/>
          <w:szCs w:val="24"/>
        </w:rPr>
        <w:lastRenderedPageBreak/>
        <w:t>solo 17% y 11% más altos que en 2019. En 2019, la dieta recomendada costaba 20.8% del ingreso mediano (asequible), 26.0% del ingreso de salario mínimo (estrés alimentario) y 35.6% del ingreso de asistencia social (inasequible). En 2020, gracias al ESP y CS, la dieta recomendada costó 20.3% del ingreso de asistencia social (asequible por primera vez) y 19.3% del ingreso de salario mínimo (fuera de estrés alimentario). En 2021, tras el retiro de los pagos, los hogares de asistencia social volvieron a no poder costear la dieta recomendada (34.6% del ingreso), y los de salario mínimo evitaron por poco el estrés alimentario (24.1%). En 2022, el ingreso mediano seguía permitiendo costear la dieta recomendada aunque acercándose al umbral de estrés (23.2%), los hogares de salario mínimo volvieron a estar en estrés alimentario (26.4%) y los hogares de asistencia social volvieron a no poder costear la dieta recomendada (37.7%). Desde 2019, el acceso económico a la dieta recomendada se había reducido 11.5% para hogares de ingreso mediano, 1.5% para los de salario mínimo y 5.0% para los de asistencia social.</w:t>
      </w:r>
    </w:p>
    <w:p w14:paraId="5CFA1D34" w14:textId="77777777" w:rsidR="00C2068A" w:rsidRPr="008D646B" w:rsidRDefault="00A972BD" w:rsidP="008D646B">
      <w:pPr>
        <w:pStyle w:val="Prrafodelista"/>
        <w:numPr>
          <w:ilvl w:val="0"/>
          <w:numId w:val="3"/>
        </w:numPr>
        <w:spacing w:after="40"/>
        <w:jc w:val="both"/>
        <w:rPr>
          <w:rFonts w:ascii="Times New Roman" w:eastAsia="Times New Roman" w:hAnsi="Times New Roman" w:cs="Times New Roman"/>
          <w:b/>
          <w:bCs/>
          <w:sz w:val="24"/>
          <w:szCs w:val="24"/>
        </w:rPr>
      </w:pPr>
      <w:r w:rsidRPr="008D646B">
        <w:rPr>
          <w:rFonts w:ascii="Times New Roman" w:eastAsia="Times New Roman" w:hAnsi="Times New Roman" w:cs="Times New Roman"/>
          <w:b/>
          <w:bCs/>
          <w:sz w:val="24"/>
          <w:szCs w:val="24"/>
        </w:rPr>
        <w:t>Rana et al. (2023)</w:t>
      </w:r>
    </w:p>
    <w:p w14:paraId="6106779B" w14:textId="77777777" w:rsidR="00C2068A" w:rsidRPr="008D646B" w:rsidRDefault="00C2068A" w:rsidP="008D646B">
      <w:pPr>
        <w:spacing w:after="40"/>
        <w:jc w:val="both"/>
        <w:rPr>
          <w:rStyle w:val="Fuerte"/>
          <w:rFonts w:ascii="Times New Roman" w:hAnsi="Times New Roman" w:cs="Times New Roman"/>
          <w:sz w:val="24"/>
          <w:szCs w:val="24"/>
        </w:rPr>
      </w:pPr>
      <w:r w:rsidRPr="008D646B">
        <w:rPr>
          <w:rStyle w:val="Fuerte"/>
          <w:rFonts w:ascii="Times New Roman" w:hAnsi="Times New Roman" w:cs="Times New Roman"/>
          <w:sz w:val="24"/>
          <w:szCs w:val="24"/>
        </w:rPr>
        <w:t>Objetivo</w:t>
      </w:r>
    </w:p>
    <w:p w14:paraId="684694EF" w14:textId="77777777" w:rsidR="00C2068A" w:rsidRPr="008D646B" w:rsidRDefault="00C2068A" w:rsidP="008D646B">
      <w:pPr>
        <w:spacing w:after="40"/>
        <w:jc w:val="both"/>
        <w:rPr>
          <w:rFonts w:ascii="Times New Roman" w:hAnsi="Times New Roman" w:cs="Times New Roman"/>
          <w:sz w:val="24"/>
          <w:szCs w:val="24"/>
        </w:rPr>
      </w:pPr>
      <w:r w:rsidRPr="008D646B">
        <w:rPr>
          <w:rFonts w:ascii="Times New Roman" w:hAnsi="Times New Roman" w:cs="Times New Roman"/>
          <w:sz w:val="24"/>
          <w:szCs w:val="24"/>
        </w:rPr>
        <w:t xml:space="preserve">Estimar el costo mínimo de una dieta nutritiva a partir de alimentos disponibles localmente y culturalmente aceptables en Malawi es el objetivo central de Rana, </w:t>
      </w:r>
      <w:proofErr w:type="spellStart"/>
      <w:r w:rsidRPr="008D646B">
        <w:rPr>
          <w:rFonts w:ascii="Times New Roman" w:hAnsi="Times New Roman" w:cs="Times New Roman"/>
          <w:sz w:val="24"/>
          <w:szCs w:val="24"/>
        </w:rPr>
        <w:t>Roschnik</w:t>
      </w:r>
      <w:proofErr w:type="spellEnd"/>
      <w:r w:rsidRPr="008D646B">
        <w:rPr>
          <w:rFonts w:ascii="Times New Roman" w:hAnsi="Times New Roman" w:cs="Times New Roman"/>
          <w:sz w:val="24"/>
          <w:szCs w:val="24"/>
        </w:rPr>
        <w:t xml:space="preserve">, Taiwo, </w:t>
      </w:r>
      <w:proofErr w:type="spellStart"/>
      <w:r w:rsidRPr="008D646B">
        <w:rPr>
          <w:rFonts w:ascii="Times New Roman" w:hAnsi="Times New Roman" w:cs="Times New Roman"/>
          <w:sz w:val="24"/>
          <w:szCs w:val="24"/>
        </w:rPr>
        <w:t>Kulemba</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Dambuleni</w:t>
      </w:r>
      <w:proofErr w:type="spellEnd"/>
      <w:r w:rsidRPr="008D646B">
        <w:rPr>
          <w:rFonts w:ascii="Times New Roman" w:hAnsi="Times New Roman" w:cs="Times New Roman"/>
          <w:sz w:val="24"/>
          <w:szCs w:val="24"/>
        </w:rPr>
        <w:t xml:space="preserve"> y Phiri (2023), buscando además explorar cómo las restricciones económicas afectan a los hogares malawianos, particularmente a los pobres y ultra pobres, en el acceso a dicha dieta, respondiendo específicamente a tres preguntas: cuál es el costo mínimo de una dieta nutricionalmente adecuada y culturalmente aceptable para hogares típicos, cómo cambió ese costo en los 12 meses entre abril de 2021 y marzo de 2022, y cuál es el nivel de asequibilidad de esa dieta según distintos grupos de riqueza en el país.</w:t>
      </w:r>
    </w:p>
    <w:p w14:paraId="46B285C4" w14:textId="77777777" w:rsidR="00C2068A" w:rsidRPr="008D646B" w:rsidRDefault="00C2068A" w:rsidP="008D646B">
      <w:pPr>
        <w:spacing w:after="40"/>
        <w:jc w:val="both"/>
        <w:rPr>
          <w:rStyle w:val="Fuerte"/>
          <w:rFonts w:ascii="Times New Roman" w:hAnsi="Times New Roman" w:cs="Times New Roman"/>
          <w:sz w:val="24"/>
          <w:szCs w:val="24"/>
        </w:rPr>
      </w:pPr>
      <w:r w:rsidRPr="008D646B">
        <w:rPr>
          <w:rStyle w:val="Fuerte"/>
          <w:rFonts w:ascii="Times New Roman" w:hAnsi="Times New Roman" w:cs="Times New Roman"/>
          <w:sz w:val="24"/>
          <w:szCs w:val="24"/>
        </w:rPr>
        <w:t>Metodología</w:t>
      </w:r>
    </w:p>
    <w:p w14:paraId="527EDC9A" w14:textId="77777777" w:rsidR="00C2068A" w:rsidRPr="008D646B" w:rsidRDefault="00C2068A" w:rsidP="008D646B">
      <w:pPr>
        <w:spacing w:after="40"/>
        <w:jc w:val="both"/>
        <w:rPr>
          <w:rFonts w:ascii="Times New Roman" w:hAnsi="Times New Roman" w:cs="Times New Roman"/>
          <w:sz w:val="24"/>
          <w:szCs w:val="24"/>
        </w:rPr>
      </w:pPr>
      <w:r w:rsidRPr="008D646B">
        <w:rPr>
          <w:rFonts w:ascii="Times New Roman" w:hAnsi="Times New Roman" w:cs="Times New Roman"/>
          <w:sz w:val="24"/>
          <w:szCs w:val="24"/>
        </w:rPr>
        <w:t xml:space="preserve">El estudio emplea el método y software Cost </w:t>
      </w:r>
      <w:proofErr w:type="spellStart"/>
      <w:r w:rsidRPr="008D646B">
        <w:rPr>
          <w:rFonts w:ascii="Times New Roman" w:hAnsi="Times New Roman" w:cs="Times New Roman"/>
          <w:sz w:val="24"/>
          <w:szCs w:val="24"/>
        </w:rPr>
        <w:t>of</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the</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Diet</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CotD</w:t>
      </w:r>
      <w:proofErr w:type="spellEnd"/>
      <w:r w:rsidRPr="008D646B">
        <w:rPr>
          <w:rFonts w:ascii="Times New Roman" w:hAnsi="Times New Roman" w:cs="Times New Roman"/>
          <w:sz w:val="24"/>
          <w:szCs w:val="24"/>
        </w:rPr>
        <w:t xml:space="preserve">), desarrollado por Save </w:t>
      </w:r>
      <w:proofErr w:type="spellStart"/>
      <w:r w:rsidRPr="008D646B">
        <w:rPr>
          <w:rFonts w:ascii="Times New Roman" w:hAnsi="Times New Roman" w:cs="Times New Roman"/>
          <w:sz w:val="24"/>
          <w:szCs w:val="24"/>
        </w:rPr>
        <w:t>the</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Children</w:t>
      </w:r>
      <w:proofErr w:type="spellEnd"/>
      <w:r w:rsidRPr="008D646B">
        <w:rPr>
          <w:rFonts w:ascii="Times New Roman" w:hAnsi="Times New Roman" w:cs="Times New Roman"/>
          <w:sz w:val="24"/>
          <w:szCs w:val="24"/>
        </w:rPr>
        <w:t xml:space="preserve">, que utiliza programación lineal (linear </w:t>
      </w:r>
      <w:proofErr w:type="spellStart"/>
      <w:r w:rsidRPr="008D646B">
        <w:rPr>
          <w:rFonts w:ascii="Times New Roman" w:hAnsi="Times New Roman" w:cs="Times New Roman"/>
          <w:sz w:val="24"/>
          <w:szCs w:val="24"/>
        </w:rPr>
        <w:t>programming</w:t>
      </w:r>
      <w:proofErr w:type="spellEnd"/>
      <w:r w:rsidRPr="008D646B">
        <w:rPr>
          <w:rFonts w:ascii="Times New Roman" w:hAnsi="Times New Roman" w:cs="Times New Roman"/>
          <w:sz w:val="24"/>
          <w:szCs w:val="24"/>
        </w:rPr>
        <w:t>) a partir de tres bases de datos cuantitativas (tablas de composición de alimentos, especificaciones nutricionales individuales y datos de precios de alimentos), combinadas con información cualitativa sobre preferencias dietéticas locales, para calcular la cantidad mínima de dinero que un hogar típico necesitaría para adquirir su ingesta recomendada de energía, proteína, grasa y micronutrientes usando alimentos disponibles localmente. El software aplica rutinas de optimización lineal para seleccionar los alimentos localmente disponibles que cubren esos requerimientos nutricionales al menor costo posible. El estudio construye y compara dos dietas: la dieta EO (Energy-</w:t>
      </w:r>
      <w:proofErr w:type="spellStart"/>
      <w:r w:rsidRPr="008D646B">
        <w:rPr>
          <w:rFonts w:ascii="Times New Roman" w:hAnsi="Times New Roman" w:cs="Times New Roman"/>
          <w:sz w:val="24"/>
          <w:szCs w:val="24"/>
        </w:rPr>
        <w:t>Only</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Diet</w:t>
      </w:r>
      <w:proofErr w:type="spellEnd"/>
      <w:r w:rsidRPr="008D646B">
        <w:rPr>
          <w:rFonts w:ascii="Times New Roman" w:hAnsi="Times New Roman" w:cs="Times New Roman"/>
          <w:sz w:val="24"/>
          <w:szCs w:val="24"/>
        </w:rPr>
        <w:t>), que incluye únicamente los alimentos necesarios para cubrir el requerimiento energético promedio del hogar al menor costo, sin considerar otros nutrientes; y la dieta FHAB (</w:t>
      </w:r>
      <w:proofErr w:type="spellStart"/>
      <w:r w:rsidRPr="008D646B">
        <w:rPr>
          <w:rFonts w:ascii="Times New Roman" w:hAnsi="Times New Roman" w:cs="Times New Roman"/>
          <w:sz w:val="24"/>
          <w:szCs w:val="24"/>
        </w:rPr>
        <w:t>Food</w:t>
      </w:r>
      <w:proofErr w:type="spellEnd"/>
      <w:r w:rsidRPr="008D646B">
        <w:rPr>
          <w:rFonts w:ascii="Times New Roman" w:hAnsi="Times New Roman" w:cs="Times New Roman"/>
          <w:sz w:val="24"/>
          <w:szCs w:val="24"/>
        </w:rPr>
        <w:t xml:space="preserve"> Habit </w:t>
      </w:r>
      <w:proofErr w:type="spellStart"/>
      <w:r w:rsidRPr="008D646B">
        <w:rPr>
          <w:rFonts w:ascii="Times New Roman" w:hAnsi="Times New Roman" w:cs="Times New Roman"/>
          <w:sz w:val="24"/>
          <w:szCs w:val="24"/>
        </w:rPr>
        <w:t>Nutritious</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Diet</w:t>
      </w:r>
      <w:proofErr w:type="spellEnd"/>
      <w:r w:rsidRPr="008D646B">
        <w:rPr>
          <w:rFonts w:ascii="Times New Roman" w:hAnsi="Times New Roman" w:cs="Times New Roman"/>
          <w:sz w:val="24"/>
          <w:szCs w:val="24"/>
        </w:rPr>
        <w:t>), que cubre a costo mínimo los requerimientos de energía, proteína, grasa, nueve vitaminas (A, C, B1, B2, B3, B5, B6, ácido fólico y B12) y cuatro minerales (calcio, hierro, magnesio y zinc) para todos los miembros del hogar, incorporando además restricciones de "precios y porciones" y de patrón alimentario habitual (alimento base, alimentos de consumo común y tabúes alimentarios) para que la selección sea culturalmente representativa. El hogar de referencia utilizado es el estándar HEA/</w:t>
      </w:r>
      <w:proofErr w:type="spellStart"/>
      <w:r w:rsidRPr="008D646B">
        <w:rPr>
          <w:rFonts w:ascii="Times New Roman" w:hAnsi="Times New Roman" w:cs="Times New Roman"/>
          <w:sz w:val="24"/>
          <w:szCs w:val="24"/>
        </w:rPr>
        <w:t>CotD</w:t>
      </w:r>
      <w:proofErr w:type="spellEnd"/>
      <w:r w:rsidRPr="008D646B">
        <w:rPr>
          <w:rFonts w:ascii="Times New Roman" w:hAnsi="Times New Roman" w:cs="Times New Roman"/>
          <w:sz w:val="24"/>
          <w:szCs w:val="24"/>
        </w:rPr>
        <w:t xml:space="preserve"> de cinco miembros (un hombre, una mujer y tres niños, incluyendo un menor de 23 meses), </w:t>
      </w:r>
      <w:r w:rsidRPr="008D646B">
        <w:rPr>
          <w:rFonts w:ascii="Times New Roman" w:hAnsi="Times New Roman" w:cs="Times New Roman"/>
          <w:sz w:val="24"/>
          <w:szCs w:val="24"/>
        </w:rPr>
        <w:lastRenderedPageBreak/>
        <w:t xml:space="preserve">con un requerimiento energético total de 10,515 kcal/día. Para la dieta EO, el software consideró la leche materna como fuente exclusiva de energía para los niños menores de dos años, e identificó maíz y sorgo como los alimentos que cubrían el requerimiento energético del resto de los miembros; para la dieta FHAB, se utilizaron 19 de los 28 alimentos disponibles en la base de precios, incluyendo también leche materna para los menores de dos años. Los datos de precios de alimentos provienen de la </w:t>
      </w:r>
      <w:proofErr w:type="spellStart"/>
      <w:r w:rsidRPr="008D646B">
        <w:rPr>
          <w:rFonts w:ascii="Times New Roman" w:hAnsi="Times New Roman" w:cs="Times New Roman"/>
          <w:sz w:val="24"/>
          <w:szCs w:val="24"/>
        </w:rPr>
        <w:t>Minimum</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Expenditure</w:t>
      </w:r>
      <w:proofErr w:type="spellEnd"/>
      <w:r w:rsidRPr="008D646B">
        <w:rPr>
          <w:rFonts w:ascii="Times New Roman" w:hAnsi="Times New Roman" w:cs="Times New Roman"/>
          <w:sz w:val="24"/>
          <w:szCs w:val="24"/>
        </w:rPr>
        <w:t xml:space="preserve"> Basket (MEB) del Programa Mundial de Alimentos (WFP), que releva mensualmente 28 alimentos en 77 mercados de 25 distritos de Malawi, cubriendo el periodo de abril de 2021 a marzo de 2022; los requerimientos nutricionales (WHO/FAO) y las tablas de composición de alimentos ya están incorporados en el software </w:t>
      </w:r>
      <w:proofErr w:type="spellStart"/>
      <w:r w:rsidRPr="008D646B">
        <w:rPr>
          <w:rFonts w:ascii="Times New Roman" w:hAnsi="Times New Roman" w:cs="Times New Roman"/>
          <w:sz w:val="24"/>
          <w:szCs w:val="24"/>
        </w:rPr>
        <w:t>CotD</w:t>
      </w:r>
      <w:proofErr w:type="spellEnd"/>
      <w:r w:rsidRPr="008D646B">
        <w:rPr>
          <w:rFonts w:ascii="Times New Roman" w:hAnsi="Times New Roman" w:cs="Times New Roman"/>
          <w:sz w:val="24"/>
          <w:szCs w:val="24"/>
        </w:rPr>
        <w:t xml:space="preserve">. Los costos se calculan y reportan como valores mensuales y anuales en kwacha malawiano (MWK) corrientes de cada mes del periodo de estudio, sin que el </w:t>
      </w:r>
      <w:proofErr w:type="spellStart"/>
      <w:r w:rsidRPr="008D646B">
        <w:rPr>
          <w:rFonts w:ascii="Times New Roman" w:hAnsi="Times New Roman" w:cs="Times New Roman"/>
          <w:sz w:val="24"/>
          <w:szCs w:val="24"/>
        </w:rPr>
        <w:t>paper</w:t>
      </w:r>
      <w:proofErr w:type="spellEnd"/>
      <w:r w:rsidRPr="008D646B">
        <w:rPr>
          <w:rFonts w:ascii="Times New Roman" w:hAnsi="Times New Roman" w:cs="Times New Roman"/>
          <w:sz w:val="24"/>
          <w:szCs w:val="24"/>
        </w:rPr>
        <w:t xml:space="preserve"> indique un ajuste o </w:t>
      </w:r>
      <w:proofErr w:type="spellStart"/>
      <w:r w:rsidRPr="008D646B">
        <w:rPr>
          <w:rFonts w:ascii="Times New Roman" w:hAnsi="Times New Roman" w:cs="Times New Roman"/>
          <w:sz w:val="24"/>
          <w:szCs w:val="24"/>
        </w:rPr>
        <w:t>deflactación</w:t>
      </w:r>
      <w:proofErr w:type="spellEnd"/>
      <w:r w:rsidRPr="008D646B">
        <w:rPr>
          <w:rFonts w:ascii="Times New Roman" w:hAnsi="Times New Roman" w:cs="Times New Roman"/>
          <w:sz w:val="24"/>
          <w:szCs w:val="24"/>
        </w:rPr>
        <w:t xml:space="preserve"> de esos valores a precios constantes de un año base; es decir, los costos comparados mes a mes son nominales. Para la conversión puntual a dólares estadounidenses, se utilizó una única tasa de cambio fija (821.642 MWK por USD, vigente el 11 de mayo de 2022), aplicada de manera uniforme a todos los valores en dólares reportados, sin ajuste por inflación ni por variación cambiaria a lo largo del periodo. Para el análisis de asequibilidad, se usó como proxy del ingreso el consumo anual per cápita promedio de distintos tipos de hogar reportado en el Malawi </w:t>
      </w:r>
      <w:proofErr w:type="spellStart"/>
      <w:r w:rsidRPr="008D646B">
        <w:rPr>
          <w:rFonts w:ascii="Times New Roman" w:hAnsi="Times New Roman" w:cs="Times New Roman"/>
          <w:sz w:val="24"/>
          <w:szCs w:val="24"/>
        </w:rPr>
        <w:t>Poverty</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Report</w:t>
      </w:r>
      <w:proofErr w:type="spellEnd"/>
      <w:r w:rsidRPr="008D646B">
        <w:rPr>
          <w:rFonts w:ascii="Times New Roman" w:hAnsi="Times New Roman" w:cs="Times New Roman"/>
          <w:sz w:val="24"/>
          <w:szCs w:val="24"/>
        </w:rPr>
        <w:t xml:space="preserve"> (basado en la Encuesta Integrada de Hogares 2019-2020), calculando el ingreso anual de un hogar de cinco miembros para cinco categorías: hogares ultra pobres (consumo total bajo MWK 101,293 por persona al año), hogares pobres (bajo MWK 165,879 por persona al año), hogares rurales promedio, hogares urbanos promedio y el hogar malawiano promedio; el gasto no alimentario se estimó aplicando la proporción del 38.9% que dicho informe de pobreza atribuye a costos no alimentarios dentro de la línea de pobreza nacional. La brecha de asequibilidad se calculó restando al ingreso del hogar tanto el costo de la dieta FHAB como el gasto no alimentario estimado.</w:t>
      </w:r>
    </w:p>
    <w:p w14:paraId="2E2865B8" w14:textId="77777777" w:rsidR="00C2068A" w:rsidRPr="008D646B" w:rsidRDefault="00C2068A" w:rsidP="008D646B">
      <w:pPr>
        <w:spacing w:after="40"/>
        <w:jc w:val="both"/>
        <w:rPr>
          <w:rStyle w:val="Fuerte"/>
          <w:rFonts w:ascii="Times New Roman" w:hAnsi="Times New Roman" w:cs="Times New Roman"/>
          <w:sz w:val="24"/>
          <w:szCs w:val="24"/>
        </w:rPr>
      </w:pPr>
      <w:r w:rsidRPr="008D646B">
        <w:rPr>
          <w:rStyle w:val="Fuerte"/>
          <w:rFonts w:ascii="Times New Roman" w:hAnsi="Times New Roman" w:cs="Times New Roman"/>
          <w:sz w:val="24"/>
          <w:szCs w:val="24"/>
        </w:rPr>
        <w:t>Resultados</w:t>
      </w:r>
    </w:p>
    <w:p w14:paraId="7FAF9BAE" w14:textId="72298C66" w:rsidR="00265E4D" w:rsidRPr="008D646B" w:rsidRDefault="00C2068A" w:rsidP="008D646B">
      <w:pPr>
        <w:spacing w:after="40"/>
        <w:jc w:val="both"/>
        <w:rPr>
          <w:rFonts w:ascii="Times New Roman" w:eastAsia="Times New Roman" w:hAnsi="Times New Roman" w:cs="Times New Roman"/>
          <w:b/>
          <w:bCs/>
          <w:sz w:val="24"/>
          <w:szCs w:val="24"/>
        </w:rPr>
      </w:pPr>
      <w:r w:rsidRPr="008D646B">
        <w:rPr>
          <w:rFonts w:ascii="Times New Roman" w:hAnsi="Times New Roman" w:cs="Times New Roman"/>
          <w:sz w:val="24"/>
          <w:szCs w:val="24"/>
        </w:rPr>
        <w:t xml:space="preserve">El costo más bajo de la dieta EO para un hogar estándar de cinco personas en Malawi varió entre MWK 426 (~USD 0.5) por día en mayo-julio de 2021 y MWK 639 (~USD 0.8) por día en enero-marzo de 2022, lo que representa un aumento del 30% respecto al inicio del periodo (abril de 2021); el costo anual total de esta dieta para el hogar fue de MWK 187,738 (~USD 228). Dentro del hogar, el costo anual de la dieta EO para un niño de 12 a 23 meses fue de MWK 8,726, y para una madre lactante de MWK 56,441, MWK 7,677 más que para el hombre adulto del hogar. La dieta FHAB, calculada usando 19 alimentos (incluyendo maíz, mandioca, arroz, sorgo, batata, hojas de amaranto, hojas de caupí, hojas de mostaza, hojas de calabaza, repollo chino, pescado Bonya, cebolla, tomate, huevo de gallina y aceite vegetal, además de leche materna), tuvo un costo diario de entre MWK 2,377 (~USD 2.9) y MWK 3,323 (~USD 4.0) para el hogar de cinco miembros, con un incremento del 25% entre abril de 2021 y el final del periodo; el costo anual total fue de MWK 1,015,893 (~USD 1,236), es decir, 5.4 veces más que el costo de la dieta EO. Dentro del hogar, el costo anual de la dieta FHAB para un niño de 12 a 23 meses fue de MWK 55,041 y para una madre lactante de MWK 295,619, siendo el costo del hombre adulto menor que el de la mujer lactante y que el </w:t>
      </w:r>
      <w:r w:rsidRPr="008D646B">
        <w:rPr>
          <w:rFonts w:ascii="Times New Roman" w:hAnsi="Times New Roman" w:cs="Times New Roman"/>
          <w:sz w:val="24"/>
          <w:szCs w:val="24"/>
        </w:rPr>
        <w:lastRenderedPageBreak/>
        <w:t xml:space="preserve">de los niños en edad adolescente (11 a 12 años). En cuanto a ingresos, el ingreso anual promedio de un hogar de cinco miembros en Malawi fue de MWK 1,091,110 (~USD 1,328), con los hogares urbanos promedio mostrando ingresos significativamente más altos que los rurales, y los hogares pobres y ultra pobres reportando ingresos anuales de MWK 829,395 y MWK 506,465, respectivamente. En términos de asequibilidad, solo los hogares urbanos promedio tuvieron ingreso suficiente para costear la dieta nutritiva, con un superávit del 9.7%; los hogares ultra pobres, pobres, rurales y el hogar malawiano promedio presentaron brechas de asequibilidad de 139.5%, 61.4%, 48.5% y 32%, respectivamente, expresadas como porcentaje del ingreso del hogar. En términos monetarios, los hogares ultra pobres, pobres y rurales solo alcanzaron a cubrir sus requerimientos energéticos (dieta EO) más el gasto no alimentario con su nivel de ingreso actual, presentando déficits anuales de MWK 706,623, MWK 509,428 y MWK 449,771, respectivamente, para costear la dieta FHAB; el hogar malawiano promedio, con un ingreso ligeramente mayor, podía potencialmente cubrir los requerimientos </w:t>
      </w:r>
      <w:proofErr w:type="spellStart"/>
      <w:r w:rsidRPr="008D646B">
        <w:rPr>
          <w:rFonts w:ascii="Times New Roman" w:hAnsi="Times New Roman" w:cs="Times New Roman"/>
          <w:sz w:val="24"/>
          <w:szCs w:val="24"/>
        </w:rPr>
        <w:t>macronutricionales</w:t>
      </w:r>
      <w:proofErr w:type="spellEnd"/>
      <w:r w:rsidRPr="008D646B">
        <w:rPr>
          <w:rFonts w:ascii="Times New Roman" w:hAnsi="Times New Roman" w:cs="Times New Roman"/>
          <w:sz w:val="24"/>
          <w:szCs w:val="24"/>
        </w:rPr>
        <w:t xml:space="preserve"> y energéticos del hogar, pero aun así presentó un déficit anual de MWK 349,613 (~USD 426) al considerar también el gasto no alimentario. Cerrar la brecha de asequibilidad completa (dieta FHAB más gasto no alimentario) requeriría un ingreso mensual adicional de MWK 29,134 (~USD 35.5) para el hogar malawiano promedio, MWK 37,481 (~USD 45.6) para un hogar rural típico, MWK 42,452 (~USD 51.7) para un hogar pobre y MWK 58,885 (~USD 71.7) para un hogar ultra pobre.</w:t>
      </w:r>
    </w:p>
    <w:p w14:paraId="2328CC6E" w14:textId="77777777" w:rsidR="0083749A" w:rsidRPr="008D646B" w:rsidRDefault="00A972BD" w:rsidP="008D646B">
      <w:pPr>
        <w:pStyle w:val="Prrafodelista"/>
        <w:numPr>
          <w:ilvl w:val="0"/>
          <w:numId w:val="3"/>
        </w:numPr>
        <w:spacing w:after="40"/>
        <w:jc w:val="both"/>
        <w:rPr>
          <w:rFonts w:ascii="Times New Roman" w:eastAsia="Times New Roman" w:hAnsi="Times New Roman" w:cs="Times New Roman"/>
          <w:b/>
          <w:bCs/>
          <w:sz w:val="24"/>
          <w:szCs w:val="24"/>
        </w:rPr>
      </w:pPr>
      <w:proofErr w:type="spellStart"/>
      <w:r w:rsidRPr="008D646B">
        <w:rPr>
          <w:rFonts w:ascii="Times New Roman" w:eastAsia="Times New Roman" w:hAnsi="Times New Roman" w:cs="Times New Roman"/>
          <w:b/>
          <w:bCs/>
          <w:sz w:val="24"/>
          <w:szCs w:val="24"/>
        </w:rPr>
        <w:t>Mwambi</w:t>
      </w:r>
      <w:proofErr w:type="spellEnd"/>
      <w:r w:rsidRPr="008D646B">
        <w:rPr>
          <w:rFonts w:ascii="Times New Roman" w:eastAsia="Times New Roman" w:hAnsi="Times New Roman" w:cs="Times New Roman"/>
          <w:b/>
          <w:bCs/>
          <w:sz w:val="24"/>
          <w:szCs w:val="24"/>
        </w:rPr>
        <w:t xml:space="preserve"> et al. (2023) </w:t>
      </w:r>
    </w:p>
    <w:p w14:paraId="754281B3" w14:textId="77777777" w:rsidR="0083749A" w:rsidRPr="008D646B" w:rsidRDefault="0083749A" w:rsidP="008D646B">
      <w:pPr>
        <w:spacing w:after="40"/>
        <w:jc w:val="both"/>
        <w:rPr>
          <w:rFonts w:ascii="Times New Roman" w:eastAsia="Times New Roman" w:hAnsi="Times New Roman" w:cs="Times New Roman"/>
          <w:b/>
          <w:bCs/>
          <w:sz w:val="24"/>
          <w:szCs w:val="24"/>
        </w:rPr>
      </w:pPr>
      <w:r w:rsidRPr="008D646B">
        <w:rPr>
          <w:rFonts w:ascii="Times New Roman" w:eastAsia="Times New Roman" w:hAnsi="Times New Roman" w:cs="Times New Roman"/>
          <w:b/>
          <w:bCs/>
          <w:sz w:val="24"/>
          <w:szCs w:val="24"/>
        </w:rPr>
        <w:t>Objetivo</w:t>
      </w:r>
    </w:p>
    <w:p w14:paraId="011C2CE1" w14:textId="77777777" w:rsidR="0083749A" w:rsidRPr="008D646B" w:rsidRDefault="0083749A" w:rsidP="008D646B">
      <w:pPr>
        <w:spacing w:after="40"/>
        <w:jc w:val="both"/>
        <w:rPr>
          <w:rFonts w:ascii="Times New Roman" w:eastAsia="Times New Roman" w:hAnsi="Times New Roman" w:cs="Times New Roman"/>
          <w:sz w:val="24"/>
          <w:szCs w:val="24"/>
        </w:rPr>
      </w:pPr>
      <w:r w:rsidRPr="008D646B">
        <w:rPr>
          <w:rFonts w:ascii="Times New Roman" w:eastAsia="Times New Roman" w:hAnsi="Times New Roman" w:cs="Times New Roman"/>
          <w:sz w:val="24"/>
          <w:szCs w:val="24"/>
        </w:rPr>
        <w:t xml:space="preserve">Examinar el efecto inmediato de la pandemia de COVID-19 sobre el costo y la asequibilidad de una dieta saludable entre hogares urbanos de Bangkok, Tailandia, y Manila, Filipinas, es el objetivo central de </w:t>
      </w:r>
      <w:proofErr w:type="spellStart"/>
      <w:r w:rsidRPr="008D646B">
        <w:rPr>
          <w:rFonts w:ascii="Times New Roman" w:eastAsia="Times New Roman" w:hAnsi="Times New Roman" w:cs="Times New Roman"/>
          <w:sz w:val="24"/>
          <w:szCs w:val="24"/>
        </w:rPr>
        <w:t>Mwambi</w:t>
      </w:r>
      <w:proofErr w:type="spellEnd"/>
      <w:r w:rsidRPr="008D646B">
        <w:rPr>
          <w:rFonts w:ascii="Times New Roman" w:eastAsia="Times New Roman" w:hAnsi="Times New Roman" w:cs="Times New Roman"/>
          <w:sz w:val="24"/>
          <w:szCs w:val="24"/>
        </w:rPr>
        <w:t xml:space="preserve">, </w:t>
      </w:r>
      <w:proofErr w:type="spellStart"/>
      <w:r w:rsidRPr="008D646B">
        <w:rPr>
          <w:rFonts w:ascii="Times New Roman" w:eastAsia="Times New Roman" w:hAnsi="Times New Roman" w:cs="Times New Roman"/>
          <w:sz w:val="24"/>
          <w:szCs w:val="24"/>
        </w:rPr>
        <w:t>Schreinemachers</w:t>
      </w:r>
      <w:proofErr w:type="spellEnd"/>
      <w:r w:rsidRPr="008D646B">
        <w:rPr>
          <w:rFonts w:ascii="Times New Roman" w:eastAsia="Times New Roman" w:hAnsi="Times New Roman" w:cs="Times New Roman"/>
          <w:sz w:val="24"/>
          <w:szCs w:val="24"/>
        </w:rPr>
        <w:t xml:space="preserve">, </w:t>
      </w:r>
      <w:proofErr w:type="spellStart"/>
      <w:r w:rsidRPr="008D646B">
        <w:rPr>
          <w:rFonts w:ascii="Times New Roman" w:eastAsia="Times New Roman" w:hAnsi="Times New Roman" w:cs="Times New Roman"/>
          <w:sz w:val="24"/>
          <w:szCs w:val="24"/>
        </w:rPr>
        <w:t>Praneetvatakul</w:t>
      </w:r>
      <w:proofErr w:type="spellEnd"/>
      <w:r w:rsidRPr="008D646B">
        <w:rPr>
          <w:rFonts w:ascii="Times New Roman" w:eastAsia="Times New Roman" w:hAnsi="Times New Roman" w:cs="Times New Roman"/>
          <w:sz w:val="24"/>
          <w:szCs w:val="24"/>
        </w:rPr>
        <w:t xml:space="preserve"> y Harris (2023), respondiendo específicamente a tres preguntas de investigación: cómo se compara el gasto en alimentos con el costo de la dieta recomendada, cuál es el impacto de la pandemia sobre el costo de dicha dieta, y cómo afectó la pandemia la asequibilidad de esa dieta recomendada.</w:t>
      </w:r>
    </w:p>
    <w:p w14:paraId="7AFF625C" w14:textId="77777777" w:rsidR="0083749A" w:rsidRPr="008D646B" w:rsidRDefault="0083749A" w:rsidP="008D646B">
      <w:pPr>
        <w:spacing w:after="40"/>
        <w:jc w:val="both"/>
        <w:rPr>
          <w:rFonts w:ascii="Times New Roman" w:eastAsia="Times New Roman" w:hAnsi="Times New Roman" w:cs="Times New Roman"/>
          <w:b/>
          <w:bCs/>
          <w:sz w:val="24"/>
          <w:szCs w:val="24"/>
        </w:rPr>
      </w:pPr>
      <w:r w:rsidRPr="008D646B">
        <w:rPr>
          <w:rFonts w:ascii="Times New Roman" w:eastAsia="Times New Roman" w:hAnsi="Times New Roman" w:cs="Times New Roman"/>
          <w:b/>
          <w:bCs/>
          <w:sz w:val="24"/>
          <w:szCs w:val="24"/>
        </w:rPr>
        <w:t>Metodología</w:t>
      </w:r>
    </w:p>
    <w:p w14:paraId="002DEAFF" w14:textId="1B8290F2" w:rsidR="0083749A" w:rsidRPr="008D646B" w:rsidRDefault="0083749A" w:rsidP="008D646B">
      <w:pPr>
        <w:spacing w:after="40"/>
        <w:jc w:val="both"/>
        <w:rPr>
          <w:rFonts w:ascii="Times New Roman" w:eastAsia="Times New Roman" w:hAnsi="Times New Roman" w:cs="Times New Roman"/>
          <w:sz w:val="24"/>
          <w:szCs w:val="24"/>
        </w:rPr>
      </w:pPr>
      <w:r w:rsidRPr="008D646B">
        <w:rPr>
          <w:rFonts w:ascii="Times New Roman" w:eastAsia="Times New Roman" w:hAnsi="Times New Roman" w:cs="Times New Roman"/>
          <w:sz w:val="24"/>
          <w:szCs w:val="24"/>
        </w:rPr>
        <w:t xml:space="preserve">El estudio emplea el método Cost </w:t>
      </w:r>
      <w:proofErr w:type="spellStart"/>
      <w:r w:rsidRPr="008D646B">
        <w:rPr>
          <w:rFonts w:ascii="Times New Roman" w:eastAsia="Times New Roman" w:hAnsi="Times New Roman" w:cs="Times New Roman"/>
          <w:sz w:val="24"/>
          <w:szCs w:val="24"/>
        </w:rPr>
        <w:t>of</w:t>
      </w:r>
      <w:proofErr w:type="spellEnd"/>
      <w:r w:rsidRPr="008D646B">
        <w:rPr>
          <w:rFonts w:ascii="Times New Roman" w:eastAsia="Times New Roman" w:hAnsi="Times New Roman" w:cs="Times New Roman"/>
          <w:sz w:val="24"/>
          <w:szCs w:val="24"/>
        </w:rPr>
        <w:t xml:space="preserve"> </w:t>
      </w:r>
      <w:proofErr w:type="spellStart"/>
      <w:r w:rsidRPr="008D646B">
        <w:rPr>
          <w:rFonts w:ascii="Times New Roman" w:eastAsia="Times New Roman" w:hAnsi="Times New Roman" w:cs="Times New Roman"/>
          <w:sz w:val="24"/>
          <w:szCs w:val="24"/>
        </w:rPr>
        <w:t>Recommended</w:t>
      </w:r>
      <w:proofErr w:type="spellEnd"/>
      <w:r w:rsidRPr="008D646B">
        <w:rPr>
          <w:rFonts w:ascii="Times New Roman" w:eastAsia="Times New Roman" w:hAnsi="Times New Roman" w:cs="Times New Roman"/>
          <w:sz w:val="24"/>
          <w:szCs w:val="24"/>
        </w:rPr>
        <w:t xml:space="preserve"> </w:t>
      </w:r>
      <w:proofErr w:type="spellStart"/>
      <w:r w:rsidRPr="008D646B">
        <w:rPr>
          <w:rFonts w:ascii="Times New Roman" w:eastAsia="Times New Roman" w:hAnsi="Times New Roman" w:cs="Times New Roman"/>
          <w:sz w:val="24"/>
          <w:szCs w:val="24"/>
        </w:rPr>
        <w:t>Diet</w:t>
      </w:r>
      <w:proofErr w:type="spellEnd"/>
      <w:r w:rsidRPr="008D646B">
        <w:rPr>
          <w:rFonts w:ascii="Times New Roman" w:eastAsia="Times New Roman" w:hAnsi="Times New Roman" w:cs="Times New Roman"/>
          <w:sz w:val="24"/>
          <w:szCs w:val="24"/>
        </w:rPr>
        <w:t xml:space="preserve"> (</w:t>
      </w:r>
      <w:proofErr w:type="spellStart"/>
      <w:r w:rsidRPr="008D646B">
        <w:rPr>
          <w:rFonts w:ascii="Times New Roman" w:eastAsia="Times New Roman" w:hAnsi="Times New Roman" w:cs="Times New Roman"/>
          <w:sz w:val="24"/>
          <w:szCs w:val="24"/>
        </w:rPr>
        <w:t>CoRD</w:t>
      </w:r>
      <w:proofErr w:type="spellEnd"/>
      <w:r w:rsidRPr="008D646B">
        <w:rPr>
          <w:rFonts w:ascii="Times New Roman" w:eastAsia="Times New Roman" w:hAnsi="Times New Roman" w:cs="Times New Roman"/>
          <w:sz w:val="24"/>
          <w:szCs w:val="24"/>
        </w:rPr>
        <w:t>), desarrollado originalmente por Herforth et al., que estima el costo mínimo de una dieta saludable a partir de las guías alimentarias nacionales basadas en alimentos (</w:t>
      </w:r>
      <w:proofErr w:type="spellStart"/>
      <w:r w:rsidRPr="008D646B">
        <w:rPr>
          <w:rFonts w:ascii="Times New Roman" w:eastAsia="Times New Roman" w:hAnsi="Times New Roman" w:cs="Times New Roman"/>
          <w:sz w:val="24"/>
          <w:szCs w:val="24"/>
        </w:rPr>
        <w:t>food</w:t>
      </w:r>
      <w:proofErr w:type="spellEnd"/>
      <w:r w:rsidRPr="008D646B">
        <w:rPr>
          <w:rFonts w:ascii="Times New Roman" w:eastAsia="Times New Roman" w:hAnsi="Times New Roman" w:cs="Times New Roman"/>
          <w:sz w:val="24"/>
          <w:szCs w:val="24"/>
        </w:rPr>
        <w:t xml:space="preserve"> </w:t>
      </w:r>
      <w:proofErr w:type="spellStart"/>
      <w:r w:rsidRPr="008D646B">
        <w:rPr>
          <w:rFonts w:ascii="Times New Roman" w:eastAsia="Times New Roman" w:hAnsi="Times New Roman" w:cs="Times New Roman"/>
          <w:sz w:val="24"/>
          <w:szCs w:val="24"/>
        </w:rPr>
        <w:t>based</w:t>
      </w:r>
      <w:proofErr w:type="spellEnd"/>
      <w:r w:rsidRPr="008D646B">
        <w:rPr>
          <w:rFonts w:ascii="Times New Roman" w:eastAsia="Times New Roman" w:hAnsi="Times New Roman" w:cs="Times New Roman"/>
          <w:sz w:val="24"/>
          <w:szCs w:val="24"/>
        </w:rPr>
        <w:t xml:space="preserve"> </w:t>
      </w:r>
      <w:proofErr w:type="spellStart"/>
      <w:r w:rsidRPr="008D646B">
        <w:rPr>
          <w:rFonts w:ascii="Times New Roman" w:eastAsia="Times New Roman" w:hAnsi="Times New Roman" w:cs="Times New Roman"/>
          <w:sz w:val="24"/>
          <w:szCs w:val="24"/>
        </w:rPr>
        <w:t>dietary</w:t>
      </w:r>
      <w:proofErr w:type="spellEnd"/>
      <w:r w:rsidRPr="008D646B">
        <w:rPr>
          <w:rFonts w:ascii="Times New Roman" w:eastAsia="Times New Roman" w:hAnsi="Times New Roman" w:cs="Times New Roman"/>
          <w:sz w:val="24"/>
          <w:szCs w:val="24"/>
        </w:rPr>
        <w:t xml:space="preserve"> </w:t>
      </w:r>
      <w:proofErr w:type="spellStart"/>
      <w:r w:rsidRPr="008D646B">
        <w:rPr>
          <w:rFonts w:ascii="Times New Roman" w:eastAsia="Times New Roman" w:hAnsi="Times New Roman" w:cs="Times New Roman"/>
          <w:sz w:val="24"/>
          <w:szCs w:val="24"/>
        </w:rPr>
        <w:t>guidelines</w:t>
      </w:r>
      <w:proofErr w:type="spellEnd"/>
      <w:r w:rsidRPr="008D646B">
        <w:rPr>
          <w:rFonts w:ascii="Times New Roman" w:eastAsia="Times New Roman" w:hAnsi="Times New Roman" w:cs="Times New Roman"/>
          <w:sz w:val="24"/>
          <w:szCs w:val="24"/>
        </w:rPr>
        <w:t xml:space="preserve">, FBDG) de cada país, requiriendo para su cálculo datos de precios de alimentos y las guías cuantitativas correspondientes. El </w:t>
      </w:r>
      <w:proofErr w:type="spellStart"/>
      <w:r w:rsidRPr="008D646B">
        <w:rPr>
          <w:rFonts w:ascii="Times New Roman" w:eastAsia="Times New Roman" w:hAnsi="Times New Roman" w:cs="Times New Roman"/>
          <w:sz w:val="24"/>
          <w:szCs w:val="24"/>
        </w:rPr>
        <w:t>CoRD</w:t>
      </w:r>
      <w:proofErr w:type="spellEnd"/>
      <w:r w:rsidRPr="008D646B">
        <w:rPr>
          <w:rFonts w:ascii="Times New Roman" w:eastAsia="Times New Roman" w:hAnsi="Times New Roman" w:cs="Times New Roman"/>
          <w:sz w:val="24"/>
          <w:szCs w:val="24"/>
        </w:rPr>
        <w:t xml:space="preserve"> se calcula en seis pasos, siguiendo el procedimiento de Raghunathan et al.: primero, se clasifica cada alimento del conjunto de datos de precios dentro de las categorías de grupos de alimentos definidas por las FBDG; segundo, se estandarizan todas las unidades a kilogramos, usando factores de conversión de la FAO y de los estándares agrícolas tailandeses para unidades no estándar (huevos, manojos), y factores del International Network </w:t>
      </w:r>
      <w:proofErr w:type="spellStart"/>
      <w:r w:rsidRPr="008D646B">
        <w:rPr>
          <w:rFonts w:ascii="Times New Roman" w:eastAsia="Times New Roman" w:hAnsi="Times New Roman" w:cs="Times New Roman"/>
          <w:sz w:val="24"/>
          <w:szCs w:val="24"/>
        </w:rPr>
        <w:t>of</w:t>
      </w:r>
      <w:proofErr w:type="spellEnd"/>
      <w:r w:rsidRPr="008D646B">
        <w:rPr>
          <w:rFonts w:ascii="Times New Roman" w:eastAsia="Times New Roman" w:hAnsi="Times New Roman" w:cs="Times New Roman"/>
          <w:sz w:val="24"/>
          <w:szCs w:val="24"/>
        </w:rPr>
        <w:t xml:space="preserve"> </w:t>
      </w:r>
      <w:proofErr w:type="spellStart"/>
      <w:r w:rsidRPr="008D646B">
        <w:rPr>
          <w:rFonts w:ascii="Times New Roman" w:eastAsia="Times New Roman" w:hAnsi="Times New Roman" w:cs="Times New Roman"/>
          <w:sz w:val="24"/>
          <w:szCs w:val="24"/>
        </w:rPr>
        <w:t>Food</w:t>
      </w:r>
      <w:proofErr w:type="spellEnd"/>
      <w:r w:rsidRPr="008D646B">
        <w:rPr>
          <w:rFonts w:ascii="Times New Roman" w:eastAsia="Times New Roman" w:hAnsi="Times New Roman" w:cs="Times New Roman"/>
          <w:sz w:val="24"/>
          <w:szCs w:val="24"/>
        </w:rPr>
        <w:t xml:space="preserve"> Data </w:t>
      </w:r>
      <w:proofErr w:type="spellStart"/>
      <w:r w:rsidRPr="008D646B">
        <w:rPr>
          <w:rFonts w:ascii="Times New Roman" w:eastAsia="Times New Roman" w:hAnsi="Times New Roman" w:cs="Times New Roman"/>
          <w:sz w:val="24"/>
          <w:szCs w:val="24"/>
        </w:rPr>
        <w:t>Systems</w:t>
      </w:r>
      <w:proofErr w:type="spellEnd"/>
      <w:r w:rsidRPr="008D646B">
        <w:rPr>
          <w:rFonts w:ascii="Times New Roman" w:eastAsia="Times New Roman" w:hAnsi="Times New Roman" w:cs="Times New Roman"/>
          <w:sz w:val="24"/>
          <w:szCs w:val="24"/>
        </w:rPr>
        <w:t xml:space="preserve"> (INFOODS) para alimentos que en Tailandia se reportan en forma cocida; tercero, se convierten todos los precios a precio por porción comestible (</w:t>
      </w:r>
      <w:proofErr w:type="spellStart"/>
      <w:r w:rsidRPr="008D646B">
        <w:rPr>
          <w:rFonts w:ascii="Times New Roman" w:eastAsia="Times New Roman" w:hAnsi="Times New Roman" w:cs="Times New Roman"/>
          <w:sz w:val="24"/>
          <w:szCs w:val="24"/>
        </w:rPr>
        <w:t>edible</w:t>
      </w:r>
      <w:proofErr w:type="spellEnd"/>
      <w:r w:rsidRPr="008D646B">
        <w:rPr>
          <w:rFonts w:ascii="Times New Roman" w:eastAsia="Times New Roman" w:hAnsi="Times New Roman" w:cs="Times New Roman"/>
          <w:sz w:val="24"/>
          <w:szCs w:val="24"/>
        </w:rPr>
        <w:t xml:space="preserve"> </w:t>
      </w:r>
      <w:proofErr w:type="spellStart"/>
      <w:r w:rsidRPr="008D646B">
        <w:rPr>
          <w:rFonts w:ascii="Times New Roman" w:eastAsia="Times New Roman" w:hAnsi="Times New Roman" w:cs="Times New Roman"/>
          <w:sz w:val="24"/>
          <w:szCs w:val="24"/>
        </w:rPr>
        <w:t>serving</w:t>
      </w:r>
      <w:proofErr w:type="spellEnd"/>
      <w:r w:rsidRPr="008D646B">
        <w:rPr>
          <w:rFonts w:ascii="Times New Roman" w:eastAsia="Times New Roman" w:hAnsi="Times New Roman" w:cs="Times New Roman"/>
          <w:sz w:val="24"/>
          <w:szCs w:val="24"/>
        </w:rPr>
        <w:t xml:space="preserve">), aplicando la fórmula: tamaño de la porción en gramos dividido entre el precio por unidad del alimento en gramos, ajustado por la porción comestible; cuarto, se seleccionan los dos alimentos de menor precio por porción dentro de </w:t>
      </w:r>
      <w:r w:rsidRPr="008D646B">
        <w:rPr>
          <w:rFonts w:ascii="Times New Roman" w:eastAsia="Times New Roman" w:hAnsi="Times New Roman" w:cs="Times New Roman"/>
          <w:sz w:val="24"/>
          <w:szCs w:val="24"/>
        </w:rPr>
        <w:lastRenderedPageBreak/>
        <w:t xml:space="preserve">cada grupo de alimentos y se calcula el precio promedio por porción de ese grupo; quinto, se multiplica ese precio promedio por porción por el número de porciones recomendadas del grupo de alimentos por persona por día; sexto, el </w:t>
      </w:r>
      <w:proofErr w:type="spellStart"/>
      <w:r w:rsidRPr="008D646B">
        <w:rPr>
          <w:rFonts w:ascii="Times New Roman" w:eastAsia="Times New Roman" w:hAnsi="Times New Roman" w:cs="Times New Roman"/>
          <w:sz w:val="24"/>
          <w:szCs w:val="24"/>
        </w:rPr>
        <w:t>CoRD</w:t>
      </w:r>
      <w:proofErr w:type="spellEnd"/>
      <w:r w:rsidRPr="008D646B">
        <w:rPr>
          <w:rFonts w:ascii="Times New Roman" w:eastAsia="Times New Roman" w:hAnsi="Times New Roman" w:cs="Times New Roman"/>
          <w:sz w:val="24"/>
          <w:szCs w:val="24"/>
        </w:rPr>
        <w:t xml:space="preserve"> total es la suma del costo de todos los grupos de alimentos. Es explícito que el método no corresponde a </w:t>
      </w:r>
      <w:proofErr w:type="spellStart"/>
      <w:r w:rsidRPr="008D646B">
        <w:rPr>
          <w:rFonts w:ascii="Times New Roman" w:eastAsia="Times New Roman" w:hAnsi="Times New Roman" w:cs="Times New Roman"/>
          <w:sz w:val="24"/>
          <w:szCs w:val="24"/>
        </w:rPr>
        <w:t>CoNA</w:t>
      </w:r>
      <w:proofErr w:type="spellEnd"/>
      <w:r w:rsidRPr="008D646B">
        <w:rPr>
          <w:rFonts w:ascii="Times New Roman" w:eastAsia="Times New Roman" w:hAnsi="Times New Roman" w:cs="Times New Roman"/>
          <w:sz w:val="24"/>
          <w:szCs w:val="24"/>
        </w:rPr>
        <w:t xml:space="preserve"> ni a CoCA: los autores mencionan ambos indicadores solo como referencia dentro de la literatura (el costo de adecuación calórica, basado únicamente en el alimento almidonado de menor costo, y el costo de adecuación de nutrientes, que incorpora proteínas y vitaminas), pero aclaran que no los utilizan en este estudio; tampoco emplean el indicador más reciente Cost and </w:t>
      </w:r>
      <w:proofErr w:type="spellStart"/>
      <w:r w:rsidRPr="008D646B">
        <w:rPr>
          <w:rFonts w:ascii="Times New Roman" w:eastAsia="Times New Roman" w:hAnsi="Times New Roman" w:cs="Times New Roman"/>
          <w:sz w:val="24"/>
          <w:szCs w:val="24"/>
        </w:rPr>
        <w:t>Affordability</w:t>
      </w:r>
      <w:proofErr w:type="spellEnd"/>
      <w:r w:rsidRPr="008D646B">
        <w:rPr>
          <w:rFonts w:ascii="Times New Roman" w:eastAsia="Times New Roman" w:hAnsi="Times New Roman" w:cs="Times New Roman"/>
          <w:sz w:val="24"/>
          <w:szCs w:val="24"/>
        </w:rPr>
        <w:t xml:space="preserve"> </w:t>
      </w:r>
      <w:proofErr w:type="spellStart"/>
      <w:r w:rsidRPr="008D646B">
        <w:rPr>
          <w:rFonts w:ascii="Times New Roman" w:eastAsia="Times New Roman" w:hAnsi="Times New Roman" w:cs="Times New Roman"/>
          <w:sz w:val="24"/>
          <w:szCs w:val="24"/>
        </w:rPr>
        <w:t>of</w:t>
      </w:r>
      <w:proofErr w:type="spellEnd"/>
      <w:r w:rsidRPr="008D646B">
        <w:rPr>
          <w:rFonts w:ascii="Times New Roman" w:eastAsia="Times New Roman" w:hAnsi="Times New Roman" w:cs="Times New Roman"/>
          <w:sz w:val="24"/>
          <w:szCs w:val="24"/>
        </w:rPr>
        <w:t xml:space="preserve"> a </w:t>
      </w:r>
      <w:proofErr w:type="spellStart"/>
      <w:r w:rsidRPr="008D646B">
        <w:rPr>
          <w:rFonts w:ascii="Times New Roman" w:eastAsia="Times New Roman" w:hAnsi="Times New Roman" w:cs="Times New Roman"/>
          <w:sz w:val="24"/>
          <w:szCs w:val="24"/>
        </w:rPr>
        <w:t>Healthy</w:t>
      </w:r>
      <w:proofErr w:type="spellEnd"/>
      <w:r w:rsidRPr="008D646B">
        <w:rPr>
          <w:rFonts w:ascii="Times New Roman" w:eastAsia="Times New Roman" w:hAnsi="Times New Roman" w:cs="Times New Roman"/>
          <w:sz w:val="24"/>
          <w:szCs w:val="24"/>
        </w:rPr>
        <w:t xml:space="preserve"> Diet (</w:t>
      </w:r>
      <w:proofErr w:type="spellStart"/>
      <w:r w:rsidRPr="008D646B">
        <w:rPr>
          <w:rFonts w:ascii="Times New Roman" w:eastAsia="Times New Roman" w:hAnsi="Times New Roman" w:cs="Times New Roman"/>
          <w:sz w:val="24"/>
          <w:szCs w:val="24"/>
        </w:rPr>
        <w:t>CoAHD</w:t>
      </w:r>
      <w:proofErr w:type="spellEnd"/>
      <w:r w:rsidRPr="008D646B">
        <w:rPr>
          <w:rFonts w:ascii="Times New Roman" w:eastAsia="Times New Roman" w:hAnsi="Times New Roman" w:cs="Times New Roman"/>
          <w:sz w:val="24"/>
          <w:szCs w:val="24"/>
        </w:rPr>
        <w:t xml:space="preserve">), que selecciona alimentos por precio por kcal en lugar de precio por kg, porque no había sido publicado al momento del análisis. Para Tailandia, las FBDG (desarrolladas en 1994) especifican seis grupos de alimentos (cereales, carne y productos cárnicos, verduras, fruta, leche, y grasas/azúcar/sal) con porciones recomendadas según tres niveles de actividad física (1600, 2000 y 2400 kcal/día), usando el nivel de 2400 kcal por corresponder mejor al trabajo físico intenso típico de la población urbana pobre. Para Filipinas, las FBDG (desarrolladas en 1990) especifican ocho grupos de alimentos pero no definen cantidades por grupo, por lo que el estudio utiliza las cantidades deducidas por Dizon et al. para personas de 20 a 39 años. Los precios minoristas de alimentos provienen de series mensuales de 10 años (2011-2020) del </w:t>
      </w:r>
      <w:proofErr w:type="spellStart"/>
      <w:r w:rsidRPr="008D646B">
        <w:rPr>
          <w:rFonts w:ascii="Times New Roman" w:eastAsia="Times New Roman" w:hAnsi="Times New Roman" w:cs="Times New Roman"/>
          <w:sz w:val="24"/>
          <w:szCs w:val="24"/>
        </w:rPr>
        <w:t>Department</w:t>
      </w:r>
      <w:proofErr w:type="spellEnd"/>
      <w:r w:rsidRPr="008D646B">
        <w:rPr>
          <w:rFonts w:ascii="Times New Roman" w:eastAsia="Times New Roman" w:hAnsi="Times New Roman" w:cs="Times New Roman"/>
          <w:sz w:val="24"/>
          <w:szCs w:val="24"/>
        </w:rPr>
        <w:t xml:space="preserve"> </w:t>
      </w:r>
      <w:proofErr w:type="spellStart"/>
      <w:r w:rsidRPr="008D646B">
        <w:rPr>
          <w:rFonts w:ascii="Times New Roman" w:eastAsia="Times New Roman" w:hAnsi="Times New Roman" w:cs="Times New Roman"/>
          <w:sz w:val="24"/>
          <w:szCs w:val="24"/>
        </w:rPr>
        <w:t>of</w:t>
      </w:r>
      <w:proofErr w:type="spellEnd"/>
      <w:r w:rsidRPr="008D646B">
        <w:rPr>
          <w:rFonts w:ascii="Times New Roman" w:eastAsia="Times New Roman" w:hAnsi="Times New Roman" w:cs="Times New Roman"/>
          <w:sz w:val="24"/>
          <w:szCs w:val="24"/>
        </w:rPr>
        <w:t xml:space="preserve"> </w:t>
      </w:r>
      <w:proofErr w:type="spellStart"/>
      <w:r w:rsidRPr="008D646B">
        <w:rPr>
          <w:rFonts w:ascii="Times New Roman" w:eastAsia="Times New Roman" w:hAnsi="Times New Roman" w:cs="Times New Roman"/>
          <w:sz w:val="24"/>
          <w:szCs w:val="24"/>
        </w:rPr>
        <w:t>Internal</w:t>
      </w:r>
      <w:proofErr w:type="spellEnd"/>
      <w:r w:rsidRPr="008D646B">
        <w:rPr>
          <w:rFonts w:ascii="Times New Roman" w:eastAsia="Times New Roman" w:hAnsi="Times New Roman" w:cs="Times New Roman"/>
          <w:sz w:val="24"/>
          <w:szCs w:val="24"/>
        </w:rPr>
        <w:t xml:space="preserve"> </w:t>
      </w:r>
      <w:proofErr w:type="spellStart"/>
      <w:r w:rsidRPr="008D646B">
        <w:rPr>
          <w:rFonts w:ascii="Times New Roman" w:eastAsia="Times New Roman" w:hAnsi="Times New Roman" w:cs="Times New Roman"/>
          <w:sz w:val="24"/>
          <w:szCs w:val="24"/>
        </w:rPr>
        <w:t>Trade</w:t>
      </w:r>
      <w:proofErr w:type="spellEnd"/>
      <w:r w:rsidRPr="008D646B">
        <w:rPr>
          <w:rFonts w:ascii="Times New Roman" w:eastAsia="Times New Roman" w:hAnsi="Times New Roman" w:cs="Times New Roman"/>
          <w:sz w:val="24"/>
          <w:szCs w:val="24"/>
        </w:rPr>
        <w:t xml:space="preserve"> para Bangkok y de la </w:t>
      </w:r>
      <w:proofErr w:type="spellStart"/>
      <w:r w:rsidRPr="008D646B">
        <w:rPr>
          <w:rFonts w:ascii="Times New Roman" w:eastAsia="Times New Roman" w:hAnsi="Times New Roman" w:cs="Times New Roman"/>
          <w:sz w:val="24"/>
          <w:szCs w:val="24"/>
        </w:rPr>
        <w:t>Philippines</w:t>
      </w:r>
      <w:proofErr w:type="spellEnd"/>
      <w:r w:rsidRPr="008D646B">
        <w:rPr>
          <w:rFonts w:ascii="Times New Roman" w:eastAsia="Times New Roman" w:hAnsi="Times New Roman" w:cs="Times New Roman"/>
          <w:sz w:val="24"/>
          <w:szCs w:val="24"/>
        </w:rPr>
        <w:t xml:space="preserve"> </w:t>
      </w:r>
      <w:proofErr w:type="spellStart"/>
      <w:r w:rsidRPr="008D646B">
        <w:rPr>
          <w:rFonts w:ascii="Times New Roman" w:eastAsia="Times New Roman" w:hAnsi="Times New Roman" w:cs="Times New Roman"/>
          <w:sz w:val="24"/>
          <w:szCs w:val="24"/>
        </w:rPr>
        <w:t>Statistics</w:t>
      </w:r>
      <w:proofErr w:type="spellEnd"/>
      <w:r w:rsidRPr="008D646B">
        <w:rPr>
          <w:rFonts w:ascii="Times New Roman" w:eastAsia="Times New Roman" w:hAnsi="Times New Roman" w:cs="Times New Roman"/>
          <w:sz w:val="24"/>
          <w:szCs w:val="24"/>
        </w:rPr>
        <w:t xml:space="preserve"> </w:t>
      </w:r>
      <w:proofErr w:type="spellStart"/>
      <w:r w:rsidRPr="008D646B">
        <w:rPr>
          <w:rFonts w:ascii="Times New Roman" w:eastAsia="Times New Roman" w:hAnsi="Times New Roman" w:cs="Times New Roman"/>
          <w:sz w:val="24"/>
          <w:szCs w:val="24"/>
        </w:rPr>
        <w:t>Authority</w:t>
      </w:r>
      <w:proofErr w:type="spellEnd"/>
      <w:r w:rsidRPr="008D646B">
        <w:rPr>
          <w:rFonts w:ascii="Times New Roman" w:eastAsia="Times New Roman" w:hAnsi="Times New Roman" w:cs="Times New Roman"/>
          <w:sz w:val="24"/>
          <w:szCs w:val="24"/>
        </w:rPr>
        <w:t xml:space="preserve"> para Manila, cubriendo 225 y 58 alimentos respectivamente antes de excluir los que tenían datos incompletos. Todos los precios locales se convirtieron a dólares estadounidenses de 2019 (US$ 2019 PPP) usando paridades de poder adquisitivo reales del International </w:t>
      </w:r>
      <w:proofErr w:type="spellStart"/>
      <w:r w:rsidRPr="008D646B">
        <w:rPr>
          <w:rFonts w:ascii="Times New Roman" w:eastAsia="Times New Roman" w:hAnsi="Times New Roman" w:cs="Times New Roman"/>
          <w:sz w:val="24"/>
          <w:szCs w:val="24"/>
        </w:rPr>
        <w:t>Comparison</w:t>
      </w:r>
      <w:proofErr w:type="spellEnd"/>
      <w:r w:rsidRPr="008D646B">
        <w:rPr>
          <w:rFonts w:ascii="Times New Roman" w:eastAsia="Times New Roman" w:hAnsi="Times New Roman" w:cs="Times New Roman"/>
          <w:sz w:val="24"/>
          <w:szCs w:val="24"/>
        </w:rPr>
        <w:t xml:space="preserve"> </w:t>
      </w:r>
      <w:proofErr w:type="spellStart"/>
      <w:r w:rsidRPr="008D646B">
        <w:rPr>
          <w:rFonts w:ascii="Times New Roman" w:eastAsia="Times New Roman" w:hAnsi="Times New Roman" w:cs="Times New Roman"/>
          <w:sz w:val="24"/>
          <w:szCs w:val="24"/>
        </w:rPr>
        <w:t>Program</w:t>
      </w:r>
      <w:proofErr w:type="spellEnd"/>
      <w:r w:rsidRPr="008D646B">
        <w:rPr>
          <w:rFonts w:ascii="Times New Roman" w:eastAsia="Times New Roman" w:hAnsi="Times New Roman" w:cs="Times New Roman"/>
          <w:sz w:val="24"/>
          <w:szCs w:val="24"/>
        </w:rPr>
        <w:t xml:space="preserve"> del Banco Mundial, y adicionalmente se deflactaron a niveles de precios de 2019 usando el índice de precios al consumidor; es decir, los costos del </w:t>
      </w:r>
      <w:proofErr w:type="spellStart"/>
      <w:r w:rsidRPr="008D646B">
        <w:rPr>
          <w:rFonts w:ascii="Times New Roman" w:eastAsia="Times New Roman" w:hAnsi="Times New Roman" w:cs="Times New Roman"/>
          <w:sz w:val="24"/>
          <w:szCs w:val="24"/>
        </w:rPr>
        <w:t>CoRD</w:t>
      </w:r>
      <w:proofErr w:type="spellEnd"/>
      <w:r w:rsidRPr="008D646B">
        <w:rPr>
          <w:rFonts w:ascii="Times New Roman" w:eastAsia="Times New Roman" w:hAnsi="Times New Roman" w:cs="Times New Roman"/>
          <w:sz w:val="24"/>
          <w:szCs w:val="24"/>
        </w:rPr>
        <w:t xml:space="preserve"> reportados y comparados en el tiempo son valores reales (constantes de 2019), no nominales. Para estimar el efecto causal de la pandemia sobre los precios y el </w:t>
      </w:r>
      <w:proofErr w:type="spellStart"/>
      <w:r w:rsidRPr="008D646B">
        <w:rPr>
          <w:rFonts w:ascii="Times New Roman" w:eastAsia="Times New Roman" w:hAnsi="Times New Roman" w:cs="Times New Roman"/>
          <w:sz w:val="24"/>
          <w:szCs w:val="24"/>
        </w:rPr>
        <w:t>CoRD</w:t>
      </w:r>
      <w:proofErr w:type="spellEnd"/>
      <w:r w:rsidRPr="008D646B">
        <w:rPr>
          <w:rFonts w:ascii="Times New Roman" w:eastAsia="Times New Roman" w:hAnsi="Times New Roman" w:cs="Times New Roman"/>
          <w:sz w:val="24"/>
          <w:szCs w:val="24"/>
        </w:rPr>
        <w:t>, el estudio aplica un diseño de regresión discontinua (</w:t>
      </w:r>
      <w:proofErr w:type="spellStart"/>
      <w:r w:rsidRPr="008D646B">
        <w:rPr>
          <w:rFonts w:ascii="Times New Roman" w:eastAsia="Times New Roman" w:hAnsi="Times New Roman" w:cs="Times New Roman"/>
          <w:sz w:val="24"/>
          <w:szCs w:val="24"/>
        </w:rPr>
        <w:t>regression</w:t>
      </w:r>
      <w:proofErr w:type="spellEnd"/>
      <w:r w:rsidRPr="008D646B">
        <w:rPr>
          <w:rFonts w:ascii="Times New Roman" w:eastAsia="Times New Roman" w:hAnsi="Times New Roman" w:cs="Times New Roman"/>
          <w:sz w:val="24"/>
          <w:szCs w:val="24"/>
        </w:rPr>
        <w:t xml:space="preserve"> </w:t>
      </w:r>
      <w:proofErr w:type="spellStart"/>
      <w:r w:rsidRPr="008D646B">
        <w:rPr>
          <w:rFonts w:ascii="Times New Roman" w:eastAsia="Times New Roman" w:hAnsi="Times New Roman" w:cs="Times New Roman"/>
          <w:sz w:val="24"/>
          <w:szCs w:val="24"/>
        </w:rPr>
        <w:t>discontinuity</w:t>
      </w:r>
      <w:proofErr w:type="spellEnd"/>
      <w:r w:rsidRPr="008D646B">
        <w:rPr>
          <w:rFonts w:ascii="Times New Roman" w:eastAsia="Times New Roman" w:hAnsi="Times New Roman" w:cs="Times New Roman"/>
          <w:sz w:val="24"/>
          <w:szCs w:val="24"/>
        </w:rPr>
        <w:t xml:space="preserve">), donde la variable de resultado es el precio de cada grupo de alimentos o el </w:t>
      </w:r>
      <w:proofErr w:type="spellStart"/>
      <w:r w:rsidRPr="008D646B">
        <w:rPr>
          <w:rFonts w:ascii="Times New Roman" w:eastAsia="Times New Roman" w:hAnsi="Times New Roman" w:cs="Times New Roman"/>
          <w:sz w:val="24"/>
          <w:szCs w:val="24"/>
        </w:rPr>
        <w:t>CoRD</w:t>
      </w:r>
      <w:proofErr w:type="spellEnd"/>
      <w:r w:rsidRPr="008D646B">
        <w:rPr>
          <w:rFonts w:ascii="Times New Roman" w:eastAsia="Times New Roman" w:hAnsi="Times New Roman" w:cs="Times New Roman"/>
          <w:sz w:val="24"/>
          <w:szCs w:val="24"/>
        </w:rPr>
        <w:t xml:space="preserve">, y el tratamiento es una variable </w:t>
      </w:r>
      <w:proofErr w:type="spellStart"/>
      <w:r w:rsidRPr="008D646B">
        <w:rPr>
          <w:rFonts w:ascii="Times New Roman" w:eastAsia="Times New Roman" w:hAnsi="Times New Roman" w:cs="Times New Roman"/>
          <w:sz w:val="24"/>
          <w:szCs w:val="24"/>
        </w:rPr>
        <w:t>dummy</w:t>
      </w:r>
      <w:proofErr w:type="spellEnd"/>
      <w:r w:rsidRPr="008D646B">
        <w:rPr>
          <w:rFonts w:ascii="Times New Roman" w:eastAsia="Times New Roman" w:hAnsi="Times New Roman" w:cs="Times New Roman"/>
          <w:sz w:val="24"/>
          <w:szCs w:val="24"/>
        </w:rPr>
        <w:t xml:space="preserve"> que toma valor uno a partir del mes en que se impusieron las restricciones de confinamiento (marzo de 2020 para Tailandia, febrero de 2020 para Filipinas, definidos según el índice de rigurosidad de políticas de Oxford), y valor cero antes de esa fecha; el modelo incluye efectos fijos mensuales para controlar variaciones estacionales de precios, y se estima con el estimador de regresión lineal local por defecto, </w:t>
      </w:r>
      <w:proofErr w:type="spellStart"/>
      <w:r w:rsidRPr="008D646B">
        <w:rPr>
          <w:rFonts w:ascii="Times New Roman" w:eastAsia="Times New Roman" w:hAnsi="Times New Roman" w:cs="Times New Roman"/>
          <w:sz w:val="24"/>
          <w:szCs w:val="24"/>
        </w:rPr>
        <w:t>kernel</w:t>
      </w:r>
      <w:proofErr w:type="spellEnd"/>
      <w:r w:rsidRPr="008D646B">
        <w:rPr>
          <w:rFonts w:ascii="Times New Roman" w:eastAsia="Times New Roman" w:hAnsi="Times New Roman" w:cs="Times New Roman"/>
          <w:sz w:val="24"/>
          <w:szCs w:val="24"/>
        </w:rPr>
        <w:t xml:space="preserve"> triangular y ancho de banda óptimo según el criterio de error cuadrático medio (MSE). Para la asequibilidad, el estudio compara la media predicha del costo mínimo de la dieta recomendada contra el gasto medio per cápita en alimentos reportado en las encuestas de ingresos y gastos de los hogares (HIES 2019 para Tailandia, 2018 para Filipinas): cuando el costo supera el gasto real en alimentos, la dieta se considera inasequible. Para simular el efecto de la pandemia sobre la asequibilidad, se construyeron escenarios de contracción del presupuesto de alimentos per cápita de 10%, 15% y 20%, y se incorporó el valor de los programas de ayuda gubernamental relacionados con COVID-19 (transferencias de ingreso y subsidios alimentarios) prorrateado entre los meses de confinamiento del periodo de estudio.</w:t>
      </w:r>
    </w:p>
    <w:p w14:paraId="7C9CDA20" w14:textId="77777777" w:rsidR="0083749A" w:rsidRPr="008D646B" w:rsidRDefault="0083749A" w:rsidP="008D646B">
      <w:pPr>
        <w:spacing w:after="40"/>
        <w:jc w:val="both"/>
        <w:rPr>
          <w:rFonts w:ascii="Times New Roman" w:eastAsia="Times New Roman" w:hAnsi="Times New Roman" w:cs="Times New Roman"/>
          <w:b/>
          <w:bCs/>
          <w:sz w:val="24"/>
          <w:szCs w:val="24"/>
        </w:rPr>
      </w:pPr>
      <w:r w:rsidRPr="008D646B">
        <w:rPr>
          <w:rFonts w:ascii="Times New Roman" w:eastAsia="Times New Roman" w:hAnsi="Times New Roman" w:cs="Times New Roman"/>
          <w:b/>
          <w:bCs/>
          <w:sz w:val="24"/>
          <w:szCs w:val="24"/>
        </w:rPr>
        <w:lastRenderedPageBreak/>
        <w:t>Resultados</w:t>
      </w:r>
    </w:p>
    <w:p w14:paraId="4BDFB859" w14:textId="1F9AC8F3" w:rsidR="00265E4D" w:rsidRPr="008D646B" w:rsidRDefault="0083749A" w:rsidP="008D646B">
      <w:pPr>
        <w:spacing w:after="40"/>
        <w:jc w:val="both"/>
        <w:rPr>
          <w:rFonts w:ascii="Times New Roman" w:eastAsia="Times New Roman" w:hAnsi="Times New Roman" w:cs="Times New Roman"/>
          <w:sz w:val="24"/>
          <w:szCs w:val="24"/>
        </w:rPr>
      </w:pPr>
      <w:r w:rsidRPr="008D646B">
        <w:rPr>
          <w:rFonts w:ascii="Times New Roman" w:eastAsia="Times New Roman" w:hAnsi="Times New Roman" w:cs="Times New Roman"/>
          <w:sz w:val="24"/>
          <w:szCs w:val="24"/>
        </w:rPr>
        <w:t>El costo promedio de la dieta recomendada antes de la pandemia fue de US$ 1.55 (2019 PPP) por persona al día en Bangkok, de los cuales US$ 0.64 (41.2%) correspondió a alimentos básicos (</w:t>
      </w:r>
      <w:proofErr w:type="spellStart"/>
      <w:r w:rsidRPr="008D646B">
        <w:rPr>
          <w:rFonts w:ascii="Times New Roman" w:eastAsia="Times New Roman" w:hAnsi="Times New Roman" w:cs="Times New Roman"/>
          <w:sz w:val="24"/>
          <w:szCs w:val="24"/>
        </w:rPr>
        <w:t>staples</w:t>
      </w:r>
      <w:proofErr w:type="spellEnd"/>
      <w:r w:rsidRPr="008D646B">
        <w:rPr>
          <w:rFonts w:ascii="Times New Roman" w:eastAsia="Times New Roman" w:hAnsi="Times New Roman" w:cs="Times New Roman"/>
          <w:sz w:val="24"/>
          <w:szCs w:val="24"/>
        </w:rPr>
        <w:t xml:space="preserve">), US$ 0.38 (24.5%) a fruta y US$ 0.22 (14.2%) a verduras; en Manila el costo fue más del doble, US$ 3.76 por persona al día, con US$ 1.44 (38.3%) en alimentos básicos, US$ 0.48 (12.9%) en fruta y US$ 0.69 (18.2%) en verduras. El arroz fue el alimento básico más barato en ambas ciudades, aunque el tipo específico de arroz difirió; el marisco y el pollo fueron las proteínas más baratas en ambas ciudades. El análisis de regresión discontinua mostró que en Bangkok el confinamiento produjo un aumento del precio de las verduras de US$ 0.02 (9.1%, p = 0.003), una disminución del precio de la fruta de US$ 0.08 (21.1%, p &lt; 0.011), y una disminución del costo total del </w:t>
      </w:r>
      <w:proofErr w:type="spellStart"/>
      <w:r w:rsidRPr="008D646B">
        <w:rPr>
          <w:rFonts w:ascii="Times New Roman" w:eastAsia="Times New Roman" w:hAnsi="Times New Roman" w:cs="Times New Roman"/>
          <w:sz w:val="24"/>
          <w:szCs w:val="24"/>
        </w:rPr>
        <w:t>CoRD</w:t>
      </w:r>
      <w:proofErr w:type="spellEnd"/>
      <w:r w:rsidRPr="008D646B">
        <w:rPr>
          <w:rFonts w:ascii="Times New Roman" w:eastAsia="Times New Roman" w:hAnsi="Times New Roman" w:cs="Times New Roman"/>
          <w:sz w:val="24"/>
          <w:szCs w:val="24"/>
        </w:rPr>
        <w:t xml:space="preserve"> de US$ 0.10 (6.5%, p &lt; 0.001); en Manila, el confinamiento produjo un aumento en el costo de verduras de US$ 0.04 (5.7%, p = 0.001), de fruta de US$ 0.04 (8.3%, p = 0.011) y de huevos de US$ 0.09 (27.3%, p = 0.020), mientras que el efecto sobre el </w:t>
      </w:r>
      <w:proofErr w:type="spellStart"/>
      <w:r w:rsidRPr="008D646B">
        <w:rPr>
          <w:rFonts w:ascii="Times New Roman" w:eastAsia="Times New Roman" w:hAnsi="Times New Roman" w:cs="Times New Roman"/>
          <w:sz w:val="24"/>
          <w:szCs w:val="24"/>
        </w:rPr>
        <w:t>CoRD</w:t>
      </w:r>
      <w:proofErr w:type="spellEnd"/>
      <w:r w:rsidRPr="008D646B">
        <w:rPr>
          <w:rFonts w:ascii="Times New Roman" w:eastAsia="Times New Roman" w:hAnsi="Times New Roman" w:cs="Times New Roman"/>
          <w:sz w:val="24"/>
          <w:szCs w:val="24"/>
        </w:rPr>
        <w:t xml:space="preserve"> total no fue estadísticamente significativo (6.5% de disminución, p = 0.167). Antes de la pandemia, los hogares de Bangkok gastaban en promedio 20% de su ingreso en alimentos y los de Manila 46%; el gasto diario promedio por persona fue de US$ 8.98 en Bangkok (68% en alimentos consumidos en casa, 32% fuera de casa) y de US$ 7.65 en Manila (80% en casa, 20% fuera). En términos de adecuación del gasto respecto al </w:t>
      </w:r>
      <w:proofErr w:type="spellStart"/>
      <w:r w:rsidRPr="008D646B">
        <w:rPr>
          <w:rFonts w:ascii="Times New Roman" w:eastAsia="Times New Roman" w:hAnsi="Times New Roman" w:cs="Times New Roman"/>
          <w:sz w:val="24"/>
          <w:szCs w:val="24"/>
        </w:rPr>
        <w:t>CoRD</w:t>
      </w:r>
      <w:proofErr w:type="spellEnd"/>
      <w:r w:rsidRPr="008D646B">
        <w:rPr>
          <w:rFonts w:ascii="Times New Roman" w:eastAsia="Times New Roman" w:hAnsi="Times New Roman" w:cs="Times New Roman"/>
          <w:sz w:val="24"/>
          <w:szCs w:val="24"/>
        </w:rPr>
        <w:t>, los habitantes de Bangkok gastaban en promedio 1.7 veces el costo mínimo de la dieta recomendada (6.4 veces más en proteína, 2.3 veces más en verduras y 1.9 veces más en fruta de lo mínimamente requerido), mientras que los habitantes de Manila gastaban solo cerca de dos tercios de lo mínimamente requerido, aunque seguían gastando 3.4 veces más de lo necesario en proteína. Antes de la pandemia, todos los hogares de la muestra en Bangkok podían, en principio, costear la dieta recomendada, mientras que el 37% de la muestra en Manila no podía, equivalente a 4.98 millones de personas al extrapolar a toda la población. Asumiendo una contracción del presupuesto de alimentos de 15% a 20% durante la pandemia, el costo mínimo de la dieta dejó de ser asequible para entre 0.08 y 0.12 millones de personas en Bangkok (8% a 12% de la muestra), y la proporción de población que no podía costear la dieta en Manila subió de 37% a un rango de 47% a 57% (entre 6.32 y 7.73 millones de personas adicionales). Con la incorporación de los fondos de ayuda gubernamental, en Bangkok la dieta recomendada habría sido asequible para toda la población incluso con una contracción del 20% del presupuesto de alimentos; en Manila, la ayuda gubernamental redujo la población que no podía costear la dieta en 3.8% (0.51 millones de personas) bajo el escenario de contracción del 10%, y en 4% (0.53 millones de personas) bajo el escenario de contracción del 20%, sin llegar a compensar completamente la pérdida de asequibilidad.</w:t>
      </w:r>
    </w:p>
    <w:p w14:paraId="6649BC27" w14:textId="77777777" w:rsidR="0039078B" w:rsidRPr="008D646B" w:rsidRDefault="00A972BD" w:rsidP="008D646B">
      <w:pPr>
        <w:pStyle w:val="Prrafodelista"/>
        <w:numPr>
          <w:ilvl w:val="0"/>
          <w:numId w:val="3"/>
        </w:numPr>
        <w:jc w:val="both"/>
        <w:rPr>
          <w:rFonts w:ascii="Times New Roman" w:eastAsia="Times New Roman" w:hAnsi="Times New Roman" w:cs="Times New Roman"/>
          <w:b/>
          <w:bCs/>
          <w:sz w:val="24"/>
          <w:szCs w:val="24"/>
        </w:rPr>
      </w:pPr>
      <w:r w:rsidRPr="008D646B">
        <w:rPr>
          <w:rFonts w:ascii="Times New Roman" w:eastAsia="Times New Roman" w:hAnsi="Times New Roman" w:cs="Times New Roman"/>
          <w:b/>
          <w:bCs/>
          <w:sz w:val="24"/>
          <w:szCs w:val="24"/>
        </w:rPr>
        <w:t>Picchioni et al. (2022)</w:t>
      </w:r>
    </w:p>
    <w:p w14:paraId="48995996" w14:textId="77777777" w:rsidR="0039078B" w:rsidRPr="008D646B" w:rsidRDefault="0039078B" w:rsidP="008D646B">
      <w:pPr>
        <w:jc w:val="both"/>
        <w:rPr>
          <w:rStyle w:val="Fuerte"/>
          <w:rFonts w:ascii="Times New Roman" w:hAnsi="Times New Roman" w:cs="Times New Roman"/>
          <w:sz w:val="24"/>
          <w:szCs w:val="24"/>
        </w:rPr>
      </w:pPr>
      <w:r w:rsidRPr="008D646B">
        <w:rPr>
          <w:rStyle w:val="Fuerte"/>
          <w:rFonts w:ascii="Times New Roman" w:hAnsi="Times New Roman" w:cs="Times New Roman"/>
          <w:sz w:val="24"/>
          <w:szCs w:val="24"/>
        </w:rPr>
        <w:t>Objetivo</w:t>
      </w:r>
    </w:p>
    <w:p w14:paraId="34A47F09" w14:textId="77777777" w:rsidR="0039078B" w:rsidRPr="008D646B" w:rsidRDefault="0039078B" w:rsidP="008D646B">
      <w:pPr>
        <w:jc w:val="both"/>
        <w:rPr>
          <w:rFonts w:ascii="Times New Roman" w:hAnsi="Times New Roman" w:cs="Times New Roman"/>
          <w:sz w:val="24"/>
          <w:szCs w:val="24"/>
        </w:rPr>
      </w:pPr>
      <w:r w:rsidRPr="008D646B">
        <w:rPr>
          <w:rFonts w:ascii="Times New Roman" w:hAnsi="Times New Roman" w:cs="Times New Roman"/>
          <w:sz w:val="24"/>
          <w:szCs w:val="24"/>
        </w:rPr>
        <w:t xml:space="preserve">Proporcionar una evaluación preliminar de los efectos documentados de la pandemia de COVID-19 sobre la calidad de la dieta, la seguridad alimentaria y el estado nutricional de las poblaciones más vulnerables nutricionalmente (niños menores de 5 años y mujeres en edad fértil) en países de ingresos bajos y medios (LMIC) es el objetivo de Picchioni, Goulao y </w:t>
      </w:r>
      <w:r w:rsidRPr="008D646B">
        <w:rPr>
          <w:rFonts w:ascii="Times New Roman" w:hAnsi="Times New Roman" w:cs="Times New Roman"/>
          <w:sz w:val="24"/>
          <w:szCs w:val="24"/>
        </w:rPr>
        <w:lastRenderedPageBreak/>
        <w:t>Roberfroid (2021), mediante una revisión sistemática de la evidencia disponible, con el fin de generar recomendaciones informadas por evidencia para intervenciones y políticas de mitigación.</w:t>
      </w:r>
    </w:p>
    <w:p w14:paraId="58C6B1F3" w14:textId="77777777" w:rsidR="0039078B" w:rsidRPr="008D646B" w:rsidRDefault="0039078B" w:rsidP="008D646B">
      <w:pPr>
        <w:jc w:val="both"/>
        <w:rPr>
          <w:rStyle w:val="Fuerte"/>
          <w:rFonts w:ascii="Times New Roman" w:hAnsi="Times New Roman" w:cs="Times New Roman"/>
          <w:sz w:val="24"/>
          <w:szCs w:val="24"/>
        </w:rPr>
      </w:pPr>
      <w:r w:rsidRPr="008D646B">
        <w:rPr>
          <w:rStyle w:val="Fuerte"/>
          <w:rFonts w:ascii="Times New Roman" w:hAnsi="Times New Roman" w:cs="Times New Roman"/>
          <w:sz w:val="24"/>
          <w:szCs w:val="24"/>
        </w:rPr>
        <w:t>Metodología</w:t>
      </w:r>
    </w:p>
    <w:p w14:paraId="410E896C" w14:textId="77777777" w:rsidR="0039078B" w:rsidRPr="008D646B" w:rsidRDefault="0039078B" w:rsidP="008D646B">
      <w:pPr>
        <w:jc w:val="both"/>
        <w:rPr>
          <w:rFonts w:ascii="Times New Roman" w:hAnsi="Times New Roman" w:cs="Times New Roman"/>
          <w:sz w:val="24"/>
          <w:szCs w:val="24"/>
        </w:rPr>
      </w:pPr>
      <w:r w:rsidRPr="008D646B">
        <w:rPr>
          <w:rFonts w:ascii="Times New Roman" w:hAnsi="Times New Roman" w:cs="Times New Roman"/>
          <w:sz w:val="24"/>
          <w:szCs w:val="24"/>
        </w:rPr>
        <w:t xml:space="preserve">El estudio es una revisión sistemática de literatura, no un estudio de costeo de dieta, por lo que no aplica ninguna métrica de tipo </w:t>
      </w:r>
      <w:proofErr w:type="spellStart"/>
      <w:r w:rsidRPr="008D646B">
        <w:rPr>
          <w:rFonts w:ascii="Times New Roman" w:hAnsi="Times New Roman" w:cs="Times New Roman"/>
          <w:sz w:val="24"/>
          <w:szCs w:val="24"/>
        </w:rPr>
        <w:t>CoRD</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CoNA</w:t>
      </w:r>
      <w:proofErr w:type="spellEnd"/>
      <w:r w:rsidRPr="008D646B">
        <w:rPr>
          <w:rFonts w:ascii="Times New Roman" w:hAnsi="Times New Roman" w:cs="Times New Roman"/>
          <w:sz w:val="24"/>
          <w:szCs w:val="24"/>
        </w:rPr>
        <w:t xml:space="preserve"> o CoCA; en su lugar, sintetiza estudios primarios que usan indicadores propios de diversidad dietética, seguridad alimentaria, disponibilidad y asequibilidad de alimentos, cada uno con su propia metodología, sin que los autores de esta revisión calculen costos de dieta directamente. Se desarrolló un protocolo siguiendo las recomendaciones de la declaración PRISMA, con una estrategia de búsqueda estructurada aplicada en las bases de datos MEDLINE (</w:t>
      </w:r>
      <w:proofErr w:type="spellStart"/>
      <w:r w:rsidRPr="008D646B">
        <w:rPr>
          <w:rFonts w:ascii="Times New Roman" w:hAnsi="Times New Roman" w:cs="Times New Roman"/>
          <w:sz w:val="24"/>
          <w:szCs w:val="24"/>
        </w:rPr>
        <w:t>Pubmed</w:t>
      </w:r>
      <w:proofErr w:type="spellEnd"/>
      <w:r w:rsidRPr="008D646B">
        <w:rPr>
          <w:rFonts w:ascii="Times New Roman" w:hAnsi="Times New Roman" w:cs="Times New Roman"/>
          <w:sz w:val="24"/>
          <w:szCs w:val="24"/>
        </w:rPr>
        <w:t xml:space="preserve">), EMBASE, </w:t>
      </w:r>
      <w:proofErr w:type="spellStart"/>
      <w:r w:rsidRPr="008D646B">
        <w:rPr>
          <w:rFonts w:ascii="Times New Roman" w:hAnsi="Times New Roman" w:cs="Times New Roman"/>
          <w:sz w:val="24"/>
          <w:szCs w:val="24"/>
        </w:rPr>
        <w:t>Scopus</w:t>
      </w:r>
      <w:proofErr w:type="spellEnd"/>
      <w:r w:rsidRPr="008D646B">
        <w:rPr>
          <w:rFonts w:ascii="Times New Roman" w:hAnsi="Times New Roman" w:cs="Times New Roman"/>
          <w:sz w:val="24"/>
          <w:szCs w:val="24"/>
        </w:rPr>
        <w:t xml:space="preserve"> y Web </w:t>
      </w:r>
      <w:proofErr w:type="spellStart"/>
      <w:r w:rsidRPr="008D646B">
        <w:rPr>
          <w:rFonts w:ascii="Times New Roman" w:hAnsi="Times New Roman" w:cs="Times New Roman"/>
          <w:sz w:val="24"/>
          <w:szCs w:val="24"/>
        </w:rPr>
        <w:t>of</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Science</w:t>
      </w:r>
      <w:proofErr w:type="spellEnd"/>
      <w:r w:rsidRPr="008D646B">
        <w:rPr>
          <w:rFonts w:ascii="Times New Roman" w:hAnsi="Times New Roman" w:cs="Times New Roman"/>
          <w:sz w:val="24"/>
          <w:szCs w:val="24"/>
        </w:rPr>
        <w:t xml:space="preserve"> para literatura revisada por pares, y se complementó con literatura gris mediante el rastreo de una lista preestablecida de instituciones involucradas en el monitoreo del impacto de COVID-19 en nutrición y seguridad alimentaria. La primera búsqueda se realizó el 20 de agosto de 2020, con actualizaciones a mediados de noviembre de 2020 y mediados de enero de 2021; por razones prácticas, las actualizaciones de literatura revisada por pares se limitaron a </w:t>
      </w:r>
      <w:proofErr w:type="spellStart"/>
      <w:r w:rsidRPr="008D646B">
        <w:rPr>
          <w:rFonts w:ascii="Times New Roman" w:hAnsi="Times New Roman" w:cs="Times New Roman"/>
          <w:sz w:val="24"/>
          <w:szCs w:val="24"/>
        </w:rPr>
        <w:t>Scopus</w:t>
      </w:r>
      <w:proofErr w:type="spellEnd"/>
      <w:r w:rsidRPr="008D646B">
        <w:rPr>
          <w:rFonts w:ascii="Times New Roman" w:hAnsi="Times New Roman" w:cs="Times New Roman"/>
          <w:sz w:val="24"/>
          <w:szCs w:val="24"/>
        </w:rPr>
        <w:t xml:space="preserve"> y MEDLINE. Los criterios de elegibilidad restringieron la inclusión a estudios en LMIC, con diseño que permitiera hacer inferencias sobre el impacto de COVID-19 (es decir, que incluyeran datos primarios recolectados desde el inicio de la pandemia), excluyendo estudios centrados en obesidad como factor de riesgo para infección por COVID-19. Los indicadores de interés incluyeron, entre los principales: estado nutricional (tasas de emaciación, bajo peso al nacer, deficiencias de micronutrientes); calidad de la dieta, medida mediante el </w:t>
      </w:r>
      <w:proofErr w:type="spellStart"/>
      <w:r w:rsidRPr="008D646B">
        <w:rPr>
          <w:rFonts w:ascii="Times New Roman" w:hAnsi="Times New Roman" w:cs="Times New Roman"/>
          <w:sz w:val="24"/>
          <w:szCs w:val="24"/>
        </w:rPr>
        <w:t>Household</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Dietary</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Diversity</w:t>
      </w:r>
      <w:proofErr w:type="spellEnd"/>
      <w:r w:rsidRPr="008D646B">
        <w:rPr>
          <w:rFonts w:ascii="Times New Roman" w:hAnsi="Times New Roman" w:cs="Times New Roman"/>
          <w:sz w:val="24"/>
          <w:szCs w:val="24"/>
        </w:rPr>
        <w:t xml:space="preserve"> Score (HDDS), el </w:t>
      </w:r>
      <w:proofErr w:type="spellStart"/>
      <w:r w:rsidRPr="008D646B">
        <w:rPr>
          <w:rFonts w:ascii="Times New Roman" w:hAnsi="Times New Roman" w:cs="Times New Roman"/>
          <w:sz w:val="24"/>
          <w:szCs w:val="24"/>
        </w:rPr>
        <w:t>Food</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Consumption</w:t>
      </w:r>
      <w:proofErr w:type="spellEnd"/>
      <w:r w:rsidRPr="008D646B">
        <w:rPr>
          <w:rFonts w:ascii="Times New Roman" w:hAnsi="Times New Roman" w:cs="Times New Roman"/>
          <w:sz w:val="24"/>
          <w:szCs w:val="24"/>
        </w:rPr>
        <w:t xml:space="preserve"> Score (FCS), el </w:t>
      </w:r>
      <w:proofErr w:type="spellStart"/>
      <w:r w:rsidRPr="008D646B">
        <w:rPr>
          <w:rFonts w:ascii="Times New Roman" w:hAnsi="Times New Roman" w:cs="Times New Roman"/>
          <w:sz w:val="24"/>
          <w:szCs w:val="24"/>
        </w:rPr>
        <w:t>Minimum</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Dietary</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Diversity</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for</w:t>
      </w:r>
      <w:proofErr w:type="spellEnd"/>
      <w:r w:rsidRPr="008D646B">
        <w:rPr>
          <w:rFonts w:ascii="Times New Roman" w:hAnsi="Times New Roman" w:cs="Times New Roman"/>
          <w:sz w:val="24"/>
          <w:szCs w:val="24"/>
        </w:rPr>
        <w:t xml:space="preserve"> Women (MDD-W), el </w:t>
      </w:r>
      <w:proofErr w:type="spellStart"/>
      <w:r w:rsidRPr="008D646B">
        <w:rPr>
          <w:rFonts w:ascii="Times New Roman" w:hAnsi="Times New Roman" w:cs="Times New Roman"/>
          <w:sz w:val="24"/>
          <w:szCs w:val="24"/>
        </w:rPr>
        <w:t>Minimum</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Acceptable</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Diet</w:t>
      </w:r>
      <w:proofErr w:type="spellEnd"/>
      <w:r w:rsidRPr="008D646B">
        <w:rPr>
          <w:rFonts w:ascii="Times New Roman" w:hAnsi="Times New Roman" w:cs="Times New Roman"/>
          <w:sz w:val="24"/>
          <w:szCs w:val="24"/>
        </w:rPr>
        <w:t xml:space="preserve"> (MAD) u otras medidas no estandarizadas de cambios en el consumo; seguridad alimentaria, medida mediante el </w:t>
      </w:r>
      <w:proofErr w:type="spellStart"/>
      <w:r w:rsidRPr="008D646B">
        <w:rPr>
          <w:rFonts w:ascii="Times New Roman" w:hAnsi="Times New Roman" w:cs="Times New Roman"/>
          <w:sz w:val="24"/>
          <w:szCs w:val="24"/>
        </w:rPr>
        <w:t>Food</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Insecurity</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Experience</w:t>
      </w:r>
      <w:proofErr w:type="spellEnd"/>
      <w:r w:rsidRPr="008D646B">
        <w:rPr>
          <w:rFonts w:ascii="Times New Roman" w:hAnsi="Times New Roman" w:cs="Times New Roman"/>
          <w:sz w:val="24"/>
          <w:szCs w:val="24"/>
        </w:rPr>
        <w:t xml:space="preserve"> Scale (FIES), el </w:t>
      </w:r>
      <w:proofErr w:type="spellStart"/>
      <w:r w:rsidRPr="008D646B">
        <w:rPr>
          <w:rFonts w:ascii="Times New Roman" w:hAnsi="Times New Roman" w:cs="Times New Roman"/>
          <w:sz w:val="24"/>
          <w:szCs w:val="24"/>
        </w:rPr>
        <w:t>Household</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Food</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Insecurity</w:t>
      </w:r>
      <w:proofErr w:type="spellEnd"/>
      <w:r w:rsidRPr="008D646B">
        <w:rPr>
          <w:rFonts w:ascii="Times New Roman" w:hAnsi="Times New Roman" w:cs="Times New Roman"/>
          <w:sz w:val="24"/>
          <w:szCs w:val="24"/>
        </w:rPr>
        <w:t xml:space="preserve"> Access Scale (HFIAS) o preguntas directas sobre percepción de inseguridad alimentaria; y, como indicadores más distales, disponibilidad de alimentos (cambios en producción agrícola, flujos comerciales y transporte), accesibilidad a mercados y asequibilidad de alimentos, esta última evaluada a través de la reducción del ingreso del hogar y el aumento de precios de mercado, sin que el estudio calculara un índice de costo de dieta propio. Todas las referencias se importaron a Mendeley para eliminar duplicados, el cribado de título y resumen se realizó en Rayyan, y los reportes potencialmente elegibles se evaluaron a texto completo. La calidad de los estudios incluidos se evaluó con las grillas para estudios observacionales propuestas por el Joanna Briggs </w:t>
      </w:r>
      <w:proofErr w:type="spellStart"/>
      <w:r w:rsidRPr="008D646B">
        <w:rPr>
          <w:rFonts w:ascii="Times New Roman" w:hAnsi="Times New Roman" w:cs="Times New Roman"/>
          <w:sz w:val="24"/>
          <w:szCs w:val="24"/>
        </w:rPr>
        <w:t>Institute</w:t>
      </w:r>
      <w:proofErr w:type="spellEnd"/>
      <w:r w:rsidRPr="008D646B">
        <w:rPr>
          <w:rFonts w:ascii="Times New Roman" w:hAnsi="Times New Roman" w:cs="Times New Roman"/>
          <w:sz w:val="24"/>
          <w:szCs w:val="24"/>
        </w:rPr>
        <w:t>, sin generar un puntaje de calidad global. La extracción de datos incluyó referencia y autoría del estudio, verificación de elegibilidad, características del estudio, métodos, participantes, intervenciones y medidas de resultado; la selección de estudios, evaluación de calidad y extracción de datos fueron realizadas por una investigadora, con verificación independiente de una submuestra por un segundo investigador, resolviendo discrepancias por consenso. No se realizó meta-análisis debido a la amplia heterogeneidad de diseños de estudio y de los desenlaces reportados entre los estudios primarios incluidos.</w:t>
      </w:r>
    </w:p>
    <w:p w14:paraId="70D03D2D" w14:textId="77777777" w:rsidR="0039078B" w:rsidRPr="008D646B" w:rsidRDefault="0039078B" w:rsidP="008D646B">
      <w:pPr>
        <w:jc w:val="both"/>
        <w:rPr>
          <w:rStyle w:val="Fuerte"/>
          <w:rFonts w:ascii="Times New Roman" w:hAnsi="Times New Roman" w:cs="Times New Roman"/>
          <w:sz w:val="24"/>
          <w:szCs w:val="24"/>
        </w:rPr>
      </w:pPr>
      <w:r w:rsidRPr="008D646B">
        <w:rPr>
          <w:rStyle w:val="Fuerte"/>
          <w:rFonts w:ascii="Times New Roman" w:hAnsi="Times New Roman" w:cs="Times New Roman"/>
          <w:sz w:val="24"/>
          <w:szCs w:val="24"/>
        </w:rPr>
        <w:t>Resultados</w:t>
      </w:r>
    </w:p>
    <w:p w14:paraId="66FFDF05" w14:textId="4976BC0A" w:rsidR="00265E4D" w:rsidRPr="008D646B" w:rsidRDefault="0039078B" w:rsidP="008D646B">
      <w:pPr>
        <w:jc w:val="both"/>
        <w:rPr>
          <w:rFonts w:ascii="Times New Roman" w:eastAsia="Times New Roman" w:hAnsi="Times New Roman" w:cs="Times New Roman"/>
          <w:b/>
          <w:bCs/>
          <w:sz w:val="24"/>
          <w:szCs w:val="24"/>
        </w:rPr>
      </w:pPr>
      <w:r w:rsidRPr="008D646B">
        <w:rPr>
          <w:rFonts w:ascii="Times New Roman" w:hAnsi="Times New Roman" w:cs="Times New Roman"/>
          <w:sz w:val="24"/>
          <w:szCs w:val="24"/>
        </w:rPr>
        <w:lastRenderedPageBreak/>
        <w:t xml:space="preserve">De las 2,085 referencias identificadas en las tres rondas de búsqueda (agosto 2020, con 1,079 registros revisados por pares y 139 de literatura gris; noviembre 2020, con 308 y 48 respectivamente; enero 2021, con 508 y 29 respectivamente), se incluyeron 35 estudios primarios, de los cuales 10 fueron revisados por pares y 25 provinieron de literatura gris, cubriendo Bangladesh, Costa de Marfil, Etiopía (15 reportes, incluyendo 6 rondas de la encuesta telefónica de alta frecuencia del Banco Mundial), India, Kenia, México, Nepal, Nigeria (7 reportes, incluyendo 6 rondas de la misma encuesta del Banco Mundial), Senegal, Sudáfrica, Uganda, Vanuatu y Zambia. La mayoría de los estudios fueron encuestas telefónicas longitudinales (7 estudios) o transversales (13 estudios), seguidas de series de tiempo interrumpidas (1 estudio), evaluaciones cualitativas exploratorias telefónicas (2 estudios) y transversales repetidas (3 estudios); la mayoría se calificó como de baja calidad metodológica, excepto el estudio de series de tiempo interrumpidas en Bangladesh, calificado como de alta calidad. No se encontró ningún estudio que reportara indicadores de estado nutricional (IMC, emaciación o retraso en talla infantil). Siete estudios reportaron indicadores de calidad de dieta: en Addis Abeba, el HDDS agregado se deterioró en las primeras etapas de la pandemia (de 9.3 en enero-febrero de 2020 a 8.5 en mayo-junio de 2020), retornando a niveles </w:t>
      </w:r>
      <w:proofErr w:type="spellStart"/>
      <w:r w:rsidRPr="008D646B">
        <w:rPr>
          <w:rFonts w:ascii="Times New Roman" w:hAnsi="Times New Roman" w:cs="Times New Roman"/>
          <w:sz w:val="24"/>
          <w:szCs w:val="24"/>
        </w:rPr>
        <w:t>pre-pandemia</w:t>
      </w:r>
      <w:proofErr w:type="spellEnd"/>
      <w:r w:rsidRPr="008D646B">
        <w:rPr>
          <w:rFonts w:ascii="Times New Roman" w:hAnsi="Times New Roman" w:cs="Times New Roman"/>
          <w:sz w:val="24"/>
          <w:szCs w:val="24"/>
        </w:rPr>
        <w:t xml:space="preserve"> en agosto de 2020 (9.4) conforme se levantaron las restricciones; sin embargo, todos los estudios que evaluaron composición de la dieta coincidieron en un desplazamiento desde fuentes de calorías relativamente más costosas (legumbres, nueces, alimentos de origen animal) hacia fuentes más baratas (alimentos básicos/</w:t>
      </w:r>
      <w:proofErr w:type="spellStart"/>
      <w:r w:rsidRPr="008D646B">
        <w:rPr>
          <w:rFonts w:ascii="Times New Roman" w:hAnsi="Times New Roman" w:cs="Times New Roman"/>
          <w:sz w:val="24"/>
          <w:szCs w:val="24"/>
        </w:rPr>
        <w:t>staples</w:t>
      </w:r>
      <w:proofErr w:type="spellEnd"/>
      <w:r w:rsidRPr="008D646B">
        <w:rPr>
          <w:rFonts w:ascii="Times New Roman" w:hAnsi="Times New Roman" w:cs="Times New Roman"/>
          <w:sz w:val="24"/>
          <w:szCs w:val="24"/>
        </w:rPr>
        <w:t xml:space="preserve">). En India, el 62% de los hogares agrícolas encuestados reportó cambios en su dieta atribuidos a COVID-19, con 17% reportando caída en su capacidad de conseguir alimentos básicos, y caídas de aproximadamente 50% y 25% en el consumo de fruta y alimentos de origen animal (distintos de lácteos) y legumbres, respectivamente; las mujeres agricultoras reportaron reducciones significativamente mayores que los hombres en el consumo de verduras, fruta y lácteos. Once estudios evaluaron seguridad alimentaria: los indicadores de inseguridad alimentaria empeoraron sistemáticamente cuando existían datos previos a la pandemia, con incrementos documentados como los de Nigeria (de 51% en julio-agosto de 2018 a 77% y 68% en junio y agosto de 2020, según FIES), Kenia (de 50% a 88% en abril de 2020), Uganda (de 43% a 87%), México (de 31% en 2018 a 42% en mayo de 2020, según ELCSA) y Bangladesh (de 6% en 2017-2019 a 36% en mayo-junio de 2020, según HFIAS). El impacto de la inseguridad alimentaria fue diferenciado según grupos demográficos, siendo mayor entre hogares encabezados por mujeres, familias más pobres, adultos jóvenes y trabajadores informales. Cinco estudios evaluaron accesibilidad a alimentos, encontrando afectación negativa desde el inicio de la pandemia, con mayor impacto entre hogares de menores ingresos; en Bangladesh, 45.3% y 61.0% de los hogares encuestados en septiembre de 2020 reportaron no poder acceder a la misma cantidad o tipo de alimentos que antes de la pandemia, respectivamente. Siete estudios reportaron información sobre disponibilidad de alimentos, sugiriendo que las cadenas de valor más cortas y las fincas de pequeños productores tradicionales fueron algo más resilientes frente a la pandemia. Sobre asequibilidad, el estudio realizado en India (estados de </w:t>
      </w:r>
      <w:proofErr w:type="spellStart"/>
      <w:r w:rsidRPr="008D646B">
        <w:rPr>
          <w:rFonts w:ascii="Times New Roman" w:hAnsi="Times New Roman" w:cs="Times New Roman"/>
          <w:sz w:val="24"/>
          <w:szCs w:val="24"/>
        </w:rPr>
        <w:t>Haryana</w:t>
      </w:r>
      <w:proofErr w:type="spellEnd"/>
      <w:r w:rsidRPr="008D646B">
        <w:rPr>
          <w:rFonts w:ascii="Times New Roman" w:hAnsi="Times New Roman" w:cs="Times New Roman"/>
          <w:sz w:val="24"/>
          <w:szCs w:val="24"/>
        </w:rPr>
        <w:t xml:space="preserve"> y </w:t>
      </w:r>
      <w:proofErr w:type="spellStart"/>
      <w:r w:rsidRPr="008D646B">
        <w:rPr>
          <w:rFonts w:ascii="Times New Roman" w:hAnsi="Times New Roman" w:cs="Times New Roman"/>
          <w:sz w:val="24"/>
          <w:szCs w:val="24"/>
        </w:rPr>
        <w:t>Odisha</w:t>
      </w:r>
      <w:proofErr w:type="spellEnd"/>
      <w:r w:rsidRPr="008D646B">
        <w:rPr>
          <w:rFonts w:ascii="Times New Roman" w:hAnsi="Times New Roman" w:cs="Times New Roman"/>
          <w:sz w:val="24"/>
          <w:szCs w:val="24"/>
        </w:rPr>
        <w:t xml:space="preserve">) preguntó directamente a agricultores sobre asequibilidad desde el inicio del confinamiento, </w:t>
      </w:r>
      <w:r w:rsidRPr="008D646B">
        <w:rPr>
          <w:rFonts w:ascii="Times New Roman" w:hAnsi="Times New Roman" w:cs="Times New Roman"/>
          <w:sz w:val="24"/>
          <w:szCs w:val="24"/>
        </w:rPr>
        <w:lastRenderedPageBreak/>
        <w:t xml:space="preserve">encontrando grandes diferencias entre el estado más rico de </w:t>
      </w:r>
      <w:proofErr w:type="spellStart"/>
      <w:r w:rsidRPr="008D646B">
        <w:rPr>
          <w:rFonts w:ascii="Times New Roman" w:hAnsi="Times New Roman" w:cs="Times New Roman"/>
          <w:sz w:val="24"/>
          <w:szCs w:val="24"/>
        </w:rPr>
        <w:t>Haryana</w:t>
      </w:r>
      <w:proofErr w:type="spellEnd"/>
      <w:r w:rsidRPr="008D646B">
        <w:rPr>
          <w:rFonts w:ascii="Times New Roman" w:hAnsi="Times New Roman" w:cs="Times New Roman"/>
          <w:sz w:val="24"/>
          <w:szCs w:val="24"/>
        </w:rPr>
        <w:t xml:space="preserve"> (donde solo 5% reportó dificultades para costear una variedad suficiente de alimentos tras el confinamiento) y el estado más pobre de </w:t>
      </w:r>
      <w:proofErr w:type="spellStart"/>
      <w:r w:rsidRPr="008D646B">
        <w:rPr>
          <w:rFonts w:ascii="Times New Roman" w:hAnsi="Times New Roman" w:cs="Times New Roman"/>
          <w:sz w:val="24"/>
          <w:szCs w:val="24"/>
        </w:rPr>
        <w:t>Odisha</w:t>
      </w:r>
      <w:proofErr w:type="spellEnd"/>
      <w:r w:rsidRPr="008D646B">
        <w:rPr>
          <w:rFonts w:ascii="Times New Roman" w:hAnsi="Times New Roman" w:cs="Times New Roman"/>
          <w:sz w:val="24"/>
          <w:szCs w:val="24"/>
        </w:rPr>
        <w:t xml:space="preserve"> (donde la </w:t>
      </w:r>
      <w:proofErr w:type="spellStart"/>
      <w:r w:rsidRPr="008D646B">
        <w:rPr>
          <w:rFonts w:ascii="Times New Roman" w:hAnsi="Times New Roman" w:cs="Times New Roman"/>
          <w:sz w:val="24"/>
          <w:szCs w:val="24"/>
        </w:rPr>
        <w:t>inasequibilidad</w:t>
      </w:r>
      <w:proofErr w:type="spellEnd"/>
      <w:r w:rsidRPr="008D646B">
        <w:rPr>
          <w:rFonts w:ascii="Times New Roman" w:hAnsi="Times New Roman" w:cs="Times New Roman"/>
          <w:sz w:val="24"/>
          <w:szCs w:val="24"/>
        </w:rPr>
        <w:t xml:space="preserve"> de base ya era alta, cerca de 90%, sin diferencia significativa antes y después del confinamiento). Sobre reducción de ingresos, 22 estudios coincidieron en que el efecto directo principal de la pandemia fue a través del empleo y el ingreso: entre 58% y 80% de los encuestados en Etiopía, Nigeria, Kenia, Uganda, Sudáfrica y Senegal reportaron una caída de ingresos respecto al periodo </w:t>
      </w:r>
      <w:proofErr w:type="spellStart"/>
      <w:r w:rsidRPr="008D646B">
        <w:rPr>
          <w:rFonts w:ascii="Times New Roman" w:hAnsi="Times New Roman" w:cs="Times New Roman"/>
          <w:sz w:val="24"/>
          <w:szCs w:val="24"/>
        </w:rPr>
        <w:t>pre-pandemia</w:t>
      </w:r>
      <w:proofErr w:type="spellEnd"/>
      <w:r w:rsidRPr="008D646B">
        <w:rPr>
          <w:rFonts w:ascii="Times New Roman" w:hAnsi="Times New Roman" w:cs="Times New Roman"/>
          <w:sz w:val="24"/>
          <w:szCs w:val="24"/>
        </w:rPr>
        <w:t>; en Bangladesh, el ingreso familiar mensual mediano cayó 72% (línea base de USD 212) entre las mujeres encuestadas. Sobre precios de alimentos, el panorama fue heterogéneo: en Nigeria, el índice de precios al consumidor de alimentos (CPI) aumentó 24% desde el inicio de la pandemia, con 90% de los hogares reportando incrementos de precios en abril-mayo de 2020 (frente a 85% a mediados de marzo); en Abiyán (Costa de Marfil), 61% de los encuestados reportó incrementos significativos de precios de alimentos; en Bangladesh, 94% de los hogares reportó incrementos de precios de alimentos atribuidos a COVID-19; en Etiopía, en cambio, el porcentaje de hogares que citó los precios altos como razón de incapacidad de compra cayó de aproximadamente 40% al inicio de la pandemia a menos de 10% para octubre de 2020.</w:t>
      </w:r>
    </w:p>
    <w:p w14:paraId="2E09AF89" w14:textId="77777777" w:rsidR="003C119C" w:rsidRPr="008D646B" w:rsidRDefault="00A972BD" w:rsidP="008D646B">
      <w:pPr>
        <w:pStyle w:val="Prrafodelista"/>
        <w:numPr>
          <w:ilvl w:val="0"/>
          <w:numId w:val="3"/>
        </w:numPr>
        <w:jc w:val="both"/>
        <w:rPr>
          <w:rFonts w:ascii="Times New Roman" w:eastAsia="Times New Roman" w:hAnsi="Times New Roman" w:cs="Times New Roman"/>
          <w:b/>
          <w:bCs/>
          <w:sz w:val="24"/>
          <w:szCs w:val="24"/>
        </w:rPr>
      </w:pPr>
      <w:proofErr w:type="spellStart"/>
      <w:r w:rsidRPr="008D646B">
        <w:rPr>
          <w:rFonts w:ascii="Times New Roman" w:eastAsia="Times New Roman" w:hAnsi="Times New Roman" w:cs="Times New Roman"/>
          <w:b/>
          <w:bCs/>
          <w:sz w:val="24"/>
          <w:szCs w:val="24"/>
        </w:rPr>
        <w:t>Alioma</w:t>
      </w:r>
      <w:proofErr w:type="spellEnd"/>
      <w:r w:rsidRPr="008D646B">
        <w:rPr>
          <w:rFonts w:ascii="Times New Roman" w:eastAsia="Times New Roman" w:hAnsi="Times New Roman" w:cs="Times New Roman"/>
          <w:b/>
          <w:bCs/>
          <w:sz w:val="24"/>
          <w:szCs w:val="24"/>
        </w:rPr>
        <w:t xml:space="preserve"> et al., (2022)</w:t>
      </w:r>
    </w:p>
    <w:p w14:paraId="334DFDDB" w14:textId="77777777" w:rsidR="003C119C" w:rsidRPr="008D646B" w:rsidRDefault="003C119C" w:rsidP="008D646B">
      <w:pPr>
        <w:jc w:val="both"/>
        <w:rPr>
          <w:rStyle w:val="Fuerte"/>
          <w:rFonts w:ascii="Times New Roman" w:hAnsi="Times New Roman" w:cs="Times New Roman"/>
          <w:sz w:val="24"/>
          <w:szCs w:val="24"/>
        </w:rPr>
      </w:pPr>
      <w:r w:rsidRPr="008D646B">
        <w:rPr>
          <w:rStyle w:val="Fuerte"/>
          <w:rFonts w:ascii="Times New Roman" w:hAnsi="Times New Roman" w:cs="Times New Roman"/>
          <w:sz w:val="24"/>
          <w:szCs w:val="24"/>
        </w:rPr>
        <w:t>Objetivo</w:t>
      </w:r>
    </w:p>
    <w:p w14:paraId="33C4A079" w14:textId="77777777" w:rsidR="003C119C" w:rsidRPr="008D646B" w:rsidRDefault="003C119C" w:rsidP="008D646B">
      <w:pPr>
        <w:jc w:val="both"/>
        <w:rPr>
          <w:rFonts w:ascii="Times New Roman" w:hAnsi="Times New Roman" w:cs="Times New Roman"/>
          <w:sz w:val="24"/>
          <w:szCs w:val="24"/>
        </w:rPr>
      </w:pPr>
      <w:r w:rsidRPr="008D646B">
        <w:rPr>
          <w:rFonts w:ascii="Times New Roman" w:hAnsi="Times New Roman" w:cs="Times New Roman"/>
          <w:sz w:val="24"/>
          <w:szCs w:val="24"/>
        </w:rPr>
        <w:t>Estimar las tendencias de largo plazo en los precios y en la volatilidad de los alimentos densos en micronutrientes y de los alimentos básicos ricos en almidón (</w:t>
      </w:r>
      <w:proofErr w:type="spellStart"/>
      <w:r w:rsidRPr="008D646B">
        <w:rPr>
          <w:rFonts w:ascii="Times New Roman" w:hAnsi="Times New Roman" w:cs="Times New Roman"/>
          <w:sz w:val="24"/>
          <w:szCs w:val="24"/>
        </w:rPr>
        <w:t>starchy</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staples</w:t>
      </w:r>
      <w:proofErr w:type="spellEnd"/>
      <w:r w:rsidRPr="008D646B">
        <w:rPr>
          <w:rFonts w:ascii="Times New Roman" w:hAnsi="Times New Roman" w:cs="Times New Roman"/>
          <w:sz w:val="24"/>
          <w:szCs w:val="24"/>
        </w:rPr>
        <w:t xml:space="preserve">), e identificar los factores que han sostenido el crecimiento de los precios de los productos alimentarios en países en desarrollo, es el objetivo de </w:t>
      </w:r>
      <w:proofErr w:type="spellStart"/>
      <w:r w:rsidRPr="008D646B">
        <w:rPr>
          <w:rFonts w:ascii="Times New Roman" w:hAnsi="Times New Roman" w:cs="Times New Roman"/>
          <w:sz w:val="24"/>
          <w:szCs w:val="24"/>
        </w:rPr>
        <w:t>Alioma</w:t>
      </w:r>
      <w:proofErr w:type="spellEnd"/>
      <w:r w:rsidRPr="008D646B">
        <w:rPr>
          <w:rFonts w:ascii="Times New Roman" w:hAnsi="Times New Roman" w:cs="Times New Roman"/>
          <w:sz w:val="24"/>
          <w:szCs w:val="24"/>
        </w:rPr>
        <w:t>, Zeller y Ling (2022), respondiendo específicamente a la pregunta de si los precios de los alimentos densos en micronutrientes crecen más rápido que los de los alimentos básicos ricos en almidón, y si el ingreso puede explicar la variación en los precios relativos de los alimentos densos en micronutrientes.</w:t>
      </w:r>
    </w:p>
    <w:p w14:paraId="2923A2D3" w14:textId="77777777" w:rsidR="003C119C" w:rsidRPr="008D646B" w:rsidRDefault="003C119C" w:rsidP="008D646B">
      <w:pPr>
        <w:jc w:val="both"/>
        <w:rPr>
          <w:rStyle w:val="Fuerte"/>
          <w:rFonts w:ascii="Times New Roman" w:hAnsi="Times New Roman" w:cs="Times New Roman"/>
          <w:sz w:val="24"/>
          <w:szCs w:val="24"/>
        </w:rPr>
      </w:pPr>
      <w:r w:rsidRPr="008D646B">
        <w:rPr>
          <w:rStyle w:val="Fuerte"/>
          <w:rFonts w:ascii="Times New Roman" w:hAnsi="Times New Roman" w:cs="Times New Roman"/>
          <w:sz w:val="24"/>
          <w:szCs w:val="24"/>
        </w:rPr>
        <w:t>Metodología</w:t>
      </w:r>
    </w:p>
    <w:p w14:paraId="072BB6B4" w14:textId="77777777" w:rsidR="003C119C" w:rsidRPr="008D646B" w:rsidRDefault="003C119C" w:rsidP="008D646B">
      <w:pPr>
        <w:jc w:val="both"/>
        <w:rPr>
          <w:rFonts w:ascii="Times New Roman" w:hAnsi="Times New Roman" w:cs="Times New Roman"/>
          <w:sz w:val="24"/>
          <w:szCs w:val="24"/>
        </w:rPr>
      </w:pPr>
      <w:r w:rsidRPr="008D646B">
        <w:rPr>
          <w:rFonts w:ascii="Times New Roman" w:hAnsi="Times New Roman" w:cs="Times New Roman"/>
          <w:sz w:val="24"/>
          <w:szCs w:val="24"/>
        </w:rPr>
        <w:t xml:space="preserve">Este estudio no calcula el costo de una dieta ni aplica ninguna métrica de tipo </w:t>
      </w:r>
      <w:proofErr w:type="spellStart"/>
      <w:r w:rsidRPr="008D646B">
        <w:rPr>
          <w:rFonts w:ascii="Times New Roman" w:hAnsi="Times New Roman" w:cs="Times New Roman"/>
          <w:sz w:val="24"/>
          <w:szCs w:val="24"/>
        </w:rPr>
        <w:t>CoRD</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CoNA</w:t>
      </w:r>
      <w:proofErr w:type="spellEnd"/>
      <w:r w:rsidRPr="008D646B">
        <w:rPr>
          <w:rFonts w:ascii="Times New Roman" w:hAnsi="Times New Roman" w:cs="Times New Roman"/>
          <w:sz w:val="24"/>
          <w:szCs w:val="24"/>
        </w:rPr>
        <w:t xml:space="preserve"> o CoCA; es un análisis econométrico de series de tiempo sobre precios de alimentos por categoría, no un costeo de canasta dietética. Los autores modificaron la categorización de alimentos de </w:t>
      </w:r>
      <w:proofErr w:type="spellStart"/>
      <w:r w:rsidRPr="008D646B">
        <w:rPr>
          <w:rFonts w:ascii="Times New Roman" w:hAnsi="Times New Roman" w:cs="Times New Roman"/>
          <w:sz w:val="24"/>
          <w:szCs w:val="24"/>
        </w:rPr>
        <w:t>Headey</w:t>
      </w:r>
      <w:proofErr w:type="spellEnd"/>
      <w:r w:rsidRPr="008D646B">
        <w:rPr>
          <w:rFonts w:ascii="Times New Roman" w:hAnsi="Times New Roman" w:cs="Times New Roman"/>
          <w:sz w:val="24"/>
          <w:szCs w:val="24"/>
        </w:rPr>
        <w:t xml:space="preserve"> y Alderman (2019) en dos grupos: alimentos básicos ricos en almidón (</w:t>
      </w:r>
      <w:proofErr w:type="spellStart"/>
      <w:r w:rsidRPr="008D646B">
        <w:rPr>
          <w:rFonts w:ascii="Times New Roman" w:hAnsi="Times New Roman" w:cs="Times New Roman"/>
          <w:sz w:val="24"/>
          <w:szCs w:val="24"/>
        </w:rPr>
        <w:t>starchy</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staples</w:t>
      </w:r>
      <w:proofErr w:type="spellEnd"/>
      <w:r w:rsidRPr="008D646B">
        <w:rPr>
          <w:rFonts w:ascii="Times New Roman" w:hAnsi="Times New Roman" w:cs="Times New Roman"/>
          <w:sz w:val="24"/>
          <w:szCs w:val="24"/>
        </w:rPr>
        <w:t>), que incluyen cereales y tubérculos densos en calorías pero generalmente bajos en micronutrientes y proteína de calidad; y alimentos densos en micronutrientes (</w:t>
      </w:r>
      <w:proofErr w:type="spellStart"/>
      <w:r w:rsidRPr="008D646B">
        <w:rPr>
          <w:rFonts w:ascii="Times New Roman" w:hAnsi="Times New Roman" w:cs="Times New Roman"/>
          <w:sz w:val="24"/>
          <w:szCs w:val="24"/>
        </w:rPr>
        <w:t>micronutrient</w:t>
      </w:r>
      <w:proofErr w:type="spellEnd"/>
      <w:r w:rsidRPr="008D646B">
        <w:rPr>
          <w:rFonts w:ascii="Times New Roman" w:hAnsi="Times New Roman" w:cs="Times New Roman"/>
          <w:sz w:val="24"/>
          <w:szCs w:val="24"/>
        </w:rPr>
        <w:t xml:space="preserve">-dense </w:t>
      </w:r>
      <w:proofErr w:type="spellStart"/>
      <w:r w:rsidRPr="008D646B">
        <w:rPr>
          <w:rFonts w:ascii="Times New Roman" w:hAnsi="Times New Roman" w:cs="Times New Roman"/>
          <w:sz w:val="24"/>
          <w:szCs w:val="24"/>
        </w:rPr>
        <w:t>foods</w:t>
      </w:r>
      <w:proofErr w:type="spellEnd"/>
      <w:r w:rsidRPr="008D646B">
        <w:rPr>
          <w:rFonts w:ascii="Times New Roman" w:hAnsi="Times New Roman" w:cs="Times New Roman"/>
          <w:sz w:val="24"/>
          <w:szCs w:val="24"/>
        </w:rPr>
        <w:t xml:space="preserve">), que incluyen alimentos de origen vegetal y animal, aunque por falta de datos de precios de largo plazo se excluyeron la mayoría de vegetales y frutas ricos en vitaminas y minerales, dejando principalmente legumbres, nueces y alimentos de origen animal (ricos en proteína de alta calidad, hierro biodisponible, colina y vitamina B-12). Los datos de precios provienen de tres fuentes: el FMI (precios internacionales nominales mensuales de exportación, enero 1980 a mayo 2020, para trigo, arroz, maíz, pollo, cerdo, pescado y res); el sistema FAO-GIEWS (precios nominales y reales mensuales, específicos por país, para 90 países, con los precios reales ya deflactados por el índice de precios al consumidor de cada país); y el Banco Mundial (PIB per cápita en paridad de poder </w:t>
      </w:r>
      <w:r w:rsidRPr="008D646B">
        <w:rPr>
          <w:rFonts w:ascii="Times New Roman" w:hAnsi="Times New Roman" w:cs="Times New Roman"/>
          <w:sz w:val="24"/>
          <w:szCs w:val="24"/>
        </w:rPr>
        <w:lastRenderedPageBreak/>
        <w:t xml:space="preserve">adquisitivo, precios reales del diésel por litro y tasas de interés bancarias promedio). Tras aplicar criterios de exclusión (países con series menores a 10 años, países con datos de precios de alimentos densos en micronutrientes solo a nivel mayorista en lugar de minorista, y países de ingreso alto), quedó una muestra final de 23 países en desarrollo, que representan el 24% de la población mundial en 2018. Es explícito que el análisis se hizo con los precios reales (deflactados por el IPC), no con los precios nominales; para los precios internacionales del FMI, que son nominales por defecto, los autores mismos los deflactaron usando el índice de precios al consumidor del Departamento de Trabajo de Estados Unidos para obtener precios reales internacionales. Para estimar el crecimiento de precios, se construyó primero un índice de precios tipo Laspeyres para cada uno de los dos grupos de alimentos en cada país, usando como referencia los precios del primer mes de la serie (mes base = 100) y ponderando cada alimento dentro de su grupo según su participación en el suministro energético per cápita del país (datos de la hoja de balance alimentario de FAOSTAT para 2017), de modo que el índice refleja la contribución de cada alimento al precio del grupo en función de cuánto aporta al suministro de energía. Sobre esa base, el crecimiento porcentual mensual de precios se calculó de dos formas complementarias: como el promedio aritmético simple de las variaciones porcentuales mensuales del índice de Laspeyres (siguiendo a Wiggins et al. 2015), y mediante un modelo autorregresivo con variable de tendencia, controlando por una ruptura estructural en 2008 y por efectos estacionales mediante variables </w:t>
      </w:r>
      <w:proofErr w:type="spellStart"/>
      <w:r w:rsidRPr="008D646B">
        <w:rPr>
          <w:rFonts w:ascii="Times New Roman" w:hAnsi="Times New Roman" w:cs="Times New Roman"/>
          <w:sz w:val="24"/>
          <w:szCs w:val="24"/>
        </w:rPr>
        <w:t>dummy</w:t>
      </w:r>
      <w:proofErr w:type="spellEnd"/>
      <w:r w:rsidRPr="008D646B">
        <w:rPr>
          <w:rFonts w:ascii="Times New Roman" w:hAnsi="Times New Roman" w:cs="Times New Roman"/>
          <w:sz w:val="24"/>
          <w:szCs w:val="24"/>
        </w:rPr>
        <w:t xml:space="preserve">, con un rezago determinado por el criterio de información de Akaike; el coeficiente de tendencia de este modelo autorregresivo es la medida principal de crecimiento de precios reportada. Para la volatilidad, se usó la desviación estándar de los "retornos", definidos como el cambio en el logaritmo de los precios mensuales de cada alimento, complementado con un modelo GARCH(1,1) que permite que la varianza de los retornos cambie en el tiempo en función de residuos rezagados al cuadrado y de la varianza rezagada. Finalmente, para explorar el papel del ingreso sobre los precios relativos de los alimentos densos en micronutrientes (definidos como la razón entre el índice de precios de alimentos densos en micronutrientes y el de alimentos básicos), se estimó un modelo panel de rezagos distribuidos autorregresivos (panel ARDL) en su versión de corrección de errores, con el ingreso (PIB per cápita en paridad de poder adquisitivo), las tasas de interés y los precios del combustible como variables independientes, usando los estimadores </w:t>
      </w:r>
      <w:proofErr w:type="spellStart"/>
      <w:r w:rsidRPr="008D646B">
        <w:rPr>
          <w:rFonts w:ascii="Times New Roman" w:hAnsi="Times New Roman" w:cs="Times New Roman"/>
          <w:sz w:val="24"/>
          <w:szCs w:val="24"/>
        </w:rPr>
        <w:t>pooled</w:t>
      </w:r>
      <w:proofErr w:type="spellEnd"/>
      <w:r w:rsidRPr="008D646B">
        <w:rPr>
          <w:rFonts w:ascii="Times New Roman" w:hAnsi="Times New Roman" w:cs="Times New Roman"/>
          <w:sz w:val="24"/>
          <w:szCs w:val="24"/>
        </w:rPr>
        <w:t xml:space="preserve"> mean </w:t>
      </w:r>
      <w:proofErr w:type="spellStart"/>
      <w:r w:rsidRPr="008D646B">
        <w:rPr>
          <w:rFonts w:ascii="Times New Roman" w:hAnsi="Times New Roman" w:cs="Times New Roman"/>
          <w:sz w:val="24"/>
          <w:szCs w:val="24"/>
        </w:rPr>
        <w:t>group</w:t>
      </w:r>
      <w:proofErr w:type="spellEnd"/>
      <w:r w:rsidRPr="008D646B">
        <w:rPr>
          <w:rFonts w:ascii="Times New Roman" w:hAnsi="Times New Roman" w:cs="Times New Roman"/>
          <w:sz w:val="24"/>
          <w:szCs w:val="24"/>
        </w:rPr>
        <w:t xml:space="preserve"> (PMG) y </w:t>
      </w:r>
      <w:proofErr w:type="spellStart"/>
      <w:r w:rsidRPr="008D646B">
        <w:rPr>
          <w:rFonts w:ascii="Times New Roman" w:hAnsi="Times New Roman" w:cs="Times New Roman"/>
          <w:sz w:val="24"/>
          <w:szCs w:val="24"/>
        </w:rPr>
        <w:t>dynamic</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fixed</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estimator</w:t>
      </w:r>
      <w:proofErr w:type="spellEnd"/>
      <w:r w:rsidRPr="008D646B">
        <w:rPr>
          <w:rFonts w:ascii="Times New Roman" w:hAnsi="Times New Roman" w:cs="Times New Roman"/>
          <w:sz w:val="24"/>
          <w:szCs w:val="24"/>
        </w:rPr>
        <w:t xml:space="preserve"> (DFE); se verificó previamente la dependencia de sección cruzada con la prueba de </w:t>
      </w:r>
      <w:proofErr w:type="spellStart"/>
      <w:r w:rsidRPr="008D646B">
        <w:rPr>
          <w:rFonts w:ascii="Times New Roman" w:hAnsi="Times New Roman" w:cs="Times New Roman"/>
          <w:sz w:val="24"/>
          <w:szCs w:val="24"/>
        </w:rPr>
        <w:t>Breusch</w:t>
      </w:r>
      <w:proofErr w:type="spellEnd"/>
      <w:r w:rsidRPr="008D646B">
        <w:rPr>
          <w:rFonts w:ascii="Times New Roman" w:hAnsi="Times New Roman" w:cs="Times New Roman"/>
          <w:sz w:val="24"/>
          <w:szCs w:val="24"/>
        </w:rPr>
        <w:t>-Pagan y se aplicaron pruebas de raíz unitaria (Dickey-Fuller aumentada) para evaluar la estacionariedad de las series.</w:t>
      </w:r>
    </w:p>
    <w:p w14:paraId="575B5761" w14:textId="77777777" w:rsidR="003C119C" w:rsidRPr="008D646B" w:rsidRDefault="003C119C" w:rsidP="008D646B">
      <w:pPr>
        <w:jc w:val="both"/>
        <w:rPr>
          <w:rStyle w:val="Fuerte"/>
          <w:rFonts w:ascii="Times New Roman" w:hAnsi="Times New Roman" w:cs="Times New Roman"/>
          <w:sz w:val="24"/>
          <w:szCs w:val="24"/>
        </w:rPr>
      </w:pPr>
      <w:r w:rsidRPr="008D646B">
        <w:rPr>
          <w:rStyle w:val="Fuerte"/>
          <w:rFonts w:ascii="Times New Roman" w:hAnsi="Times New Roman" w:cs="Times New Roman"/>
          <w:sz w:val="24"/>
          <w:szCs w:val="24"/>
        </w:rPr>
        <w:t>Resultados</w:t>
      </w:r>
    </w:p>
    <w:p w14:paraId="45E7052E" w14:textId="1AE53613" w:rsidR="00265E4D" w:rsidRPr="008D646B" w:rsidRDefault="003C119C" w:rsidP="008D646B">
      <w:pPr>
        <w:jc w:val="both"/>
        <w:rPr>
          <w:rFonts w:ascii="Times New Roman" w:eastAsia="Times New Roman" w:hAnsi="Times New Roman" w:cs="Times New Roman"/>
          <w:b/>
          <w:bCs/>
          <w:sz w:val="24"/>
          <w:szCs w:val="24"/>
        </w:rPr>
      </w:pPr>
      <w:r w:rsidRPr="008D646B">
        <w:rPr>
          <w:rFonts w:ascii="Times New Roman" w:hAnsi="Times New Roman" w:cs="Times New Roman"/>
          <w:sz w:val="24"/>
          <w:szCs w:val="24"/>
        </w:rPr>
        <w:t xml:space="preserve">En el mercado internacional, entre 1980 y 2020, los precios de los alimentos básicos ricos en almidón aumentaron 0.13% mensual, mientras que los precios de los alimentos densos en micronutrientes aumentaron 0.34% mensual, diferencia estadísticamente significativa al 5%. En los mercados domésticos de los países en desarrollo, la tendencia negativa en los precios relativos de los alimentos densos en micronutrientes (es decir, un crecimiento más rápido de estos frente a los alimentos básicos) fue significativa en ocho países, con una caída del precio relativo de entre 0.01% (Túnez) y 8% (Sudáfrica) mensual; en cambio, en Azerbaiyán, Costa </w:t>
      </w:r>
      <w:r w:rsidRPr="008D646B">
        <w:rPr>
          <w:rFonts w:ascii="Times New Roman" w:hAnsi="Times New Roman" w:cs="Times New Roman"/>
          <w:sz w:val="24"/>
          <w:szCs w:val="24"/>
        </w:rPr>
        <w:lastRenderedPageBreak/>
        <w:t>Rica, Kazajistán, Samoa y Tayikistán los alimentos básicos crecieron más rápido que los densos en micronutrientes, países concentrados mayormente en Asia central. Usando el promedio ponderado por población de 2018 de los 23 países, el precio de los alimentos densos en micronutrientes creció 0.03 puntos porcentuales mensuales más que el de los alimentos básicos, lo que compuesto durante 30 años se traduce en una brecha de 12%. En poco más de la mitad de los mercados de los países en desarrollo, los precios de los alimentos densos en micronutrientes crecieron más rápido que los precios internacionales de esos mismos alimentos. En cuanto a volatilidad, en el mercado internacional la volatilidad incondicional de los alimentos densos en micronutrientes fue de 0.031 frente a 0.028 de los alimentos básicos (diferencia con p=0.096); a nivel de países en desarrollo, la brecha de volatilidad entre ambos grupos fue estadísticamente significativa en República Dominicana, El Salvador, Mongolia, Nicaragua y Camerún, con mayor volatilidad generalmente en el grupo de alimentos densos en micronutrientes. Al comparar la volatilidad de los alimentos densos en micronutrientes entre mercados domésticos e internacionales, solo Uganda y Burundi mostraron varianzas domésticas significativamente más altas que las internacionales; en el resto de países, la varianza doméstica fue menor o igual a la internacional. Respecto al papel del ingreso, el modelo panel ARDL mostró una relación negativa y significativa entre el ingreso y el precio relativo de los alimentos densos en micronutrientes en el largo plazo: un aumento de 1% en el PIB per cápita en paridad de poder adquisitivo se asoció con una disminución de 19% en el precio relativo por año (coeficiente PMG de -0.190, significativo al 1%; el estimador DFE arrojó -0.076, significativo al 5%). Las tasas de interés también mostraron una relación negativa significativa con los precios relativos, con una magnitud de entre 0.7% y 16% según el método de estimación, mientras que en el corto plazo el ingreso no tuvo efecto significativo sobre los precios relativos, atribuido a la rigidez de la oferta; un aumento de 1% en los precios del combustible se asoció con un incremento de entre 0.3% y 6% anual en los precios relativos de los alimentos densos en micronutrientes.</w:t>
      </w:r>
    </w:p>
    <w:p w14:paraId="477F7C34" w14:textId="77777777" w:rsidR="00F57A53" w:rsidRPr="008D646B" w:rsidRDefault="00A972BD" w:rsidP="008D646B">
      <w:pPr>
        <w:pStyle w:val="Prrafodelista"/>
        <w:numPr>
          <w:ilvl w:val="0"/>
          <w:numId w:val="3"/>
        </w:numPr>
        <w:jc w:val="both"/>
        <w:rPr>
          <w:rFonts w:ascii="Times New Roman" w:eastAsia="Times New Roman" w:hAnsi="Times New Roman" w:cs="Times New Roman"/>
          <w:b/>
          <w:bCs/>
          <w:sz w:val="24"/>
          <w:szCs w:val="24"/>
        </w:rPr>
      </w:pPr>
      <w:r w:rsidRPr="008D646B">
        <w:rPr>
          <w:rFonts w:ascii="Times New Roman" w:eastAsia="Times New Roman" w:hAnsi="Times New Roman" w:cs="Times New Roman"/>
          <w:b/>
          <w:bCs/>
          <w:sz w:val="24"/>
          <w:szCs w:val="24"/>
        </w:rPr>
        <w:t xml:space="preserve">Lee et al., (2020) </w:t>
      </w:r>
    </w:p>
    <w:p w14:paraId="32C94B72" w14:textId="6A11CA01" w:rsidR="005E4BAB" w:rsidRPr="008D646B" w:rsidRDefault="00F82171" w:rsidP="008D646B">
      <w:pPr>
        <w:jc w:val="both"/>
        <w:rPr>
          <w:rStyle w:val="Fuerte"/>
          <w:rFonts w:ascii="Times New Roman" w:eastAsia="Times New Roman" w:hAnsi="Times New Roman" w:cs="Times New Roman"/>
          <w:sz w:val="24"/>
          <w:szCs w:val="24"/>
        </w:rPr>
      </w:pPr>
      <w:r w:rsidRPr="008D646B">
        <w:rPr>
          <w:rStyle w:val="Fuerte"/>
          <w:rFonts w:ascii="Times New Roman" w:hAnsi="Times New Roman" w:cs="Times New Roman"/>
          <w:sz w:val="24"/>
          <w:szCs w:val="24"/>
        </w:rPr>
        <w:t>Objetivo</w:t>
      </w:r>
    </w:p>
    <w:p w14:paraId="573A9AE0" w14:textId="77777777" w:rsidR="005E4BAB" w:rsidRPr="008D646B" w:rsidRDefault="00F82171" w:rsidP="008D646B">
      <w:pPr>
        <w:jc w:val="both"/>
        <w:rPr>
          <w:rFonts w:ascii="Times New Roman" w:hAnsi="Times New Roman" w:cs="Times New Roman"/>
          <w:sz w:val="24"/>
          <w:szCs w:val="24"/>
        </w:rPr>
      </w:pPr>
      <w:r w:rsidRPr="008D646B">
        <w:rPr>
          <w:rFonts w:ascii="Times New Roman" w:hAnsi="Times New Roman" w:cs="Times New Roman"/>
          <w:sz w:val="24"/>
          <w:szCs w:val="24"/>
        </w:rPr>
        <w:t xml:space="preserve">Evaluar y comparar, mediante la primera aplicación de los protocolos </w:t>
      </w:r>
      <w:proofErr w:type="spellStart"/>
      <w:r w:rsidRPr="008D646B">
        <w:rPr>
          <w:rFonts w:ascii="Times New Roman" w:hAnsi="Times New Roman" w:cs="Times New Roman"/>
          <w:sz w:val="24"/>
          <w:szCs w:val="24"/>
        </w:rPr>
        <w:t>Healthy</w:t>
      </w:r>
      <w:proofErr w:type="spellEnd"/>
      <w:r w:rsidRPr="008D646B">
        <w:rPr>
          <w:rFonts w:ascii="Times New Roman" w:hAnsi="Times New Roman" w:cs="Times New Roman"/>
          <w:sz w:val="24"/>
          <w:szCs w:val="24"/>
        </w:rPr>
        <w:t xml:space="preserve"> Diets ASAP (</w:t>
      </w:r>
      <w:proofErr w:type="spellStart"/>
      <w:r w:rsidRPr="008D646B">
        <w:rPr>
          <w:rFonts w:ascii="Times New Roman" w:hAnsi="Times New Roman" w:cs="Times New Roman"/>
          <w:sz w:val="24"/>
          <w:szCs w:val="24"/>
        </w:rPr>
        <w:t>Australian</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Standardised</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Affordability</w:t>
      </w:r>
      <w:proofErr w:type="spellEnd"/>
      <w:r w:rsidRPr="008D646B">
        <w:rPr>
          <w:rFonts w:ascii="Times New Roman" w:hAnsi="Times New Roman" w:cs="Times New Roman"/>
          <w:sz w:val="24"/>
          <w:szCs w:val="24"/>
        </w:rPr>
        <w:t xml:space="preserve"> and </w:t>
      </w:r>
      <w:proofErr w:type="spellStart"/>
      <w:r w:rsidRPr="008D646B">
        <w:rPr>
          <w:rFonts w:ascii="Times New Roman" w:hAnsi="Times New Roman" w:cs="Times New Roman"/>
          <w:sz w:val="24"/>
          <w:szCs w:val="24"/>
        </w:rPr>
        <w:t>Pricing</w:t>
      </w:r>
      <w:proofErr w:type="spellEnd"/>
      <w:r w:rsidRPr="008D646B">
        <w:rPr>
          <w:rFonts w:ascii="Times New Roman" w:hAnsi="Times New Roman" w:cs="Times New Roman"/>
          <w:sz w:val="24"/>
          <w:szCs w:val="24"/>
        </w:rPr>
        <w:t>), el costo, el diferencial de precio y la asequibilidad de una dieta saludable (recomendada según las guías alimentarias) frente a una dieta actual (no saludable, basada en el consumo reportado) para un hogar de referencia compuesto por cuatro personas (hombre adulto de 31 a 50 años, mujer adulta de 31 a 50 años, niño de 14 años y niña de 8 años), en áreas seleccionadas aleatoriamente y estratificadas por nivel socioeconómico en dos ciudades australianas, Sídney y Canberra, con el fin de generar evidencia estandarizada que oriente la política fiscal y sanitaria en materia de nutrición.</w:t>
      </w:r>
    </w:p>
    <w:p w14:paraId="347D35D3" w14:textId="77777777" w:rsidR="005E4BAB" w:rsidRPr="008D646B" w:rsidRDefault="00F82171" w:rsidP="008D646B">
      <w:pPr>
        <w:jc w:val="both"/>
        <w:rPr>
          <w:rStyle w:val="Fuerte"/>
          <w:rFonts w:ascii="Times New Roman" w:hAnsi="Times New Roman" w:cs="Times New Roman"/>
          <w:sz w:val="24"/>
          <w:szCs w:val="24"/>
        </w:rPr>
      </w:pPr>
      <w:r w:rsidRPr="008D646B">
        <w:rPr>
          <w:rStyle w:val="Fuerte"/>
          <w:rFonts w:ascii="Times New Roman" w:hAnsi="Times New Roman" w:cs="Times New Roman"/>
          <w:sz w:val="24"/>
          <w:szCs w:val="24"/>
        </w:rPr>
        <w:t>Metodología</w:t>
      </w:r>
    </w:p>
    <w:p w14:paraId="38736390" w14:textId="77777777" w:rsidR="00F57A53" w:rsidRPr="008D646B" w:rsidRDefault="00F82171" w:rsidP="008D646B">
      <w:pPr>
        <w:jc w:val="both"/>
        <w:rPr>
          <w:rFonts w:ascii="Times New Roman" w:hAnsi="Times New Roman" w:cs="Times New Roman"/>
          <w:sz w:val="24"/>
          <w:szCs w:val="24"/>
        </w:rPr>
      </w:pPr>
      <w:r w:rsidRPr="008D646B">
        <w:rPr>
          <w:rFonts w:ascii="Times New Roman" w:hAnsi="Times New Roman" w:cs="Times New Roman"/>
          <w:sz w:val="24"/>
          <w:szCs w:val="24"/>
        </w:rPr>
        <w:t xml:space="preserve">El protocolo </w:t>
      </w:r>
      <w:proofErr w:type="spellStart"/>
      <w:r w:rsidRPr="008D646B">
        <w:rPr>
          <w:rFonts w:ascii="Times New Roman" w:hAnsi="Times New Roman" w:cs="Times New Roman"/>
          <w:sz w:val="24"/>
          <w:szCs w:val="24"/>
        </w:rPr>
        <w:t>Healthy</w:t>
      </w:r>
      <w:proofErr w:type="spellEnd"/>
      <w:r w:rsidRPr="008D646B">
        <w:rPr>
          <w:rFonts w:ascii="Times New Roman" w:hAnsi="Times New Roman" w:cs="Times New Roman"/>
          <w:sz w:val="24"/>
          <w:szCs w:val="24"/>
        </w:rPr>
        <w:t xml:space="preserve"> Diets ASAP consta de cinco componentes. Primero, las herramientas de tarificación (</w:t>
      </w:r>
      <w:proofErr w:type="spellStart"/>
      <w:r w:rsidRPr="008D646B">
        <w:rPr>
          <w:rFonts w:ascii="Times New Roman" w:hAnsi="Times New Roman" w:cs="Times New Roman"/>
          <w:sz w:val="24"/>
          <w:szCs w:val="24"/>
        </w:rPr>
        <w:t>pricing</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tools</w:t>
      </w:r>
      <w:proofErr w:type="spellEnd"/>
      <w:r w:rsidRPr="008D646B">
        <w:rPr>
          <w:rFonts w:ascii="Times New Roman" w:hAnsi="Times New Roman" w:cs="Times New Roman"/>
          <w:sz w:val="24"/>
          <w:szCs w:val="24"/>
        </w:rPr>
        <w:t xml:space="preserve">) de la dieta actual y la dieta saludable: la dieta actual se construyó a partir de la ingesta media reportada por grupo de edad y sexo en la </w:t>
      </w:r>
      <w:proofErr w:type="spellStart"/>
      <w:r w:rsidRPr="008D646B">
        <w:rPr>
          <w:rFonts w:ascii="Times New Roman" w:hAnsi="Times New Roman" w:cs="Times New Roman"/>
          <w:sz w:val="24"/>
          <w:szCs w:val="24"/>
        </w:rPr>
        <w:t>Australian</w:t>
      </w:r>
      <w:proofErr w:type="spellEnd"/>
      <w:r w:rsidRPr="008D646B">
        <w:rPr>
          <w:rFonts w:ascii="Times New Roman" w:hAnsi="Times New Roman" w:cs="Times New Roman"/>
          <w:sz w:val="24"/>
          <w:szCs w:val="24"/>
        </w:rPr>
        <w:t xml:space="preserve"> Health </w:t>
      </w:r>
      <w:proofErr w:type="spellStart"/>
      <w:r w:rsidRPr="008D646B">
        <w:rPr>
          <w:rFonts w:ascii="Times New Roman" w:hAnsi="Times New Roman" w:cs="Times New Roman"/>
          <w:sz w:val="24"/>
          <w:szCs w:val="24"/>
        </w:rPr>
        <w:t>Survey</w:t>
      </w:r>
      <w:proofErr w:type="spellEnd"/>
      <w:r w:rsidRPr="008D646B">
        <w:rPr>
          <w:rFonts w:ascii="Times New Roman" w:hAnsi="Times New Roman" w:cs="Times New Roman"/>
          <w:sz w:val="24"/>
          <w:szCs w:val="24"/>
        </w:rPr>
        <w:t xml:space="preserve"> (AHS) 2011 a 2012, mientras que la dieta saludable se construyó con tipos y </w:t>
      </w:r>
      <w:r w:rsidRPr="008D646B">
        <w:rPr>
          <w:rFonts w:ascii="Times New Roman" w:hAnsi="Times New Roman" w:cs="Times New Roman"/>
          <w:sz w:val="24"/>
          <w:szCs w:val="24"/>
        </w:rPr>
        <w:lastRenderedPageBreak/>
        <w:t xml:space="preserve">cantidades de alimentos consistentes con las Guías Alimentarias Australianas y la </w:t>
      </w:r>
      <w:proofErr w:type="spellStart"/>
      <w:r w:rsidRPr="008D646B">
        <w:rPr>
          <w:rFonts w:ascii="Times New Roman" w:hAnsi="Times New Roman" w:cs="Times New Roman"/>
          <w:sz w:val="24"/>
          <w:szCs w:val="24"/>
        </w:rPr>
        <w:t>Australian</w:t>
      </w:r>
      <w:proofErr w:type="spellEnd"/>
      <w:r w:rsidRPr="008D646B">
        <w:rPr>
          <w:rFonts w:ascii="Times New Roman" w:hAnsi="Times New Roman" w:cs="Times New Roman"/>
          <w:sz w:val="24"/>
          <w:szCs w:val="24"/>
        </w:rPr>
        <w:t xml:space="preserve"> Guide </w:t>
      </w:r>
      <w:proofErr w:type="spellStart"/>
      <w:r w:rsidRPr="008D646B">
        <w:rPr>
          <w:rFonts w:ascii="Times New Roman" w:hAnsi="Times New Roman" w:cs="Times New Roman"/>
          <w:sz w:val="24"/>
          <w:szCs w:val="24"/>
        </w:rPr>
        <w:t>to</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Healthy</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Eating</w:t>
      </w:r>
      <w:proofErr w:type="spellEnd"/>
      <w:r w:rsidRPr="008D646B">
        <w:rPr>
          <w:rFonts w:ascii="Times New Roman" w:hAnsi="Times New Roman" w:cs="Times New Roman"/>
          <w:sz w:val="24"/>
          <w:szCs w:val="24"/>
        </w:rPr>
        <w:t xml:space="preserve">, incluyendo únicamente opciones de los cinco grupos de alimentos (agua embotellada, frutas, verduras y legumbres, cereales integrales, carnes magras y alternativas, lácteos, aceites y pastas untables no saturados) sin alimentos discrecionales; la dieta actual, en cambio, incluye además bebidas azucaradas y edulcoradas artificialmente, cereales/snacks/postres, carnes procesadas, salsas y condimentos, comidas de conveniencia, comida rápida (pizza, hamburguesa, papas fritas, </w:t>
      </w:r>
      <w:proofErr w:type="spellStart"/>
      <w:r w:rsidRPr="008D646B">
        <w:rPr>
          <w:rFonts w:ascii="Times New Roman" w:hAnsi="Times New Roman" w:cs="Times New Roman"/>
          <w:sz w:val="24"/>
          <w:szCs w:val="24"/>
        </w:rPr>
        <w:t>meat</w:t>
      </w:r>
      <w:proofErr w:type="spellEnd"/>
      <w:r w:rsidRPr="008D646B">
        <w:rPr>
          <w:rFonts w:ascii="Times New Roman" w:hAnsi="Times New Roman" w:cs="Times New Roman"/>
          <w:sz w:val="24"/>
          <w:szCs w:val="24"/>
        </w:rPr>
        <w:t xml:space="preserve"> pie) y alcohol (cerveza, vino espumoso, vino tinto, whisky). Segundo, la selección de tiendas: se identificaron aleatoriamente Áreas Estadísticas de Nivel 2 (SA2) estratificadas según el índice SEIFA (Socio-</w:t>
      </w:r>
      <w:proofErr w:type="spellStart"/>
      <w:r w:rsidRPr="008D646B">
        <w:rPr>
          <w:rFonts w:ascii="Times New Roman" w:hAnsi="Times New Roman" w:cs="Times New Roman"/>
          <w:sz w:val="24"/>
          <w:szCs w:val="24"/>
        </w:rPr>
        <w:t>Economic</w:t>
      </w:r>
      <w:proofErr w:type="spellEnd"/>
      <w:r w:rsidRPr="008D646B">
        <w:rPr>
          <w:rFonts w:ascii="Times New Roman" w:hAnsi="Times New Roman" w:cs="Times New Roman"/>
          <w:sz w:val="24"/>
          <w:szCs w:val="24"/>
        </w:rPr>
        <w:t xml:space="preserve"> Indexes </w:t>
      </w:r>
      <w:proofErr w:type="spellStart"/>
      <w:r w:rsidRPr="008D646B">
        <w:rPr>
          <w:rFonts w:ascii="Times New Roman" w:hAnsi="Times New Roman" w:cs="Times New Roman"/>
          <w:sz w:val="24"/>
          <w:szCs w:val="24"/>
        </w:rPr>
        <w:t>for</w:t>
      </w:r>
      <w:proofErr w:type="spellEnd"/>
      <w:r w:rsidRPr="008D646B">
        <w:rPr>
          <w:rFonts w:ascii="Times New Roman" w:hAnsi="Times New Roman" w:cs="Times New Roman"/>
          <w:sz w:val="24"/>
          <w:szCs w:val="24"/>
        </w:rPr>
        <w:t xml:space="preserve"> Areas, específicamente el </w:t>
      </w:r>
      <w:proofErr w:type="spellStart"/>
      <w:r w:rsidRPr="008D646B">
        <w:rPr>
          <w:rFonts w:ascii="Times New Roman" w:hAnsi="Times New Roman" w:cs="Times New Roman"/>
          <w:sz w:val="24"/>
          <w:szCs w:val="24"/>
        </w:rPr>
        <w:t>Index</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of</w:t>
      </w:r>
      <w:proofErr w:type="spellEnd"/>
      <w:r w:rsidRPr="008D646B">
        <w:rPr>
          <w:rFonts w:ascii="Times New Roman" w:hAnsi="Times New Roman" w:cs="Times New Roman"/>
          <w:sz w:val="24"/>
          <w:szCs w:val="24"/>
        </w:rPr>
        <w:t xml:space="preserve"> Relative </w:t>
      </w:r>
      <w:proofErr w:type="spellStart"/>
      <w:r w:rsidRPr="008D646B">
        <w:rPr>
          <w:rFonts w:ascii="Times New Roman" w:hAnsi="Times New Roman" w:cs="Times New Roman"/>
          <w:sz w:val="24"/>
          <w:szCs w:val="24"/>
        </w:rPr>
        <w:t>Socioeconomic</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Disadvantage</w:t>
      </w:r>
      <w:proofErr w:type="spellEnd"/>
      <w:r w:rsidRPr="008D646B">
        <w:rPr>
          <w:rFonts w:ascii="Times New Roman" w:hAnsi="Times New Roman" w:cs="Times New Roman"/>
          <w:sz w:val="24"/>
          <w:szCs w:val="24"/>
        </w:rPr>
        <w:t xml:space="preserve">), seleccionando dos SA2 dentro de cada uno de los quintiles 1, 3 y 5 en cada ciudad (seis ubicaciones por ciudad, doce en total); en cada ubicación se identificaron mediante Google </w:t>
      </w:r>
      <w:proofErr w:type="spellStart"/>
      <w:r w:rsidRPr="008D646B">
        <w:rPr>
          <w:rFonts w:ascii="Times New Roman" w:hAnsi="Times New Roman" w:cs="Times New Roman"/>
          <w:sz w:val="24"/>
          <w:szCs w:val="24"/>
        </w:rPr>
        <w:t>Maps</w:t>
      </w:r>
      <w:proofErr w:type="spellEnd"/>
      <w:r w:rsidRPr="008D646B">
        <w:rPr>
          <w:rFonts w:ascii="Times New Roman" w:hAnsi="Times New Roman" w:cs="Times New Roman"/>
          <w:sz w:val="24"/>
          <w:szCs w:val="24"/>
        </w:rPr>
        <w:t xml:space="preserve"> los locales dentro de un radio de 7 km desde el centro geográfico, incluyendo un local de cada cadena de supermercado y almacén independiente (Coles, IGA, </w:t>
      </w:r>
      <w:proofErr w:type="spellStart"/>
      <w:r w:rsidRPr="008D646B">
        <w:rPr>
          <w:rFonts w:ascii="Times New Roman" w:hAnsi="Times New Roman" w:cs="Times New Roman"/>
          <w:sz w:val="24"/>
          <w:szCs w:val="24"/>
        </w:rPr>
        <w:t>Supabarn</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Woolworths</w:t>
      </w:r>
      <w:proofErr w:type="spellEnd"/>
      <w:r w:rsidRPr="008D646B">
        <w:rPr>
          <w:rFonts w:ascii="Times New Roman" w:hAnsi="Times New Roman" w:cs="Times New Roman"/>
          <w:sz w:val="24"/>
          <w:szCs w:val="24"/>
        </w:rPr>
        <w:t>), locales de comida rápida específicos (McDonald's, Pizza Hut, una pescadería/tienda de papas fritas independiente) y dos tiendas de bebidas alcohólicas. Tercero, el cálculo del ingreso del hogar: se utilizó el ingreso bruto mediano del hogar por semana reportado en el censo de 2016 para cada ubicación, ajustado por el incremento del índice de precios salariales (</w:t>
      </w:r>
      <w:proofErr w:type="spellStart"/>
      <w:r w:rsidRPr="008D646B">
        <w:rPr>
          <w:rFonts w:ascii="Times New Roman" w:hAnsi="Times New Roman" w:cs="Times New Roman"/>
          <w:sz w:val="24"/>
          <w:szCs w:val="24"/>
        </w:rPr>
        <w:t>wage</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price</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index</w:t>
      </w:r>
      <w:proofErr w:type="spellEnd"/>
      <w:r w:rsidRPr="008D646B">
        <w:rPr>
          <w:rFonts w:ascii="Times New Roman" w:hAnsi="Times New Roman" w:cs="Times New Roman"/>
          <w:sz w:val="24"/>
          <w:szCs w:val="24"/>
        </w:rPr>
        <w:t xml:space="preserve">) de 11,1% entre septiembre de 2011 y septiembre de 2015, y multiplicado por dos para obtener el valor quincenal; adicionalmente se calculó un ingreso disponible bajo indicativo (no dependiente de la ubicación, basado en pagos y subsidios nacionales según calculadoras del </w:t>
      </w:r>
      <w:proofErr w:type="spellStart"/>
      <w:r w:rsidRPr="008D646B">
        <w:rPr>
          <w:rFonts w:ascii="Times New Roman" w:hAnsi="Times New Roman" w:cs="Times New Roman"/>
          <w:sz w:val="24"/>
          <w:szCs w:val="24"/>
        </w:rPr>
        <w:t>Department</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of</w:t>
      </w:r>
      <w:proofErr w:type="spellEnd"/>
      <w:r w:rsidRPr="008D646B">
        <w:rPr>
          <w:rFonts w:ascii="Times New Roman" w:hAnsi="Times New Roman" w:cs="Times New Roman"/>
          <w:sz w:val="24"/>
          <w:szCs w:val="24"/>
        </w:rPr>
        <w:t xml:space="preserve"> Human </w:t>
      </w:r>
      <w:proofErr w:type="spellStart"/>
      <w:r w:rsidRPr="008D646B">
        <w:rPr>
          <w:rFonts w:ascii="Times New Roman" w:hAnsi="Times New Roman" w:cs="Times New Roman"/>
          <w:sz w:val="24"/>
          <w:szCs w:val="24"/>
        </w:rPr>
        <w:t>Services</w:t>
      </w:r>
      <w:proofErr w:type="spellEnd"/>
      <w:r w:rsidRPr="008D646B">
        <w:rPr>
          <w:rFonts w:ascii="Times New Roman" w:hAnsi="Times New Roman" w:cs="Times New Roman"/>
          <w:sz w:val="24"/>
          <w:szCs w:val="24"/>
        </w:rPr>
        <w:t>). Cuarto, la recolección de precios: un asistente de investigación capacitado en cada ciudad recolectó los precios entre el 4 de noviembre y el 5 de diciembre de 2015, siguiendo un formulario que especifica marcas y tamaños comunes y el procedimiento a seguir si el producto no está disponible o está en promoción; estos son precios nominales correspondientes al momento puntual de recolección (no se indexan a un año base ni se deflactan), mientras que el ajuste inflacionario (</w:t>
      </w:r>
      <w:proofErr w:type="spellStart"/>
      <w:r w:rsidRPr="008D646B">
        <w:rPr>
          <w:rFonts w:ascii="Times New Roman" w:hAnsi="Times New Roman" w:cs="Times New Roman"/>
          <w:sz w:val="24"/>
          <w:szCs w:val="24"/>
        </w:rPr>
        <w:t>wage</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price</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index</w:t>
      </w:r>
      <w:proofErr w:type="spellEnd"/>
      <w:r w:rsidRPr="008D646B">
        <w:rPr>
          <w:rFonts w:ascii="Times New Roman" w:hAnsi="Times New Roman" w:cs="Times New Roman"/>
          <w:sz w:val="24"/>
          <w:szCs w:val="24"/>
        </w:rPr>
        <w:t>) se aplicó únicamente al ingreso del hogar, no a los precios de los alimentos. Quinto, el análisis: los datos se ingresaron por duplicado en Excel, se calculó el precio medio de cada dieta por quintil SEIFA en cada ciudad, el costo y proporción del presupuesto destinado a alimentos discrecionales (alcohol, comida para llevar, bebidas azucaradas), y la asequibilidad como la proporción del ingreso bruto mediano y del ingreso disponible bajo indicativo requerida para adquirir cada dieta, considerándose inasequible cuando superaba el 30% del ingreso y en riesgo de estrés alimentario cuando superaba el 25% del ingreso disponible.</w:t>
      </w:r>
    </w:p>
    <w:p w14:paraId="47ECFE65" w14:textId="77777777" w:rsidR="00F57A53" w:rsidRPr="008D646B" w:rsidRDefault="00F82171" w:rsidP="008D646B">
      <w:pPr>
        <w:jc w:val="both"/>
        <w:rPr>
          <w:rStyle w:val="Fuerte"/>
          <w:rFonts w:ascii="Times New Roman" w:hAnsi="Times New Roman" w:cs="Times New Roman"/>
          <w:sz w:val="24"/>
          <w:szCs w:val="24"/>
        </w:rPr>
      </w:pPr>
      <w:r w:rsidRPr="008D646B">
        <w:rPr>
          <w:rStyle w:val="Fuerte"/>
          <w:rFonts w:ascii="Times New Roman" w:hAnsi="Times New Roman" w:cs="Times New Roman"/>
          <w:sz w:val="24"/>
          <w:szCs w:val="24"/>
        </w:rPr>
        <w:t>Resultados</w:t>
      </w:r>
    </w:p>
    <w:p w14:paraId="166FC1CD" w14:textId="3C4126E0" w:rsidR="00265E4D" w:rsidRPr="008D646B" w:rsidRDefault="00F82171" w:rsidP="008D646B">
      <w:pPr>
        <w:jc w:val="both"/>
        <w:rPr>
          <w:rFonts w:ascii="Times New Roman" w:eastAsia="Times New Roman" w:hAnsi="Times New Roman" w:cs="Times New Roman"/>
          <w:b/>
          <w:bCs/>
          <w:sz w:val="24"/>
          <w:szCs w:val="24"/>
        </w:rPr>
      </w:pPr>
      <w:r w:rsidRPr="008D646B">
        <w:rPr>
          <w:rFonts w:ascii="Times New Roman" w:hAnsi="Times New Roman" w:cs="Times New Roman"/>
          <w:sz w:val="24"/>
          <w:szCs w:val="24"/>
        </w:rPr>
        <w:t xml:space="preserve">Bajo la política tributaria vigente en Australia (exención de GST para alimentos básicos saludables desde el año 2000), la dieta saludable resultó entre 15% y 17% menos costosa que la dieta actual en todas las ubicaciones evaluadas; el costo medio de la dieta actual fue de A$729,60 (desviación estándar A$34,47) en Sídney y A$761,21 (desviación estándar A$46,82) en Canberra, mientras que la dieta saludable costó en promedio A$602,64 (desviación estándar A$20,07) en Sídney y A$626,94 (desviación estándar A$36,64) en </w:t>
      </w:r>
      <w:r w:rsidRPr="008D646B">
        <w:rPr>
          <w:rFonts w:ascii="Times New Roman" w:hAnsi="Times New Roman" w:cs="Times New Roman"/>
          <w:sz w:val="24"/>
          <w:szCs w:val="24"/>
        </w:rPr>
        <w:lastRenderedPageBreak/>
        <w:t>Canberra, es decir, los costos fueron en promedio 4% más altos en Canberra que en Sídney. En Sídney el costo de ambas dietas aumentó de forma lineal según el quintil SEIFA (la dieta actual fue 7% más cara en el área menos desfavorecida que en la más desfavorecida), mientras que en Canberra la variación entre quintiles fue de solo 1% a 2%. Los hogares destinaron en promedio 58% de su presupuesto alimentario a alimentos y bebidas discrecionales en la dieta actual (17% a comida para llevar, 12% a bebidas alcohólicas y 4% a bebidas azucaradas), frente a solo 13% destinado a frutas y verduras, cuando la dieta saludable recomendada requeriría entre 26% y 30% del presupuesto en ese mismo grupo. En cuanto a asequibilidad, evaluada contra el ingreso bruto mediano del hogar, esta fue menor en las áreas más desfavorecidas de ambas ciudades, siendo notablemente más baja en Sídney, donde la dieta actual y la saludable costarían 38% y 32% del ingreso mediano respectivamente, frente a 21% y 18% en Canberra; evaluada contra el ingreso disponible bajo indicativo (A$2.234,68 quincenales, igual en todas las ubicaciones salvo el quintil 1 de Sídney donde el ingreso mediano fue inferior a este valor), la dieta actual costó entre 32% y 34% del ingreso en Sídney y 34% en Canberra, mientras que la dieta saludable costó entre 26% y 28% en ambas ciudades, superando en todos los casos el umbral de 30% considerado como inasequible o el de 25% asociado a estrés alimentario.</w:t>
      </w:r>
    </w:p>
    <w:p w14:paraId="17458F76" w14:textId="77777777" w:rsidR="00EB082A" w:rsidRPr="008D646B" w:rsidRDefault="00A972BD" w:rsidP="008D646B">
      <w:pPr>
        <w:pStyle w:val="Prrafodelista"/>
        <w:numPr>
          <w:ilvl w:val="0"/>
          <w:numId w:val="3"/>
        </w:numPr>
        <w:jc w:val="both"/>
        <w:rPr>
          <w:rFonts w:ascii="Times New Roman" w:eastAsia="Times New Roman" w:hAnsi="Times New Roman" w:cs="Times New Roman"/>
          <w:b/>
          <w:bCs/>
          <w:sz w:val="24"/>
          <w:szCs w:val="24"/>
        </w:rPr>
      </w:pPr>
      <w:r w:rsidRPr="008D646B">
        <w:rPr>
          <w:rFonts w:ascii="Times New Roman" w:eastAsia="Times New Roman" w:hAnsi="Times New Roman" w:cs="Times New Roman"/>
          <w:b/>
          <w:bCs/>
          <w:sz w:val="24"/>
          <w:szCs w:val="24"/>
        </w:rPr>
        <w:t>Gonzabay-Parrales et al., (2025)</w:t>
      </w:r>
      <w:r w:rsidR="00EB082A" w:rsidRPr="008D646B">
        <w:rPr>
          <w:rFonts w:ascii="Times New Roman" w:eastAsia="Times New Roman" w:hAnsi="Times New Roman" w:cs="Times New Roman"/>
          <w:b/>
          <w:bCs/>
          <w:sz w:val="24"/>
          <w:szCs w:val="24"/>
        </w:rPr>
        <w:t xml:space="preserve"> </w:t>
      </w:r>
    </w:p>
    <w:p w14:paraId="32C23D60" w14:textId="77777777" w:rsidR="00EB082A" w:rsidRPr="008D646B" w:rsidRDefault="00EB082A" w:rsidP="008D646B">
      <w:pPr>
        <w:jc w:val="both"/>
        <w:rPr>
          <w:rFonts w:ascii="Times New Roman" w:eastAsia="Times New Roman" w:hAnsi="Times New Roman" w:cs="Times New Roman"/>
          <w:b/>
          <w:bCs/>
          <w:sz w:val="24"/>
          <w:szCs w:val="24"/>
        </w:rPr>
      </w:pPr>
      <w:r w:rsidRPr="008D646B">
        <w:rPr>
          <w:rFonts w:ascii="Times New Roman" w:eastAsia="Times New Roman" w:hAnsi="Times New Roman" w:cs="Times New Roman"/>
          <w:b/>
          <w:bCs/>
          <w:sz w:val="24"/>
          <w:szCs w:val="24"/>
        </w:rPr>
        <w:t>Objetivo</w:t>
      </w:r>
    </w:p>
    <w:p w14:paraId="11F8BD6D" w14:textId="4B7DC382" w:rsidR="00EB082A" w:rsidRPr="008D646B" w:rsidRDefault="00EB082A" w:rsidP="008D646B">
      <w:pPr>
        <w:jc w:val="both"/>
        <w:rPr>
          <w:rFonts w:ascii="Times New Roman" w:eastAsia="Times New Roman" w:hAnsi="Times New Roman" w:cs="Times New Roman"/>
          <w:sz w:val="24"/>
          <w:szCs w:val="24"/>
        </w:rPr>
      </w:pPr>
      <w:r w:rsidRPr="008D646B">
        <w:rPr>
          <w:rFonts w:ascii="Times New Roman" w:eastAsia="Times New Roman" w:hAnsi="Times New Roman" w:cs="Times New Roman"/>
          <w:sz w:val="24"/>
          <w:szCs w:val="24"/>
        </w:rPr>
        <w:t>Determinar el costo real de una dieta saludable en Ecuador, específicamente en las ciudades de Quito y Guayaquil, evaluando el precio de los alimentos vendidos al consumidor en las principales cadenas de supermercados y comparándolo con el costo de una dieta regular basada en la Canasta Familiar Básica (CFB), con el fin de establecer la accesibilidad económica de dicha dieta saludable para una familia de dos adultos.</w:t>
      </w:r>
    </w:p>
    <w:p w14:paraId="3251842C" w14:textId="77777777" w:rsidR="00EB082A" w:rsidRPr="008D646B" w:rsidRDefault="00EB082A" w:rsidP="008D646B">
      <w:pPr>
        <w:jc w:val="both"/>
        <w:rPr>
          <w:rFonts w:ascii="Times New Roman" w:eastAsia="Times New Roman" w:hAnsi="Times New Roman" w:cs="Times New Roman"/>
          <w:b/>
          <w:bCs/>
          <w:sz w:val="24"/>
          <w:szCs w:val="24"/>
        </w:rPr>
      </w:pPr>
      <w:r w:rsidRPr="008D646B">
        <w:rPr>
          <w:rFonts w:ascii="Times New Roman" w:eastAsia="Times New Roman" w:hAnsi="Times New Roman" w:cs="Times New Roman"/>
          <w:b/>
          <w:bCs/>
          <w:sz w:val="24"/>
          <w:szCs w:val="24"/>
        </w:rPr>
        <w:t>Metodología</w:t>
      </w:r>
    </w:p>
    <w:p w14:paraId="0E87BA52" w14:textId="1B3744A7" w:rsidR="00EB082A" w:rsidRPr="008D646B" w:rsidRDefault="00EB082A" w:rsidP="008D646B">
      <w:pPr>
        <w:jc w:val="both"/>
        <w:rPr>
          <w:rFonts w:ascii="Times New Roman" w:eastAsia="Times New Roman" w:hAnsi="Times New Roman" w:cs="Times New Roman"/>
          <w:sz w:val="24"/>
          <w:szCs w:val="24"/>
        </w:rPr>
      </w:pPr>
      <w:r w:rsidRPr="008D646B">
        <w:rPr>
          <w:rFonts w:ascii="Times New Roman" w:eastAsia="Times New Roman" w:hAnsi="Times New Roman" w:cs="Times New Roman"/>
          <w:sz w:val="24"/>
          <w:szCs w:val="24"/>
        </w:rPr>
        <w:t xml:space="preserve">Se realizó un estudio descriptivo transversal en el que se diseñó un modelo de dieta saludable a partir de los alimentos reportados en la Canasta Familiar Básica (CFB) ecuatoriana, definida por el gobierno ecuatoriano y el Instituto Nacional de Estadística y Censos (INEC) como el conjunto de bienes y servicios esenciales para un hogar de cuatro miembros con 1,6 perceptores de ingresos que ganan el salario básico unificado (450 USD en 2023), junto con recomendaciones nutricionales estándar. El modelo de dieta saludable se construyó considerando un aporte de 2000 kcal diarias por adulto, distribuidas en 55% de carbohidratos, 20% de proteína y 25% de grasa, con tamaños de porción establecidos según la OMS, otras agencias internacionales y las Guías Alimentarias Basadas en Alimentos de Ecuador (GABA), representadas en la figura de la "cuchara" que divide los alimentos en cuatro secciones (frutas y verduras aproximadamente 50%, granos y cereales 20%, fuentes de proteína 20% y grasas 10%). El ajuste dietético se realizó para cubrir entre 90% y 105% de los requerimientos nutricionales diarios durante un mes completo para dos adultos, utilizando la Lista de Intercambio de Alimentos ecuatoriana, considerando 4 kcal por gramo de carbohidrato, 4 kcal por gramo de proteína y 9 kcal por gramo de grasa, y empleando versiones crudas de los alimentos proteicos y versiones cocidas de los alimentos con carbohidratos. Del listado original de la CFB se eliminaron productos no compatibles con </w:t>
      </w:r>
      <w:r w:rsidRPr="008D646B">
        <w:rPr>
          <w:rFonts w:ascii="Times New Roman" w:eastAsia="Times New Roman" w:hAnsi="Times New Roman" w:cs="Times New Roman"/>
          <w:sz w:val="24"/>
          <w:szCs w:val="24"/>
        </w:rPr>
        <w:lastRenderedPageBreak/>
        <w:t xml:space="preserve">una alimentación saludable (margarina y bebidas gaseosas) y el maní (por exceder el porcentaje de grasa recomendado), sustituyéndose otros productos por sus equivalentes más saludables (por ejemplo, arroz integral en lugar de arroz blanco, pechuga de pollo sin piel en lugar de pollo con piel, aceite de oliva extra virgen en botella oscura en lugar de aceite vegetal de palma, leche semidescremada en lugar de leche entera, atún enlatado en agua con bajo sodio en lugar de atún enlatado en aceite). Con este procedimiento se construyeron tres tipos de dieta a comparar: la dieta regular con las porciones establecidas en la CFB, la dieta regular con porciones saludables (CFB saludable) y el modelo de dieta saludable propuesto por los autores, contrastándose además con el costo de alimentación reportado oficialmente por el INEC (ajustado para dos personas). Los precios mínimo y máximo de cada producto en sus versiones regular y saludable se recolectaron mediante visitas de campo a seis supermercados en Quito y seis en Guayaquil (identificados con letras para preservar el anonimato), incluyendo una combinación de cadenas de gama alta, media y baja, calculando el costo por gramo de cada producto (precio dividido por el peso en gramos) para evitar que las diferencias en el tamaño del empaque alteraran la comparación entre el precio más bajo y más alto de cada ítem; los datos se recolectaron mediante el software Kobo </w:t>
      </w:r>
      <w:proofErr w:type="spellStart"/>
      <w:r w:rsidRPr="008D646B">
        <w:rPr>
          <w:rFonts w:ascii="Times New Roman" w:eastAsia="Times New Roman" w:hAnsi="Times New Roman" w:cs="Times New Roman"/>
          <w:sz w:val="24"/>
          <w:szCs w:val="24"/>
        </w:rPr>
        <w:t>ToolBox</w:t>
      </w:r>
      <w:proofErr w:type="spellEnd"/>
      <w:r w:rsidRPr="008D646B">
        <w:rPr>
          <w:rFonts w:ascii="Times New Roman" w:eastAsia="Times New Roman" w:hAnsi="Times New Roman" w:cs="Times New Roman"/>
          <w:sz w:val="24"/>
          <w:szCs w:val="24"/>
        </w:rPr>
        <w:t xml:space="preserve"> y se procesaron en hojas de cálculo de Excel para su depuración. Todos los precios corresponden a un único punto de recolección de campo (septiembre de 2023), por lo que se trata de costos nominales, sin ajuste por inflación ni por paridad de poder adquisitivo. Para evaluar la asequibilidad se utilizó el criterio de que una dieta es asequible cuando representa menos del 30% del ingreso familiar, calculándose la proporción entre el costo mensual de cada dieta (para una persona) y el salario básico unificado de Ecuador vigente en septiembre de 2023, así como su relación con los quintiles de ingreso reportados para Quito en 2022 (única información disponible por quintil).</w:t>
      </w:r>
    </w:p>
    <w:p w14:paraId="13DF6E74" w14:textId="77777777" w:rsidR="00EB082A" w:rsidRPr="008D646B" w:rsidRDefault="00EB082A" w:rsidP="008D646B">
      <w:pPr>
        <w:jc w:val="both"/>
        <w:rPr>
          <w:rFonts w:ascii="Times New Roman" w:eastAsia="Times New Roman" w:hAnsi="Times New Roman" w:cs="Times New Roman"/>
          <w:b/>
          <w:bCs/>
          <w:sz w:val="24"/>
          <w:szCs w:val="24"/>
        </w:rPr>
      </w:pPr>
      <w:r w:rsidRPr="008D646B">
        <w:rPr>
          <w:rFonts w:ascii="Times New Roman" w:eastAsia="Times New Roman" w:hAnsi="Times New Roman" w:cs="Times New Roman"/>
          <w:b/>
          <w:bCs/>
          <w:sz w:val="24"/>
          <w:szCs w:val="24"/>
        </w:rPr>
        <w:t>Resultados</w:t>
      </w:r>
    </w:p>
    <w:p w14:paraId="1263BD92" w14:textId="28D34D32" w:rsidR="00265E4D" w:rsidRPr="008D646B" w:rsidRDefault="00EB082A" w:rsidP="008D646B">
      <w:pPr>
        <w:jc w:val="both"/>
        <w:rPr>
          <w:rFonts w:ascii="Times New Roman" w:eastAsia="Times New Roman" w:hAnsi="Times New Roman" w:cs="Times New Roman"/>
          <w:sz w:val="24"/>
          <w:szCs w:val="24"/>
        </w:rPr>
      </w:pPr>
      <w:r w:rsidRPr="008D646B">
        <w:rPr>
          <w:rFonts w:ascii="Times New Roman" w:eastAsia="Times New Roman" w:hAnsi="Times New Roman" w:cs="Times New Roman"/>
          <w:sz w:val="24"/>
          <w:szCs w:val="24"/>
        </w:rPr>
        <w:t xml:space="preserve">El costo del modelo de dieta saludable propuesto resultó significativamente mayor que el de la dieta regular en todas las categorías analizadas y en los seis supermercados de cada ciudad. Para la dieta regular con porciones CFB, el costo mínimo mensual para dos adultos varió entre $59,46 (supermercado de gama baja) y $72,51 (gama alta), y el costo máximo entre $75,66 y $126,56; para el modelo de dieta saludable, el costo mínimo varió entre $264,81 (gama baja) y $348,22 (gama alta), y el máximo entre $366,56 y $476,46. Por categoría de alimentos, la categoría más costosa reportada por el INEC en la CFB fue "granos y derivados" ($28,29 en total, $33,46 en Quito y $24,80 en Guayaquil), seguida de "carnes" ($20,66 en total); en cambio, en la dieta regular con porciones saludables y en el modelo de dieta saludable, la categoría más costosa fue consistentemente "leche, productos lácteos y huevos" (hasta $75,93 en costo máximo para la dieta regular con porciones saludables y con valores similares en el modelo saludable), seguida por "carnes" en el modelo saludable y por "verduras" o "legumbres y derivados" en la dieta regular con porciones saludables, dependiendo de la ciudad. La categoría "granos y derivados" fue la única en la que el precio reportado por el INEC en la CFB superó al de las otras dos dietas; en todas las demás categorías, tanto la dieta regular con porciones saludables como el modelo saludable superaron los precios de la CFB del INEC, y "legumbres y derivados" fue la única categoría </w:t>
      </w:r>
      <w:r w:rsidRPr="008D646B">
        <w:rPr>
          <w:rFonts w:ascii="Times New Roman" w:eastAsia="Times New Roman" w:hAnsi="Times New Roman" w:cs="Times New Roman"/>
          <w:sz w:val="24"/>
          <w:szCs w:val="24"/>
        </w:rPr>
        <w:lastRenderedPageBreak/>
        <w:t>en la que la dieta regular con porciones saludables superó el costo del modelo de dieta saludable. En cuanto al costo total, el promedio del modelo de dieta saludable propuesto fue de $184,74 por persona al mes (equivalente a $6,16 diarios), con un promedio de $184,10 por persona en Guayaquil y $185,22 en Quito, frente a un costo diario de alimentación reportado en la CFB de $2,13 en Guayaquil y $3,83 en Quito. En términos de asequibilidad, considerando el salario básico unificado de $450 vigente en 2023, una persona necesitaría destinar 41% de su salario para acceder al modelo de dieta saludable propuesto, frente a un 14,5% requerido para la dieta reportada en la CFB, y un 39,63% para la dieta regular con porciones saludables. Al desagregar por quintiles de ingreso en Quito (año 2022), una persona del primer quintil (ingreso de $49) requeriría el 378% de su ingreso para costear la dieta saludable, el segundo quintil (ingreso de $100) el 185,22%, el tercer quintil (ingreso de $154) el 120,27%, y el cuarto quintil (ingreso de $244) el 75,91%, superando en todos los casos el umbral de asequibilidad del 30%; únicamente el quinto quintil (ingreso de $658) podría acceder a la dieta saludable, destinando el 28,15% de su ingreso.</w:t>
      </w:r>
    </w:p>
    <w:p w14:paraId="71A91A2E" w14:textId="77777777" w:rsidR="005B54E9" w:rsidRPr="008D646B" w:rsidRDefault="00A972BD" w:rsidP="008D646B">
      <w:pPr>
        <w:pStyle w:val="Prrafodelista"/>
        <w:numPr>
          <w:ilvl w:val="0"/>
          <w:numId w:val="3"/>
        </w:numPr>
        <w:jc w:val="both"/>
        <w:rPr>
          <w:rFonts w:ascii="Times New Roman" w:eastAsia="Times New Roman" w:hAnsi="Times New Roman" w:cs="Times New Roman"/>
          <w:b/>
          <w:bCs/>
          <w:sz w:val="24"/>
          <w:szCs w:val="24"/>
        </w:rPr>
      </w:pPr>
      <w:r w:rsidRPr="008D646B">
        <w:rPr>
          <w:rFonts w:ascii="Times New Roman" w:eastAsia="Times New Roman" w:hAnsi="Times New Roman" w:cs="Times New Roman"/>
          <w:b/>
          <w:bCs/>
          <w:sz w:val="24"/>
          <w:szCs w:val="24"/>
          <w:lang w:val="es-ES"/>
        </w:rPr>
        <w:t>J. Klemm et al., (2025)</w:t>
      </w:r>
      <w:r w:rsidR="005B54E9" w:rsidRPr="008D646B">
        <w:rPr>
          <w:rFonts w:ascii="Times New Roman" w:eastAsia="Times New Roman" w:hAnsi="Times New Roman" w:cs="Times New Roman"/>
          <w:b/>
          <w:bCs/>
          <w:sz w:val="24"/>
          <w:szCs w:val="24"/>
        </w:rPr>
        <w:t xml:space="preserve"> </w:t>
      </w:r>
    </w:p>
    <w:p w14:paraId="16640D12" w14:textId="77777777" w:rsidR="005B54E9" w:rsidRPr="008D646B" w:rsidRDefault="005B54E9" w:rsidP="008D646B">
      <w:pPr>
        <w:jc w:val="both"/>
        <w:rPr>
          <w:rFonts w:ascii="Times New Roman" w:eastAsia="Times New Roman" w:hAnsi="Times New Roman" w:cs="Times New Roman"/>
          <w:b/>
          <w:bCs/>
          <w:sz w:val="24"/>
          <w:szCs w:val="24"/>
        </w:rPr>
      </w:pPr>
      <w:r w:rsidRPr="008D646B">
        <w:rPr>
          <w:rFonts w:ascii="Times New Roman" w:eastAsia="Times New Roman" w:hAnsi="Times New Roman" w:cs="Times New Roman"/>
          <w:b/>
          <w:bCs/>
          <w:sz w:val="24"/>
          <w:szCs w:val="24"/>
        </w:rPr>
        <w:t xml:space="preserve">Objetivos </w:t>
      </w:r>
    </w:p>
    <w:p w14:paraId="0A5475C8" w14:textId="1FDDADDF" w:rsidR="005B54E9" w:rsidRPr="008D646B" w:rsidRDefault="005B54E9" w:rsidP="008D646B">
      <w:pPr>
        <w:jc w:val="both"/>
        <w:rPr>
          <w:rFonts w:ascii="Times New Roman" w:eastAsia="Times New Roman" w:hAnsi="Times New Roman" w:cs="Times New Roman"/>
          <w:sz w:val="24"/>
          <w:szCs w:val="24"/>
        </w:rPr>
      </w:pPr>
      <w:r w:rsidRPr="008D646B">
        <w:rPr>
          <w:rFonts w:ascii="Times New Roman" w:eastAsia="Times New Roman" w:hAnsi="Times New Roman" w:cs="Times New Roman"/>
          <w:sz w:val="24"/>
          <w:szCs w:val="24"/>
        </w:rPr>
        <w:t xml:space="preserve">Evaluar, en primer lugar, el grado de alineación entre las estimaciones nacionales del costo de dietas obtenidas mediante el análisis Fill </w:t>
      </w:r>
      <w:proofErr w:type="spellStart"/>
      <w:r w:rsidRPr="008D646B">
        <w:rPr>
          <w:rFonts w:ascii="Times New Roman" w:eastAsia="Times New Roman" w:hAnsi="Times New Roman" w:cs="Times New Roman"/>
          <w:sz w:val="24"/>
          <w:szCs w:val="24"/>
        </w:rPr>
        <w:t>the</w:t>
      </w:r>
      <w:proofErr w:type="spellEnd"/>
      <w:r w:rsidRPr="008D646B">
        <w:rPr>
          <w:rFonts w:ascii="Times New Roman" w:eastAsia="Times New Roman" w:hAnsi="Times New Roman" w:cs="Times New Roman"/>
          <w:sz w:val="24"/>
          <w:szCs w:val="24"/>
        </w:rPr>
        <w:t xml:space="preserve"> </w:t>
      </w:r>
      <w:proofErr w:type="spellStart"/>
      <w:r w:rsidRPr="008D646B">
        <w:rPr>
          <w:rFonts w:ascii="Times New Roman" w:eastAsia="Times New Roman" w:hAnsi="Times New Roman" w:cs="Times New Roman"/>
          <w:sz w:val="24"/>
          <w:szCs w:val="24"/>
        </w:rPr>
        <w:t>Nutrient</w:t>
      </w:r>
      <w:proofErr w:type="spellEnd"/>
      <w:r w:rsidRPr="008D646B">
        <w:rPr>
          <w:rFonts w:ascii="Times New Roman" w:eastAsia="Times New Roman" w:hAnsi="Times New Roman" w:cs="Times New Roman"/>
          <w:sz w:val="24"/>
          <w:szCs w:val="24"/>
        </w:rPr>
        <w:t xml:space="preserve"> Gap (FNG) y las estimaciones nacionales del proyecto </w:t>
      </w:r>
      <w:proofErr w:type="spellStart"/>
      <w:r w:rsidRPr="008D646B">
        <w:rPr>
          <w:rFonts w:ascii="Times New Roman" w:eastAsia="Times New Roman" w:hAnsi="Times New Roman" w:cs="Times New Roman"/>
          <w:sz w:val="24"/>
          <w:szCs w:val="24"/>
        </w:rPr>
        <w:t>Food</w:t>
      </w:r>
      <w:proofErr w:type="spellEnd"/>
      <w:r w:rsidRPr="008D646B">
        <w:rPr>
          <w:rFonts w:ascii="Times New Roman" w:eastAsia="Times New Roman" w:hAnsi="Times New Roman" w:cs="Times New Roman"/>
          <w:sz w:val="24"/>
          <w:szCs w:val="24"/>
        </w:rPr>
        <w:t xml:space="preserve"> </w:t>
      </w:r>
      <w:proofErr w:type="spellStart"/>
      <w:r w:rsidRPr="008D646B">
        <w:rPr>
          <w:rFonts w:ascii="Times New Roman" w:eastAsia="Times New Roman" w:hAnsi="Times New Roman" w:cs="Times New Roman"/>
          <w:sz w:val="24"/>
          <w:szCs w:val="24"/>
        </w:rPr>
        <w:t>Prices</w:t>
      </w:r>
      <w:proofErr w:type="spellEnd"/>
      <w:r w:rsidRPr="008D646B">
        <w:rPr>
          <w:rFonts w:ascii="Times New Roman" w:eastAsia="Times New Roman" w:hAnsi="Times New Roman" w:cs="Times New Roman"/>
          <w:sz w:val="24"/>
          <w:szCs w:val="24"/>
        </w:rPr>
        <w:t xml:space="preserve"> </w:t>
      </w:r>
      <w:proofErr w:type="spellStart"/>
      <w:r w:rsidRPr="008D646B">
        <w:rPr>
          <w:rFonts w:ascii="Times New Roman" w:eastAsia="Times New Roman" w:hAnsi="Times New Roman" w:cs="Times New Roman"/>
          <w:sz w:val="24"/>
          <w:szCs w:val="24"/>
        </w:rPr>
        <w:t>for</w:t>
      </w:r>
      <w:proofErr w:type="spellEnd"/>
      <w:r w:rsidRPr="008D646B">
        <w:rPr>
          <w:rFonts w:ascii="Times New Roman" w:eastAsia="Times New Roman" w:hAnsi="Times New Roman" w:cs="Times New Roman"/>
          <w:sz w:val="24"/>
          <w:szCs w:val="24"/>
        </w:rPr>
        <w:t xml:space="preserve"> </w:t>
      </w:r>
      <w:proofErr w:type="spellStart"/>
      <w:r w:rsidRPr="008D646B">
        <w:rPr>
          <w:rFonts w:ascii="Times New Roman" w:eastAsia="Times New Roman" w:hAnsi="Times New Roman" w:cs="Times New Roman"/>
          <w:sz w:val="24"/>
          <w:szCs w:val="24"/>
        </w:rPr>
        <w:t>Nutrition</w:t>
      </w:r>
      <w:proofErr w:type="spellEnd"/>
      <w:r w:rsidRPr="008D646B">
        <w:rPr>
          <w:rFonts w:ascii="Times New Roman" w:eastAsia="Times New Roman" w:hAnsi="Times New Roman" w:cs="Times New Roman"/>
          <w:sz w:val="24"/>
          <w:szCs w:val="24"/>
        </w:rPr>
        <w:t xml:space="preserve"> (FPN), discutiendo las diferencias metodológicas entre ambos enfoques; y, en segundo lugar, examinar el valor añadido de las estimaciones subnacionales y específicas por etapa del ciclo de vida generadas por el FNG para orientar el diseño de políticas y programas dirigidos a mejorar la nutrición de los grupos más vulnerables.</w:t>
      </w:r>
    </w:p>
    <w:p w14:paraId="6321E970" w14:textId="77777777" w:rsidR="005B54E9" w:rsidRPr="008D646B" w:rsidRDefault="005B54E9" w:rsidP="008D646B">
      <w:pPr>
        <w:jc w:val="both"/>
        <w:rPr>
          <w:rFonts w:ascii="Times New Roman" w:eastAsia="Times New Roman" w:hAnsi="Times New Roman" w:cs="Times New Roman"/>
          <w:b/>
          <w:bCs/>
          <w:sz w:val="24"/>
          <w:szCs w:val="24"/>
        </w:rPr>
      </w:pPr>
      <w:r w:rsidRPr="008D646B">
        <w:rPr>
          <w:rFonts w:ascii="Times New Roman" w:eastAsia="Times New Roman" w:hAnsi="Times New Roman" w:cs="Times New Roman"/>
          <w:b/>
          <w:bCs/>
          <w:sz w:val="24"/>
          <w:szCs w:val="24"/>
        </w:rPr>
        <w:t>Metodología</w:t>
      </w:r>
    </w:p>
    <w:p w14:paraId="65372AE2" w14:textId="05EFFF4D" w:rsidR="005B54E9" w:rsidRPr="008D646B" w:rsidRDefault="005B54E9" w:rsidP="008D646B">
      <w:pPr>
        <w:jc w:val="both"/>
        <w:rPr>
          <w:rFonts w:ascii="Times New Roman" w:eastAsia="Times New Roman" w:hAnsi="Times New Roman" w:cs="Times New Roman"/>
          <w:sz w:val="24"/>
          <w:szCs w:val="24"/>
        </w:rPr>
      </w:pPr>
      <w:r w:rsidRPr="008D646B">
        <w:rPr>
          <w:rFonts w:ascii="Times New Roman" w:eastAsia="Times New Roman" w:hAnsi="Times New Roman" w:cs="Times New Roman"/>
          <w:sz w:val="24"/>
          <w:szCs w:val="24"/>
        </w:rPr>
        <w:t xml:space="preserve">Se utilizaron datos de 26 análisis FNG realizados por país entre 2015 y 2021, los cuales emplean el software Cost </w:t>
      </w:r>
      <w:proofErr w:type="spellStart"/>
      <w:r w:rsidRPr="008D646B">
        <w:rPr>
          <w:rFonts w:ascii="Times New Roman" w:eastAsia="Times New Roman" w:hAnsi="Times New Roman" w:cs="Times New Roman"/>
          <w:sz w:val="24"/>
          <w:szCs w:val="24"/>
        </w:rPr>
        <w:t>of</w:t>
      </w:r>
      <w:proofErr w:type="spellEnd"/>
      <w:r w:rsidRPr="008D646B">
        <w:rPr>
          <w:rFonts w:ascii="Times New Roman" w:eastAsia="Times New Roman" w:hAnsi="Times New Roman" w:cs="Times New Roman"/>
          <w:sz w:val="24"/>
          <w:szCs w:val="24"/>
        </w:rPr>
        <w:t xml:space="preserve"> </w:t>
      </w:r>
      <w:proofErr w:type="spellStart"/>
      <w:r w:rsidRPr="008D646B">
        <w:rPr>
          <w:rFonts w:ascii="Times New Roman" w:eastAsia="Times New Roman" w:hAnsi="Times New Roman" w:cs="Times New Roman"/>
          <w:sz w:val="24"/>
          <w:szCs w:val="24"/>
        </w:rPr>
        <w:t>the</w:t>
      </w:r>
      <w:proofErr w:type="spellEnd"/>
      <w:r w:rsidRPr="008D646B">
        <w:rPr>
          <w:rFonts w:ascii="Times New Roman" w:eastAsia="Times New Roman" w:hAnsi="Times New Roman" w:cs="Times New Roman"/>
          <w:sz w:val="24"/>
          <w:szCs w:val="24"/>
        </w:rPr>
        <w:t xml:space="preserve"> </w:t>
      </w:r>
      <w:proofErr w:type="spellStart"/>
      <w:r w:rsidRPr="008D646B">
        <w:rPr>
          <w:rFonts w:ascii="Times New Roman" w:eastAsia="Times New Roman" w:hAnsi="Times New Roman" w:cs="Times New Roman"/>
          <w:sz w:val="24"/>
          <w:szCs w:val="24"/>
        </w:rPr>
        <w:t>Diet</w:t>
      </w:r>
      <w:proofErr w:type="spellEnd"/>
      <w:r w:rsidRPr="008D646B">
        <w:rPr>
          <w:rFonts w:ascii="Times New Roman" w:eastAsia="Times New Roman" w:hAnsi="Times New Roman" w:cs="Times New Roman"/>
          <w:sz w:val="24"/>
          <w:szCs w:val="24"/>
        </w:rPr>
        <w:t xml:space="preserve">, desarrollado por Save </w:t>
      </w:r>
      <w:proofErr w:type="spellStart"/>
      <w:r w:rsidRPr="008D646B">
        <w:rPr>
          <w:rFonts w:ascii="Times New Roman" w:eastAsia="Times New Roman" w:hAnsi="Times New Roman" w:cs="Times New Roman"/>
          <w:sz w:val="24"/>
          <w:szCs w:val="24"/>
        </w:rPr>
        <w:t>the</w:t>
      </w:r>
      <w:proofErr w:type="spellEnd"/>
      <w:r w:rsidRPr="008D646B">
        <w:rPr>
          <w:rFonts w:ascii="Times New Roman" w:eastAsia="Times New Roman" w:hAnsi="Times New Roman" w:cs="Times New Roman"/>
          <w:sz w:val="24"/>
          <w:szCs w:val="24"/>
        </w:rPr>
        <w:t xml:space="preserve"> </w:t>
      </w:r>
      <w:proofErr w:type="spellStart"/>
      <w:r w:rsidRPr="008D646B">
        <w:rPr>
          <w:rFonts w:ascii="Times New Roman" w:eastAsia="Times New Roman" w:hAnsi="Times New Roman" w:cs="Times New Roman"/>
          <w:sz w:val="24"/>
          <w:szCs w:val="24"/>
        </w:rPr>
        <w:t>Children</w:t>
      </w:r>
      <w:proofErr w:type="spellEnd"/>
      <w:r w:rsidRPr="008D646B">
        <w:rPr>
          <w:rFonts w:ascii="Times New Roman" w:eastAsia="Times New Roman" w:hAnsi="Times New Roman" w:cs="Times New Roman"/>
          <w:sz w:val="24"/>
          <w:szCs w:val="24"/>
        </w:rPr>
        <w:t xml:space="preserve"> UK, para calcular mediante programación lineal el costo más bajo posible de una dieta que satisface simultáneamente restricciones mínimas y máximas de energía, proteína, grasa y 13 micronutrientes. En el modelo FNG, el requerimiento de energía se fija exactamente en la Necesidad Promedio Estimada (EAR, el valor mediano) para cada grupo fisiológico, tanto para la dieta suficiente en energía como para la dieta nutricionalmente adecuada; el requerimiento mínimo de micronutrientes se establece en la Ingesta Recomendada de Nutrientes (RNI), que cubre las necesidades del 97,5% de la población, mientras que la proteína se fija en el percentil 95 de la distribución del requerimiento por kilogramo de peso corporal y la grasa entre 20% y 35% del consumo energético según el grupo de edad. El FNG calcula el costo para cinco individuos estandarizados que representan distintas etapas del ciclo de vida (niño lactante menor de dos años, niño de 6 a 7 años, adolescente mujer de 14 a 15 años, mujer adulta en lactancia y hombre adulto), promediando estos costos para obtener el costo per cápita subnacional, y luego derivando un promedio nacional ponderado por población a partir de los promedios subnacionales; además, el modelo FNG impone una restricción mínima (equivalente a aproximadamente 50% de la energía) para el o los alimentos básicos (</w:t>
      </w:r>
      <w:proofErr w:type="spellStart"/>
      <w:r w:rsidRPr="008D646B">
        <w:rPr>
          <w:rFonts w:ascii="Times New Roman" w:eastAsia="Times New Roman" w:hAnsi="Times New Roman" w:cs="Times New Roman"/>
          <w:sz w:val="24"/>
          <w:szCs w:val="24"/>
        </w:rPr>
        <w:t>staples</w:t>
      </w:r>
      <w:proofErr w:type="spellEnd"/>
      <w:r w:rsidRPr="008D646B">
        <w:rPr>
          <w:rFonts w:ascii="Times New Roman" w:eastAsia="Times New Roman" w:hAnsi="Times New Roman" w:cs="Times New Roman"/>
          <w:sz w:val="24"/>
          <w:szCs w:val="24"/>
        </w:rPr>
        <w:t xml:space="preserve">) de consumo más común localmente, identificados mediante </w:t>
      </w:r>
      <w:r w:rsidRPr="008D646B">
        <w:rPr>
          <w:rFonts w:ascii="Times New Roman" w:eastAsia="Times New Roman" w:hAnsi="Times New Roman" w:cs="Times New Roman"/>
          <w:sz w:val="24"/>
          <w:szCs w:val="24"/>
        </w:rPr>
        <w:lastRenderedPageBreak/>
        <w:t>revisión de datos de gasto en alimentos y consultas con actores locales, los cuales pueden variar entre unidades subnacionales, con el fin de evitar que el modelo seleccione fuentes de energía baratas pero no consumidas habitualmente. La composición de alimentos en el FNG se obtiene combinando la base de datos USDA Standard Reference con tablas de composición de alimentos específicas por región para África Occidental y, en algunos casos, tablas específicas por país para África Oriental y Asia; los precios de los alimentos provienen de recolección primaria en mercados locales, datos gubernamentales preexistentes (por ejemplo, los usados para calcular el IPC) y encuestas de consumo y gasto de los hogares, variando la fuente según el país, e incluyendo listas de alimentos amplias que buscan capturar incluso alimentos poco comunes o de disponibilidad solo local. Por su parte, la metodología FPN calcula el costo de cubrir los requerimientos nutricionales medianos únicamente para una mujer adulta no embarazada y no lactante (por representar aproximadamente la mediana poblacional de necesidades nutricionales), utilizando como nutriente objetivo la Necesidad Promedio Estimada (EAR, que cubre las necesidades del 50% de la población) en lugar de la RNI utilizada por el FNG; la dieta suficiente en energía del FPN se calcula como el costo de cubrir el requerimiento energético usando el alimento básico almidonado (</w:t>
      </w:r>
      <w:proofErr w:type="spellStart"/>
      <w:r w:rsidRPr="008D646B">
        <w:rPr>
          <w:rFonts w:ascii="Times New Roman" w:eastAsia="Times New Roman" w:hAnsi="Times New Roman" w:cs="Times New Roman"/>
          <w:sz w:val="24"/>
          <w:szCs w:val="24"/>
        </w:rPr>
        <w:t>starchy</w:t>
      </w:r>
      <w:proofErr w:type="spellEnd"/>
      <w:r w:rsidRPr="008D646B">
        <w:rPr>
          <w:rFonts w:ascii="Times New Roman" w:eastAsia="Times New Roman" w:hAnsi="Times New Roman" w:cs="Times New Roman"/>
          <w:sz w:val="24"/>
          <w:szCs w:val="24"/>
        </w:rPr>
        <w:t xml:space="preserve"> </w:t>
      </w:r>
      <w:proofErr w:type="spellStart"/>
      <w:r w:rsidRPr="008D646B">
        <w:rPr>
          <w:rFonts w:ascii="Times New Roman" w:eastAsia="Times New Roman" w:hAnsi="Times New Roman" w:cs="Times New Roman"/>
          <w:sz w:val="24"/>
          <w:szCs w:val="24"/>
        </w:rPr>
        <w:t>staple</w:t>
      </w:r>
      <w:proofErr w:type="spellEnd"/>
      <w:r w:rsidRPr="008D646B">
        <w:rPr>
          <w:rFonts w:ascii="Times New Roman" w:eastAsia="Times New Roman" w:hAnsi="Times New Roman" w:cs="Times New Roman"/>
          <w:sz w:val="24"/>
          <w:szCs w:val="24"/>
        </w:rPr>
        <w:t xml:space="preserve">) de menor costo disponible en el país, sin restringir el modelo a un alimento específico más allá de que los macronutrientes se mantengan dentro del rango aceptable definido por el </w:t>
      </w:r>
      <w:proofErr w:type="spellStart"/>
      <w:r w:rsidRPr="008D646B">
        <w:rPr>
          <w:rFonts w:ascii="Times New Roman" w:eastAsia="Times New Roman" w:hAnsi="Times New Roman" w:cs="Times New Roman"/>
          <w:sz w:val="24"/>
          <w:szCs w:val="24"/>
        </w:rPr>
        <w:t>Institute</w:t>
      </w:r>
      <w:proofErr w:type="spellEnd"/>
      <w:r w:rsidRPr="008D646B">
        <w:rPr>
          <w:rFonts w:ascii="Times New Roman" w:eastAsia="Times New Roman" w:hAnsi="Times New Roman" w:cs="Times New Roman"/>
          <w:sz w:val="24"/>
          <w:szCs w:val="24"/>
        </w:rPr>
        <w:t xml:space="preserve"> </w:t>
      </w:r>
      <w:proofErr w:type="spellStart"/>
      <w:r w:rsidRPr="008D646B">
        <w:rPr>
          <w:rFonts w:ascii="Times New Roman" w:eastAsia="Times New Roman" w:hAnsi="Times New Roman" w:cs="Times New Roman"/>
          <w:sz w:val="24"/>
          <w:szCs w:val="24"/>
        </w:rPr>
        <w:t>of</w:t>
      </w:r>
      <w:proofErr w:type="spellEnd"/>
      <w:r w:rsidRPr="008D646B">
        <w:rPr>
          <w:rFonts w:ascii="Times New Roman" w:eastAsia="Times New Roman" w:hAnsi="Times New Roman" w:cs="Times New Roman"/>
          <w:sz w:val="24"/>
          <w:szCs w:val="24"/>
        </w:rPr>
        <w:t xml:space="preserve"> Medicine, mientras que la dieta nutricionalmente adecuada se calcula como la dieta de menor costo que satisface los niveles recomendados para 23 macro y micronutrientes esenciales dentro de límites superiores tolerables, cumpliendo exactamente el requerimiento energético; los precios utilizados por el FPN son datos nacionales de 2017 provenientes del International </w:t>
      </w:r>
      <w:proofErr w:type="spellStart"/>
      <w:r w:rsidRPr="008D646B">
        <w:rPr>
          <w:rFonts w:ascii="Times New Roman" w:eastAsia="Times New Roman" w:hAnsi="Times New Roman" w:cs="Times New Roman"/>
          <w:sz w:val="24"/>
          <w:szCs w:val="24"/>
        </w:rPr>
        <w:t>Comparison</w:t>
      </w:r>
      <w:proofErr w:type="spellEnd"/>
      <w:r w:rsidRPr="008D646B">
        <w:rPr>
          <w:rFonts w:ascii="Times New Roman" w:eastAsia="Times New Roman" w:hAnsi="Times New Roman" w:cs="Times New Roman"/>
          <w:sz w:val="24"/>
          <w:szCs w:val="24"/>
        </w:rPr>
        <w:t xml:space="preserve"> </w:t>
      </w:r>
      <w:proofErr w:type="spellStart"/>
      <w:r w:rsidRPr="008D646B">
        <w:rPr>
          <w:rFonts w:ascii="Times New Roman" w:eastAsia="Times New Roman" w:hAnsi="Times New Roman" w:cs="Times New Roman"/>
          <w:sz w:val="24"/>
          <w:szCs w:val="24"/>
        </w:rPr>
        <w:t>Program</w:t>
      </w:r>
      <w:proofErr w:type="spellEnd"/>
      <w:r w:rsidRPr="008D646B">
        <w:rPr>
          <w:rFonts w:ascii="Times New Roman" w:eastAsia="Times New Roman" w:hAnsi="Times New Roman" w:cs="Times New Roman"/>
          <w:sz w:val="24"/>
          <w:szCs w:val="24"/>
        </w:rPr>
        <w:t xml:space="preserve"> del Banco Mundial, aplicados con listas de alimentos preestablecidas y cerradas que pueden omitir alimentos de disponibilidad solo regional, y la composición de alimentos se basa también en USDA, más tablas específicas para África Occidental, Sur de Asia y una tabla que incluye pescados y mariscos. Todas las estimaciones de ambos métodos fueron estandarizadas de moneda local a dólares estadounidenses ajustados por paridad de poder adquisitivo (PPP) de 2020, utilizando tasas de conversión del Banco Mundial, tratándose por tanto de costos reales (ajustados por poder adquisitivo entre países) y no de valores nominales en moneda local; el ajuste inflacionario hacia el año base 2020 se realizó mediante el Índice de Precios al Consumidor de alimentos (</w:t>
      </w:r>
      <w:proofErr w:type="spellStart"/>
      <w:r w:rsidRPr="008D646B">
        <w:rPr>
          <w:rFonts w:ascii="Times New Roman" w:eastAsia="Times New Roman" w:hAnsi="Times New Roman" w:cs="Times New Roman"/>
          <w:sz w:val="24"/>
          <w:szCs w:val="24"/>
        </w:rPr>
        <w:t>food</w:t>
      </w:r>
      <w:proofErr w:type="spellEnd"/>
      <w:r w:rsidRPr="008D646B">
        <w:rPr>
          <w:rFonts w:ascii="Times New Roman" w:eastAsia="Times New Roman" w:hAnsi="Times New Roman" w:cs="Times New Roman"/>
          <w:sz w:val="24"/>
          <w:szCs w:val="24"/>
        </w:rPr>
        <w:t xml:space="preserve"> CPI). Solo se incluyeron en la comparación los países con datos disponibles tanto en FNG como en FPN (n=25 para la dieta suficiente en energía, n=26 para la dieta nutricionalmente adecuada), y se calculó el coeficiente de correlación de rangos de Spearman entre ambas estimaciones nacionales, además de examinar la variación subnacional dentro de cada país y la variación del costo por etapa del ciclo de vida entre los cinco individuos considerados por el FNG.</w:t>
      </w:r>
    </w:p>
    <w:p w14:paraId="4928F08B" w14:textId="77777777" w:rsidR="005B54E9" w:rsidRPr="008D646B" w:rsidRDefault="005B54E9" w:rsidP="008D646B">
      <w:pPr>
        <w:jc w:val="both"/>
        <w:rPr>
          <w:rFonts w:ascii="Times New Roman" w:eastAsia="Times New Roman" w:hAnsi="Times New Roman" w:cs="Times New Roman"/>
          <w:b/>
          <w:bCs/>
          <w:sz w:val="24"/>
          <w:szCs w:val="24"/>
        </w:rPr>
      </w:pPr>
      <w:r w:rsidRPr="008D646B">
        <w:rPr>
          <w:rFonts w:ascii="Times New Roman" w:eastAsia="Times New Roman" w:hAnsi="Times New Roman" w:cs="Times New Roman"/>
          <w:b/>
          <w:bCs/>
          <w:sz w:val="24"/>
          <w:szCs w:val="24"/>
        </w:rPr>
        <w:t>Resultados</w:t>
      </w:r>
    </w:p>
    <w:p w14:paraId="044D40AD" w14:textId="163FC477" w:rsidR="00265E4D" w:rsidRPr="008D646B" w:rsidRDefault="005B54E9" w:rsidP="008D646B">
      <w:pPr>
        <w:jc w:val="both"/>
        <w:rPr>
          <w:rFonts w:ascii="Times New Roman" w:eastAsia="Times New Roman" w:hAnsi="Times New Roman" w:cs="Times New Roman"/>
          <w:sz w:val="24"/>
          <w:szCs w:val="24"/>
        </w:rPr>
      </w:pPr>
      <w:r w:rsidRPr="008D646B">
        <w:rPr>
          <w:rFonts w:ascii="Times New Roman" w:eastAsia="Times New Roman" w:hAnsi="Times New Roman" w:cs="Times New Roman"/>
          <w:sz w:val="24"/>
          <w:szCs w:val="24"/>
        </w:rPr>
        <w:t xml:space="preserve">El coeficiente de correlación de Spearman entre las estimaciones nacionales FNG y FPN fue de 0,79 (p&lt;0,001) para el costo de la dieta suficiente en energía y de 0,61 (p=0,001) para el costo de la dieta nutricionalmente adecuada. Las estimaciones medianas para la dieta suficiente en energía fueron de 0,78 USD PPP (FPN) y 0,62 USD PPP (FNG), mientras que para la dieta nutricionalmente adecuada fueron de 2,21 USD PPP (FPN) y 2,07 USD PPP </w:t>
      </w:r>
      <w:r w:rsidRPr="008D646B">
        <w:rPr>
          <w:rFonts w:ascii="Times New Roman" w:eastAsia="Times New Roman" w:hAnsi="Times New Roman" w:cs="Times New Roman"/>
          <w:sz w:val="24"/>
          <w:szCs w:val="24"/>
        </w:rPr>
        <w:lastRenderedPageBreak/>
        <w:t>(FNG). Las estimaciones nacionales FPN para la dieta nutricionalmente adecuada oscilaron entre 1,16 USD PPP (República Democrática del Congo) y 2,89 USD PPP (Indonesia), mientras que las estimaciones FNG oscilaron entre 0,93 USD PPP (Malí) y 4,20 USD PPP (República Kirguisa), observándose diferencias notables entre ambos métodos en países como Camboya, República Dominicana, Indonesia, República Kirguisa y Zambia. En numerosos países, la variación subnacional del costo de la dieta dentro del propio país fue tan amplia como la variación observada entre países. Respecto a la variación por etapa del ciclo de vida, para la dieta suficiente en energía los costos rondaron un dólar (2020 USD PPP) para la adolescente mujer (0,84; IC 95% 0,82 a 0,86), el hombre adulto (0,96; IC 95% 0,94 a 0,98) y la mujer en lactancia (0,98; IC 95% 0,96 a 1,00); para la dieta nutricionalmente adecuada, los costos fueron de 3,57 USD PPP (IC 95% 3,45 a 3,68) para la adolescente mujer, 2,16 USD PPP (IC 95% 2,10 a 2,21) para el hombre adulto y 2,92 USD PPP (IC 95% 2,85 a 2,99) para la mujer en lactancia, siendo la adolescente mujer el individuo con el rango más amplio de variación del costo de la dieta nutricionalmente adecuada entre las áreas subnacionales analizadas.</w:t>
      </w:r>
    </w:p>
    <w:p w14:paraId="18377B33" w14:textId="77777777" w:rsidR="00330D71" w:rsidRPr="008D646B" w:rsidRDefault="00A972BD" w:rsidP="008D646B">
      <w:pPr>
        <w:pStyle w:val="Prrafodelista"/>
        <w:numPr>
          <w:ilvl w:val="0"/>
          <w:numId w:val="3"/>
        </w:numPr>
        <w:jc w:val="both"/>
        <w:rPr>
          <w:rFonts w:ascii="Times New Roman" w:eastAsia="Times New Roman" w:hAnsi="Times New Roman" w:cs="Times New Roman"/>
          <w:b/>
          <w:bCs/>
          <w:sz w:val="24"/>
          <w:szCs w:val="24"/>
        </w:rPr>
      </w:pPr>
      <w:r w:rsidRPr="008D646B">
        <w:rPr>
          <w:rFonts w:ascii="Times New Roman" w:eastAsia="Times New Roman" w:hAnsi="Times New Roman" w:cs="Times New Roman"/>
          <w:b/>
          <w:bCs/>
          <w:sz w:val="24"/>
          <w:szCs w:val="24"/>
        </w:rPr>
        <w:t>Iregui y Otero (2017)</w:t>
      </w:r>
    </w:p>
    <w:p w14:paraId="51474CC7" w14:textId="77777777" w:rsidR="00330D71" w:rsidRPr="008D646B" w:rsidRDefault="00330D71" w:rsidP="008D646B">
      <w:pPr>
        <w:jc w:val="both"/>
        <w:rPr>
          <w:rStyle w:val="Fuerte"/>
          <w:rFonts w:ascii="Times New Roman" w:hAnsi="Times New Roman" w:cs="Times New Roman"/>
          <w:sz w:val="24"/>
          <w:szCs w:val="24"/>
        </w:rPr>
      </w:pPr>
      <w:r w:rsidRPr="008D646B">
        <w:rPr>
          <w:rStyle w:val="Fuerte"/>
          <w:rFonts w:ascii="Times New Roman" w:hAnsi="Times New Roman" w:cs="Times New Roman"/>
          <w:sz w:val="24"/>
          <w:szCs w:val="24"/>
        </w:rPr>
        <w:t>Objetivo</w:t>
      </w:r>
    </w:p>
    <w:p w14:paraId="5E4C877E" w14:textId="77777777" w:rsidR="00330D71" w:rsidRPr="008D646B" w:rsidRDefault="00330D71" w:rsidP="008D646B">
      <w:pPr>
        <w:jc w:val="both"/>
        <w:rPr>
          <w:rFonts w:ascii="Times New Roman" w:hAnsi="Times New Roman" w:cs="Times New Roman"/>
          <w:sz w:val="24"/>
          <w:szCs w:val="24"/>
        </w:rPr>
      </w:pPr>
      <w:r w:rsidRPr="008D646B">
        <w:rPr>
          <w:rFonts w:ascii="Times New Roman" w:hAnsi="Times New Roman" w:cs="Times New Roman"/>
          <w:sz w:val="24"/>
          <w:szCs w:val="24"/>
        </w:rPr>
        <w:t>Investigar la extensión de la integración espacial de mercados en Colombia, mediante el uso de datos desagregados del índice de precios al consumidor (IPC) para evaluar la validez de la ley de un solo precio (LOP) en su versión relativa, empleando un enfoque de series de tiempo por pares (</w:t>
      </w:r>
      <w:proofErr w:type="spellStart"/>
      <w:r w:rsidRPr="008D646B">
        <w:rPr>
          <w:rFonts w:ascii="Times New Roman" w:hAnsi="Times New Roman" w:cs="Times New Roman"/>
          <w:sz w:val="24"/>
          <w:szCs w:val="24"/>
        </w:rPr>
        <w:t>pairwise</w:t>
      </w:r>
      <w:proofErr w:type="spellEnd"/>
      <w:r w:rsidRPr="008D646B">
        <w:rPr>
          <w:rFonts w:ascii="Times New Roman" w:hAnsi="Times New Roman" w:cs="Times New Roman"/>
          <w:sz w:val="24"/>
          <w:szCs w:val="24"/>
        </w:rPr>
        <w:t>) que además incorpora información de corte transversal para examinar los determinantes de la velocidad de ajuste de los diferenciales de precios entre ciudades.</w:t>
      </w:r>
    </w:p>
    <w:p w14:paraId="615AA5F5" w14:textId="77777777" w:rsidR="00330D71" w:rsidRPr="008D646B" w:rsidRDefault="00330D71" w:rsidP="008D646B">
      <w:pPr>
        <w:jc w:val="both"/>
        <w:rPr>
          <w:rStyle w:val="Fuerte"/>
          <w:rFonts w:ascii="Times New Roman" w:hAnsi="Times New Roman" w:cs="Times New Roman"/>
          <w:sz w:val="24"/>
          <w:szCs w:val="24"/>
        </w:rPr>
      </w:pPr>
      <w:r w:rsidRPr="008D646B">
        <w:rPr>
          <w:rStyle w:val="Fuerte"/>
          <w:rFonts w:ascii="Times New Roman" w:hAnsi="Times New Roman" w:cs="Times New Roman"/>
          <w:sz w:val="24"/>
          <w:szCs w:val="24"/>
        </w:rPr>
        <w:t>Metodología</w:t>
      </w:r>
    </w:p>
    <w:p w14:paraId="514134BF" w14:textId="3D148F3A" w:rsidR="00330D71" w:rsidRPr="008D646B" w:rsidRDefault="00330D71" w:rsidP="008D646B">
      <w:pPr>
        <w:jc w:val="both"/>
        <w:rPr>
          <w:rFonts w:ascii="Times New Roman" w:hAnsi="Times New Roman" w:cs="Times New Roman"/>
          <w:sz w:val="24"/>
          <w:szCs w:val="24"/>
        </w:rPr>
      </w:pPr>
      <w:r w:rsidRPr="008D646B">
        <w:rPr>
          <w:rFonts w:ascii="Times New Roman" w:hAnsi="Times New Roman" w:cs="Times New Roman"/>
          <w:sz w:val="24"/>
          <w:szCs w:val="24"/>
        </w:rPr>
        <w:t xml:space="preserve">La base de datos se obtuvo del Departamento Administrativo Nacional de Estadística (DANE) y consistió en observaciones mensuales sin desestacionalizar de los índices de precios al consumidor para 153 productos en las 13 principales áreas metropolitanas del país (Bogotá, Medellín, Cali, Barranquilla, Cartagena, Cúcuta, Bucaramanga, Pereira, Villavicencio, Pasto, Montería, Manizales y Neiva), para el período de enero de 1999 a febrero de 2013 (170 observaciones), aplicando la transformación logarítmica a todos los índices de precios; estos son índices de precios nominales (no deflactados ni ajustados por inflación general), dado que el análisis se centra en el comportamiento de los diferenciales relativos de precios entre ciudades, no en su poder adquisitivo real. Siguiendo la clasificación de productos utilizada por el Banco de la República en su informe trimestral de inflación, los productos se dividieron en dos categorías amplias, transables (125 productos) y no transables (28 productos), y dentro de los transables se distinguió entre alimentos no procesados (17), alimentos procesados (37) y otros transables (71), según el grado de </w:t>
      </w:r>
      <w:proofErr w:type="spellStart"/>
      <w:r w:rsidRPr="008D646B">
        <w:rPr>
          <w:rFonts w:ascii="Times New Roman" w:hAnsi="Times New Roman" w:cs="Times New Roman"/>
          <w:sz w:val="24"/>
          <w:szCs w:val="24"/>
        </w:rPr>
        <w:t>perecibilidad</w:t>
      </w:r>
      <w:proofErr w:type="spellEnd"/>
      <w:r w:rsidRPr="008D646B">
        <w:rPr>
          <w:rFonts w:ascii="Times New Roman" w:hAnsi="Times New Roman" w:cs="Times New Roman"/>
          <w:sz w:val="24"/>
          <w:szCs w:val="24"/>
        </w:rPr>
        <w:t xml:space="preserve"> del bien. La estrategia econométrica se basó en el enfoque "</w:t>
      </w:r>
      <w:proofErr w:type="spellStart"/>
      <w:r w:rsidRPr="008D646B">
        <w:rPr>
          <w:rFonts w:ascii="Times New Roman" w:hAnsi="Times New Roman" w:cs="Times New Roman"/>
          <w:sz w:val="24"/>
          <w:szCs w:val="24"/>
        </w:rPr>
        <w:t>pairwise</w:t>
      </w:r>
      <w:proofErr w:type="spellEnd"/>
      <w:r w:rsidRPr="008D646B">
        <w:rPr>
          <w:rFonts w:ascii="Times New Roman" w:hAnsi="Times New Roman" w:cs="Times New Roman"/>
          <w:sz w:val="24"/>
          <w:szCs w:val="24"/>
        </w:rPr>
        <w:t>" de Pesaran (2007), originalmente desarrollado para pruebas de convergencia de producto y crecimiento: para cada bien y cada par de ciudades</w:t>
      </w:r>
      <w:r w:rsidR="006C024E">
        <w:rPr>
          <w:rFonts w:ascii="Times New Roman" w:hAnsi="Times New Roman" w:cs="Times New Roman"/>
          <w:sz w:val="24"/>
          <w:szCs w:val="24"/>
        </w:rPr>
        <w:t xml:space="preserve">, </w:t>
      </w:r>
      <w:r w:rsidRPr="008D646B">
        <w:rPr>
          <w:rFonts w:ascii="Times New Roman" w:hAnsi="Times New Roman" w:cs="Times New Roman"/>
          <w:sz w:val="24"/>
          <w:szCs w:val="24"/>
        </w:rPr>
        <w:t>se definió el diferencial de precio</w:t>
      </w:r>
      <w:r w:rsidR="006C024E">
        <w:rPr>
          <w:rFonts w:ascii="Times New Roman" w:hAnsi="Times New Roman" w:cs="Times New Roman"/>
          <w:sz w:val="24"/>
          <w:szCs w:val="24"/>
        </w:rPr>
        <w:t xml:space="preserve">, </w:t>
      </w:r>
      <w:r w:rsidRPr="008D646B">
        <w:rPr>
          <w:rFonts w:ascii="Times New Roman" w:hAnsi="Times New Roman" w:cs="Times New Roman"/>
          <w:sz w:val="24"/>
          <w:szCs w:val="24"/>
        </w:rPr>
        <w:t xml:space="preserve">examinando las propiedades de series de tiempo de la totalidad de los N(N−1)/2 = 78 diferenciales de precios posibles entre las 13 ciudades, evitando así el problema de sensibilidad a la elección de una ciudad de referencia </w:t>
      </w:r>
      <w:r w:rsidRPr="008D646B">
        <w:rPr>
          <w:rFonts w:ascii="Times New Roman" w:hAnsi="Times New Roman" w:cs="Times New Roman"/>
          <w:sz w:val="24"/>
          <w:szCs w:val="24"/>
        </w:rPr>
        <w:lastRenderedPageBreak/>
        <w:t xml:space="preserve">(o "base") que presenta el enfoque tradicional de comparar todas las series contra una sola ciudad </w:t>
      </w:r>
      <w:proofErr w:type="spellStart"/>
      <w:r w:rsidRPr="008D646B">
        <w:rPr>
          <w:rFonts w:ascii="Times New Roman" w:hAnsi="Times New Roman" w:cs="Times New Roman"/>
          <w:sz w:val="24"/>
          <w:szCs w:val="24"/>
        </w:rPr>
        <w:t>benchmark</w:t>
      </w:r>
      <w:proofErr w:type="spellEnd"/>
      <w:r w:rsidRPr="008D646B">
        <w:rPr>
          <w:rFonts w:ascii="Times New Roman" w:hAnsi="Times New Roman" w:cs="Times New Roman"/>
          <w:sz w:val="24"/>
          <w:szCs w:val="24"/>
        </w:rPr>
        <w:t xml:space="preserve">. Se aplicaron las pruebas ADF y </w:t>
      </w:r>
      <w:proofErr w:type="spellStart"/>
      <w:r w:rsidRPr="008D646B">
        <w:rPr>
          <w:rFonts w:ascii="Times New Roman" w:hAnsi="Times New Roman" w:cs="Times New Roman"/>
          <w:sz w:val="24"/>
          <w:szCs w:val="24"/>
        </w:rPr>
        <w:t>ADFmax</w:t>
      </w:r>
      <w:proofErr w:type="spellEnd"/>
      <w:r w:rsidRPr="008D646B">
        <w:rPr>
          <w:rFonts w:ascii="Times New Roman" w:hAnsi="Times New Roman" w:cs="Times New Roman"/>
          <w:sz w:val="24"/>
          <w:szCs w:val="24"/>
        </w:rPr>
        <w:t>, incluyendo un término de intercepto en la regresión de raíz unitaria y seleccionando la longitud óptima de rezagos mediante AIC</w:t>
      </w:r>
      <w:r w:rsidR="001C2A1F">
        <w:rPr>
          <w:rFonts w:ascii="Times New Roman" w:hAnsi="Times New Roman" w:cs="Times New Roman"/>
          <w:sz w:val="24"/>
          <w:szCs w:val="24"/>
        </w:rPr>
        <w:t xml:space="preserve">; </w:t>
      </w:r>
      <w:r w:rsidRPr="008D646B">
        <w:rPr>
          <w:rFonts w:ascii="Times New Roman" w:hAnsi="Times New Roman" w:cs="Times New Roman"/>
          <w:sz w:val="24"/>
          <w:szCs w:val="24"/>
        </w:rPr>
        <w:t>ambas pruebas se realizaron a los niveles de significancia de 5% y 10% (reportándose únicamente los resultados al 10%). Se calculó la fracción de rechazos de la hipótesis nula de no estacionariedad para cada categoría de producto, promediando el resultado de todos los productos de esa categoría. Para los diferenciales de precio que resultaron estacionarios según la prueba ADF al 10% de significancia, se calculó la vida media aproximada de un choque, en meses; estas vidas medias se promediaron primero por producto y luego por categoría de producto. Adicionalmente, se estimó de forma recursiva la vida media de los choques utilizando submuestras sucesivamente más grandes (comenzando en 1999m1-2010m1 y extendiéndose mes a mes hasta 1999m1-2013m2), normalizando los valores para que fueran iguales a 1 en 2010m1, con el fin de evaluar si la velocidad de ajuste varía en el tiempo. En una segunda etapa, se examinaron los determinantes de la velocidad de ajuste de los diferenciales de precio estacionarios</w:t>
      </w:r>
      <w:r w:rsidR="00885D4D">
        <w:rPr>
          <w:rFonts w:ascii="Times New Roman" w:hAnsi="Times New Roman" w:cs="Times New Roman"/>
          <w:sz w:val="24"/>
          <w:szCs w:val="24"/>
        </w:rPr>
        <w:t xml:space="preserve">, donde una variable </w:t>
      </w:r>
      <w:r w:rsidRPr="008D646B">
        <w:rPr>
          <w:rFonts w:ascii="Times New Roman" w:hAnsi="Times New Roman" w:cs="Times New Roman"/>
          <w:sz w:val="24"/>
          <w:szCs w:val="24"/>
        </w:rPr>
        <w:t xml:space="preserve">corresponde alternativamente a dos medidas de separación geográfica entre ciudades calculadas mediante un script personalizado en Java que emplea la API de Google </w:t>
      </w:r>
      <w:proofErr w:type="spellStart"/>
      <w:r w:rsidRPr="008D646B">
        <w:rPr>
          <w:rFonts w:ascii="Times New Roman" w:hAnsi="Times New Roman" w:cs="Times New Roman"/>
          <w:sz w:val="24"/>
          <w:szCs w:val="24"/>
        </w:rPr>
        <w:t>Maps</w:t>
      </w:r>
      <w:proofErr w:type="spellEnd"/>
      <w:r w:rsidRPr="008D646B">
        <w:rPr>
          <w:rFonts w:ascii="Times New Roman" w:hAnsi="Times New Roman" w:cs="Times New Roman"/>
          <w:sz w:val="24"/>
          <w:szCs w:val="24"/>
        </w:rPr>
        <w:t xml:space="preserve">: la distancia óptima recorrida por la red vial entre cada par de </w:t>
      </w:r>
      <w:r w:rsidRPr="00885D4D">
        <w:rPr>
          <w:rFonts w:ascii="Times New Roman" w:hAnsi="Times New Roman" w:cs="Times New Roman"/>
          <w:sz w:val="24"/>
          <w:szCs w:val="24"/>
        </w:rPr>
        <w:t>ciudades (en kilómetros) y la duración óptima del viaje por dicha red vial (en minutos), ambas en logaritmos, elegidas en lugar de la distancia de círculo máximo tradicional porque</w:t>
      </w:r>
      <w:r w:rsidRPr="008D646B">
        <w:rPr>
          <w:rFonts w:ascii="Times New Roman" w:hAnsi="Times New Roman" w:cs="Times New Roman"/>
          <w:sz w:val="24"/>
          <w:szCs w:val="24"/>
        </w:rPr>
        <w:t xml:space="preserve"> capturan mejor las complejidades de la red vial real y las condiciones topográficas del terreno del país; adicionalmente se incluyó como regresor la densidad poblacional relativa entre ciudades, medida como el valor absoluto de la diferencia de los logaritmos de las densidades poblacionales de las ciudades, con datos de población provenientes del DANE), y variables </w:t>
      </w:r>
      <w:proofErr w:type="spellStart"/>
      <w:r w:rsidRPr="008D646B">
        <w:rPr>
          <w:rFonts w:ascii="Times New Roman" w:hAnsi="Times New Roman" w:cs="Times New Roman"/>
          <w:sz w:val="24"/>
          <w:szCs w:val="24"/>
        </w:rPr>
        <w:t>dummy</w:t>
      </w:r>
      <w:proofErr w:type="spellEnd"/>
      <w:r w:rsidRPr="008D646B">
        <w:rPr>
          <w:rFonts w:ascii="Times New Roman" w:hAnsi="Times New Roman" w:cs="Times New Roman"/>
          <w:sz w:val="24"/>
          <w:szCs w:val="24"/>
        </w:rPr>
        <w:t xml:space="preserve"> específicas por producto para controlar la heterogeneidad entre bienes; el modelo se estimó por mínimos cuadrados ordinarios con errores estándar consistentes ante heterocedasticidad (White), separadamente para cada una de las cuatro categorías de producto (alimentos no procesados, alimentos procesados, otros transables y no transables).</w:t>
      </w:r>
    </w:p>
    <w:p w14:paraId="63D19C21" w14:textId="77777777" w:rsidR="00330D71" w:rsidRPr="008D646B" w:rsidRDefault="00330D71" w:rsidP="008D646B">
      <w:pPr>
        <w:jc w:val="both"/>
        <w:rPr>
          <w:rStyle w:val="Fuerte"/>
          <w:rFonts w:ascii="Times New Roman" w:hAnsi="Times New Roman" w:cs="Times New Roman"/>
          <w:sz w:val="24"/>
          <w:szCs w:val="24"/>
        </w:rPr>
      </w:pPr>
      <w:r w:rsidRPr="008D646B">
        <w:rPr>
          <w:rStyle w:val="Fuerte"/>
          <w:rFonts w:ascii="Times New Roman" w:hAnsi="Times New Roman" w:cs="Times New Roman"/>
          <w:sz w:val="24"/>
          <w:szCs w:val="24"/>
        </w:rPr>
        <w:t>Resultados</w:t>
      </w:r>
    </w:p>
    <w:p w14:paraId="147CD61B" w14:textId="06184F29" w:rsidR="00A347FA" w:rsidRPr="008D646B" w:rsidRDefault="00330D71" w:rsidP="008D646B">
      <w:pPr>
        <w:jc w:val="both"/>
        <w:rPr>
          <w:rFonts w:ascii="Times New Roman" w:eastAsia="Times New Roman" w:hAnsi="Times New Roman" w:cs="Times New Roman"/>
          <w:b/>
          <w:bCs/>
          <w:sz w:val="24"/>
          <w:szCs w:val="24"/>
        </w:rPr>
      </w:pPr>
      <w:r w:rsidRPr="008D646B">
        <w:rPr>
          <w:rFonts w:ascii="Times New Roman" w:hAnsi="Times New Roman" w:cs="Times New Roman"/>
          <w:sz w:val="24"/>
          <w:szCs w:val="24"/>
        </w:rPr>
        <w:t xml:space="preserve">La fracción de rechazo de la hipótesis nula de no estacionariedad, según la prueba ADF al 10% de significancia, fue mayor para los alimentos no procesados (71%), seguida de los alimentos procesados (35%), mientras que los productos no transables y otros transables presentaron fracciones menores (27% y 25%, respectivamente); resultados cualitativamente similares se obtuvieron con la prueba </w:t>
      </w:r>
      <w:proofErr w:type="spellStart"/>
      <w:r w:rsidRPr="008D646B">
        <w:rPr>
          <w:rFonts w:ascii="Times New Roman" w:hAnsi="Times New Roman" w:cs="Times New Roman"/>
          <w:sz w:val="24"/>
          <w:szCs w:val="24"/>
        </w:rPr>
        <w:t>ADFmax</w:t>
      </w:r>
      <w:proofErr w:type="spellEnd"/>
      <w:r w:rsidRPr="008D646B">
        <w:rPr>
          <w:rFonts w:ascii="Times New Roman" w:hAnsi="Times New Roman" w:cs="Times New Roman"/>
          <w:sz w:val="24"/>
          <w:szCs w:val="24"/>
        </w:rPr>
        <w:t xml:space="preserve"> (80%, 33%, 16% y 15%, en el mismo orden). Los productos con la evidencia más fuerte de integración espacial de mercados (porcentaje de diferenciales de precio estacionarios superior a 90%) fueron papa (todas las variedades), naranjas, tomate y otras raíces. En comparación con estudios previos en otros países usando enfoques similares, las fracciones de rechazo obtenidas para Colombia en bienes no perecederos y no transables (33% y 27% respectivamente, según ADF) resultaron menores a las reportadas para Estados Unidos por Yazgan y </w:t>
      </w:r>
      <w:proofErr w:type="spellStart"/>
      <w:r w:rsidRPr="008D646B">
        <w:rPr>
          <w:rFonts w:ascii="Times New Roman" w:hAnsi="Times New Roman" w:cs="Times New Roman"/>
          <w:sz w:val="24"/>
          <w:szCs w:val="24"/>
        </w:rPr>
        <w:t>Yilmazkuday</w:t>
      </w:r>
      <w:proofErr w:type="spellEnd"/>
      <w:r w:rsidRPr="008D646B">
        <w:rPr>
          <w:rFonts w:ascii="Times New Roman" w:hAnsi="Times New Roman" w:cs="Times New Roman"/>
          <w:sz w:val="24"/>
          <w:szCs w:val="24"/>
        </w:rPr>
        <w:t xml:space="preserve"> (60% y 44%), mientras que la fracción para bienes no procesados en Colombia (71%) fue mayor a la reportada para bienes perecederos en ese estudio (58%). En cuanto a la velocidad de ajuste, la vida media </w:t>
      </w:r>
      <w:r w:rsidRPr="008D646B">
        <w:rPr>
          <w:rFonts w:ascii="Times New Roman" w:hAnsi="Times New Roman" w:cs="Times New Roman"/>
          <w:sz w:val="24"/>
          <w:szCs w:val="24"/>
        </w:rPr>
        <w:lastRenderedPageBreak/>
        <w:t>promedio de un choque fue de 4,3 meses para alimentos no procesados y de 6,9 meses para alimentos procesados, siendo mora azul (</w:t>
      </w:r>
      <w:proofErr w:type="spellStart"/>
      <w:r w:rsidRPr="008D646B">
        <w:rPr>
          <w:rFonts w:ascii="Times New Roman" w:hAnsi="Times New Roman" w:cs="Times New Roman"/>
          <w:sz w:val="24"/>
          <w:szCs w:val="24"/>
        </w:rPr>
        <w:t>blackberries</w:t>
      </w:r>
      <w:proofErr w:type="spellEnd"/>
      <w:r w:rsidRPr="008D646B">
        <w:rPr>
          <w:rFonts w:ascii="Times New Roman" w:hAnsi="Times New Roman" w:cs="Times New Roman"/>
          <w:sz w:val="24"/>
          <w:szCs w:val="24"/>
        </w:rPr>
        <w:t>), arveja (fresca y seca) y tomate los productos con el ajuste más rápido (menos de 3 meses); los bienes transables y no transables presentaron vidas medias promedio similares entre sí (alrededor de ocho meses). El análisis recursivo mostró una tendencia ascendente en las vidas medias a lo largo del tiempo (es decir, una desaceleración de la velocidad de ajuste), particularmente marcada en alimentos procesados, otros transables y no transables, y en menor medida en alimentos no procesados. En el modelo de regresión de los determinantes de la velocidad de ajuste, el coeficiente estimado sobre la distancia (</w:t>
      </w:r>
      <w:proofErr w:type="spellStart"/>
      <w:r w:rsidRPr="008D646B">
        <w:rPr>
          <w:rFonts w:ascii="Times New Roman" w:hAnsi="Times New Roman" w:cs="Times New Roman"/>
          <w:sz w:val="24"/>
          <w:szCs w:val="24"/>
        </w:rPr>
        <w:t>ln</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distij</w:t>
      </w:r>
      <w:proofErr w:type="spellEnd"/>
      <w:r w:rsidRPr="008D646B">
        <w:rPr>
          <w:rFonts w:ascii="Times New Roman" w:hAnsi="Times New Roman" w:cs="Times New Roman"/>
          <w:sz w:val="24"/>
          <w:szCs w:val="24"/>
        </w:rPr>
        <w:t>) o el tiempo de viaje (</w:t>
      </w:r>
      <w:proofErr w:type="spellStart"/>
      <w:r w:rsidRPr="008D646B">
        <w:rPr>
          <w:rFonts w:ascii="Times New Roman" w:hAnsi="Times New Roman" w:cs="Times New Roman"/>
          <w:sz w:val="24"/>
          <w:szCs w:val="24"/>
        </w:rPr>
        <w:t>ln</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durtij</w:t>
      </w:r>
      <w:proofErr w:type="spellEnd"/>
      <w:r w:rsidRPr="008D646B">
        <w:rPr>
          <w:rFonts w:ascii="Times New Roman" w:hAnsi="Times New Roman" w:cs="Times New Roman"/>
          <w:sz w:val="24"/>
          <w:szCs w:val="24"/>
        </w:rPr>
        <w:t xml:space="preserve">) resultó positivo y estadísticamente significativo para todas las categorías de producto excepto los bienes no transables, indicando que a mayor separación geográfica entre ciudades, mayor es el tiempo que tardan los precios relativos en ajustarse; para los bienes no transables, este coeficiente no fue estadísticamente distinto de cero. El coeficiente de la densidad poblacional relativa no resultó estadísticamente significativo en ninguno de los modelos, mientras que las variables </w:t>
      </w:r>
      <w:proofErr w:type="spellStart"/>
      <w:r w:rsidRPr="008D646B">
        <w:rPr>
          <w:rFonts w:ascii="Times New Roman" w:hAnsi="Times New Roman" w:cs="Times New Roman"/>
          <w:sz w:val="24"/>
          <w:szCs w:val="24"/>
        </w:rPr>
        <w:t>dummy</w:t>
      </w:r>
      <w:proofErr w:type="spellEnd"/>
      <w:r w:rsidRPr="008D646B">
        <w:rPr>
          <w:rFonts w:ascii="Times New Roman" w:hAnsi="Times New Roman" w:cs="Times New Roman"/>
          <w:sz w:val="24"/>
          <w:szCs w:val="24"/>
        </w:rPr>
        <w:t xml:space="preserve"> de producto resultaron conjuntamente significativas en todos los casos.</w:t>
      </w:r>
      <w:r w:rsidR="00A972BD" w:rsidRPr="008D646B">
        <w:rPr>
          <w:rFonts w:ascii="Times New Roman" w:eastAsia="Times New Roman" w:hAnsi="Times New Roman" w:cs="Times New Roman"/>
          <w:sz w:val="24"/>
          <w:szCs w:val="24"/>
        </w:rPr>
        <w:t xml:space="preserve"> </w:t>
      </w:r>
    </w:p>
    <w:p w14:paraId="0EF379C9" w14:textId="77777777" w:rsidR="00137682" w:rsidRPr="008D646B" w:rsidRDefault="00A347FA" w:rsidP="008D646B">
      <w:pPr>
        <w:pStyle w:val="Prrafodelista"/>
        <w:numPr>
          <w:ilvl w:val="0"/>
          <w:numId w:val="3"/>
        </w:numPr>
        <w:jc w:val="both"/>
        <w:rPr>
          <w:rFonts w:ascii="Times New Roman" w:eastAsia="Times New Roman" w:hAnsi="Times New Roman" w:cs="Times New Roman"/>
          <w:b/>
          <w:bCs/>
          <w:sz w:val="24"/>
          <w:szCs w:val="24"/>
        </w:rPr>
      </w:pPr>
      <w:r w:rsidRPr="008D646B">
        <w:rPr>
          <w:rFonts w:ascii="Times New Roman" w:eastAsia="Times New Roman" w:hAnsi="Times New Roman" w:cs="Times New Roman"/>
          <w:b/>
          <w:bCs/>
          <w:sz w:val="24"/>
          <w:szCs w:val="24"/>
        </w:rPr>
        <w:t xml:space="preserve">Iregui y Otero </w:t>
      </w:r>
      <w:r w:rsidR="00A972BD" w:rsidRPr="008D646B">
        <w:rPr>
          <w:rFonts w:ascii="Times New Roman" w:eastAsia="Times New Roman" w:hAnsi="Times New Roman" w:cs="Times New Roman"/>
          <w:b/>
          <w:bCs/>
          <w:sz w:val="24"/>
          <w:szCs w:val="24"/>
        </w:rPr>
        <w:t>(2013)</w:t>
      </w:r>
    </w:p>
    <w:p w14:paraId="09EBF4C7" w14:textId="77777777" w:rsidR="00137682" w:rsidRPr="008D646B" w:rsidRDefault="006062D3" w:rsidP="008D646B">
      <w:pPr>
        <w:jc w:val="both"/>
        <w:rPr>
          <w:rStyle w:val="Fuerte"/>
          <w:rFonts w:ascii="Times New Roman" w:hAnsi="Times New Roman" w:cs="Times New Roman"/>
          <w:sz w:val="24"/>
          <w:szCs w:val="24"/>
        </w:rPr>
      </w:pPr>
      <w:r w:rsidRPr="008D646B">
        <w:rPr>
          <w:rStyle w:val="Fuerte"/>
          <w:rFonts w:ascii="Times New Roman" w:hAnsi="Times New Roman" w:cs="Times New Roman"/>
          <w:sz w:val="24"/>
          <w:szCs w:val="24"/>
        </w:rPr>
        <w:t>Objetivo</w:t>
      </w:r>
    </w:p>
    <w:p w14:paraId="15BA30BC" w14:textId="77777777" w:rsidR="00137682" w:rsidRPr="008D646B" w:rsidRDefault="006062D3" w:rsidP="008D646B">
      <w:pPr>
        <w:jc w:val="both"/>
        <w:rPr>
          <w:rFonts w:ascii="Times New Roman" w:hAnsi="Times New Roman" w:cs="Times New Roman"/>
          <w:sz w:val="24"/>
          <w:szCs w:val="24"/>
        </w:rPr>
      </w:pPr>
      <w:r w:rsidRPr="008D646B">
        <w:rPr>
          <w:rFonts w:ascii="Times New Roman" w:hAnsi="Times New Roman" w:cs="Times New Roman"/>
          <w:sz w:val="24"/>
          <w:szCs w:val="24"/>
        </w:rPr>
        <w:t>Examinar si la separación geográfica entre mercados constituye un factor que ayuda a explicar la dinámica de los precios agrícolas en Colombia, poniendo a prueba formalmente la hipótesis de que la respuesta del precio en un mercado ante choques de precios ocurridos en otro mercado está positivamente relacionada con la distancia entre ambos.</w:t>
      </w:r>
    </w:p>
    <w:p w14:paraId="40FA0368" w14:textId="77777777" w:rsidR="00137682" w:rsidRPr="008D646B" w:rsidRDefault="006062D3" w:rsidP="008D646B">
      <w:pPr>
        <w:jc w:val="both"/>
        <w:rPr>
          <w:rStyle w:val="Fuerte"/>
          <w:rFonts w:ascii="Times New Roman" w:hAnsi="Times New Roman" w:cs="Times New Roman"/>
          <w:sz w:val="24"/>
          <w:szCs w:val="24"/>
        </w:rPr>
      </w:pPr>
      <w:r w:rsidRPr="008D646B">
        <w:rPr>
          <w:rStyle w:val="Fuerte"/>
          <w:rFonts w:ascii="Times New Roman" w:hAnsi="Times New Roman" w:cs="Times New Roman"/>
          <w:sz w:val="24"/>
          <w:szCs w:val="24"/>
        </w:rPr>
        <w:t>Metodología</w:t>
      </w:r>
    </w:p>
    <w:p w14:paraId="616D1774" w14:textId="61867285" w:rsidR="00137682" w:rsidRPr="008D646B" w:rsidRDefault="006062D3" w:rsidP="008D646B">
      <w:pPr>
        <w:jc w:val="both"/>
        <w:rPr>
          <w:rFonts w:ascii="Times New Roman" w:hAnsi="Times New Roman" w:cs="Times New Roman"/>
          <w:sz w:val="24"/>
          <w:szCs w:val="24"/>
        </w:rPr>
      </w:pPr>
      <w:r w:rsidRPr="008D646B">
        <w:rPr>
          <w:rFonts w:ascii="Times New Roman" w:hAnsi="Times New Roman" w:cs="Times New Roman"/>
          <w:sz w:val="24"/>
          <w:szCs w:val="24"/>
        </w:rPr>
        <w:t xml:space="preserve">Se utilizó una base de datos altamente desagregada obtenida del Sistema de Información Agropecuaria, recopilada por la Corporación Colombia Internacional (CCI), consistente en observaciones semanales de precios mayoristas (no índices de precios representativos, sino precios absolutos en pesos colombianos por kilo) para 18 productos agrícolas no procesados, comercializados en mercados dispersos por el país; el número de mercados en que se transa cada producto varía entre 12 y 22 (pepino en 22 mercados, cilantro en 21, tomate de árbol en 20, pimentón en 18, mora, apio, plátano y tomate en 17, lechuga y arveja china en 16, maíz dulce en 15, habichuela, papa variedad "pastusa", cebolla larga y maracuyá en 13, y granadilla, naranjilla y papa variedad "criolla" en 12). El período muestral abarca del 4 de enero de 2002 al 18 de marzo de 2011, para un total de 481 observaciones semanales, y todas las series de precios se sometieron a transformación logarítmica. Una característica distintiva de esta base de datos, en contraste con estudios previos, es que los precios corresponden a productos idénticos y específicos (por ejemplo, se distinguen las variedades de papa "criolla" y "pastusa" en lugar de usar la categoría agregada "papa" del IPC) y se recolectan en el mercado físico específico donde se transan (por ejemplo, para la ciudad de Cali se usan por separado los precios de los mercados de </w:t>
      </w:r>
      <w:proofErr w:type="spellStart"/>
      <w:r w:rsidRPr="008D646B">
        <w:rPr>
          <w:rFonts w:ascii="Times New Roman" w:hAnsi="Times New Roman" w:cs="Times New Roman"/>
          <w:sz w:val="24"/>
          <w:szCs w:val="24"/>
        </w:rPr>
        <w:t>Cavasa</w:t>
      </w:r>
      <w:proofErr w:type="spellEnd"/>
      <w:r w:rsidRPr="008D646B">
        <w:rPr>
          <w:rFonts w:ascii="Times New Roman" w:hAnsi="Times New Roman" w:cs="Times New Roman"/>
          <w:sz w:val="24"/>
          <w:szCs w:val="24"/>
        </w:rPr>
        <w:t xml:space="preserve"> y Santa Elena), evitando así el sesgo por agregación de mercados o por heterogeneidad de producto. Todos los precios son valores nominales en pesos colombianos corrientes, sin deflactar ni ajustar por inflación, ya que el análisis se centra en la dinámica relativa entre mercados y no en el poder adquisitivo. El análisis empírico se desarrolló en dos etapas. En la primera, se investigó el orden de </w:t>
      </w:r>
      <w:r w:rsidRPr="008D646B">
        <w:rPr>
          <w:rFonts w:ascii="Times New Roman" w:hAnsi="Times New Roman" w:cs="Times New Roman"/>
          <w:sz w:val="24"/>
          <w:szCs w:val="24"/>
        </w:rPr>
        <w:lastRenderedPageBreak/>
        <w:t xml:space="preserve">integración de cada serie de precios individual mediante las pruebas de raíz unitaria </w:t>
      </w:r>
      <w:proofErr w:type="spellStart"/>
      <w:r w:rsidRPr="008D646B">
        <w:rPr>
          <w:rFonts w:ascii="Times New Roman" w:hAnsi="Times New Roman" w:cs="Times New Roman"/>
          <w:sz w:val="24"/>
          <w:szCs w:val="24"/>
        </w:rPr>
        <w:t>Augmented</w:t>
      </w:r>
      <w:proofErr w:type="spellEnd"/>
      <w:r w:rsidRPr="008D646B">
        <w:rPr>
          <w:rFonts w:ascii="Times New Roman" w:hAnsi="Times New Roman" w:cs="Times New Roman"/>
          <w:sz w:val="24"/>
          <w:szCs w:val="24"/>
        </w:rPr>
        <w:t xml:space="preserve"> Dickey-Fuller (ADF), </w:t>
      </w:r>
      <w:proofErr w:type="spellStart"/>
      <w:r w:rsidRPr="008D646B">
        <w:rPr>
          <w:rFonts w:ascii="Times New Roman" w:hAnsi="Times New Roman" w:cs="Times New Roman"/>
          <w:sz w:val="24"/>
          <w:szCs w:val="24"/>
        </w:rPr>
        <w:t>ADFmax</w:t>
      </w:r>
      <w:proofErr w:type="spellEnd"/>
      <w:r w:rsidRPr="008D646B">
        <w:rPr>
          <w:rFonts w:ascii="Times New Roman" w:hAnsi="Times New Roman" w:cs="Times New Roman"/>
          <w:sz w:val="24"/>
          <w:szCs w:val="24"/>
        </w:rPr>
        <w:t xml:space="preserve"> (de Leybourne, que toma el máximo de dos estadísticos ADF calculados con los datos originales y con los datos invertidos en el tiempo) y GLS-ADF (de Elliott, Rothenberg y Stock, basada en mínimos cuadrados generalizados condicionales), con regresiones de prueba que incluyen un término de intercepto y distintos números de rezagos de la variable dependiente (p=1,2,3), concluyéndose de forma robusta que las series individuales de precios son estacionarias, es decir, I(0), durante el período de análisis. En la segunda etapa, dado que la estacionariedad descarta relaciones de cointegración, se estimó para cada uno de los 18 productos un modelo de Vectores Autorregresivos (VAR), tratando todos los precios de un mismo producto en los distintos mercados como variables potencialmente endógenas; el orden óptimo de rezagos de cada VAR se determinó mediante el criterio de información de Schwarz (SIC), fijando cuatro rezagos como máximo. A partir de cada VAR estimado, se calcularon Funciones de Impulso Respuesta Generalizadas (GIRF, desarrolladas por Pesaran y Shin, 1998), elegidas por ser invariantes al orden en que se ordenan las variables del sistema (a diferencia de las funciones de impulso-respuesta </w:t>
      </w:r>
      <w:proofErr w:type="spellStart"/>
      <w:r w:rsidRPr="008D646B">
        <w:rPr>
          <w:rFonts w:ascii="Times New Roman" w:hAnsi="Times New Roman" w:cs="Times New Roman"/>
          <w:sz w:val="24"/>
          <w:szCs w:val="24"/>
        </w:rPr>
        <w:t>ortogonalizadas</w:t>
      </w:r>
      <w:proofErr w:type="spellEnd"/>
      <w:r w:rsidRPr="008D646B">
        <w:rPr>
          <w:rFonts w:ascii="Times New Roman" w:hAnsi="Times New Roman" w:cs="Times New Roman"/>
          <w:sz w:val="24"/>
          <w:szCs w:val="24"/>
        </w:rPr>
        <w:t xml:space="preserve"> tradicionales, que sí dependen de dicho orden); estas GIRF describen el perfil temporal del efecto de un choque de una desviación estándar observado en el mercado propio, así como el efecto de un choque originado en un mercado distinto, sobre el precio de cada mercado. Con los coeficientes de rezago resultantes normalizados para sumar uno, se calculó la vida media (</w:t>
      </w:r>
      <w:proofErr w:type="spellStart"/>
      <w:r w:rsidRPr="008D646B">
        <w:rPr>
          <w:rFonts w:ascii="Times New Roman" w:hAnsi="Times New Roman" w:cs="Times New Roman"/>
          <w:sz w:val="24"/>
          <w:szCs w:val="24"/>
        </w:rPr>
        <w:t>half-life</w:t>
      </w:r>
      <w:proofErr w:type="spellEnd"/>
      <w:r w:rsidRPr="008D646B">
        <w:rPr>
          <w:rFonts w:ascii="Times New Roman" w:hAnsi="Times New Roman" w:cs="Times New Roman"/>
          <w:sz w:val="24"/>
          <w:szCs w:val="24"/>
        </w:rPr>
        <w:t>) de un choque como el número de semanas requeridas para que se complete el 50% del ajuste, notándose que estas vidas medias no son necesariamente simétricas entre pares de mercados. Para formalizar la relación entre la vida media de los choques y la distancia geográfica, se estimó, para cada producto k, un modelo de regresión</w:t>
      </w:r>
      <w:r w:rsidR="007D0740">
        <w:rPr>
          <w:rFonts w:ascii="Times New Roman" w:hAnsi="Times New Roman" w:cs="Times New Roman"/>
          <w:sz w:val="24"/>
          <w:szCs w:val="24"/>
        </w:rPr>
        <w:t xml:space="preserve">; </w:t>
      </w:r>
      <w:r w:rsidRPr="008D646B">
        <w:rPr>
          <w:rFonts w:ascii="Times New Roman" w:hAnsi="Times New Roman" w:cs="Times New Roman"/>
          <w:sz w:val="24"/>
          <w:szCs w:val="24"/>
        </w:rPr>
        <w:t xml:space="preserve">la distancia se obtuvo mediante el servicio de mapas Google </w:t>
      </w:r>
      <w:proofErr w:type="spellStart"/>
      <w:r w:rsidRPr="008D646B">
        <w:rPr>
          <w:rFonts w:ascii="Times New Roman" w:hAnsi="Times New Roman" w:cs="Times New Roman"/>
          <w:sz w:val="24"/>
          <w:szCs w:val="24"/>
        </w:rPr>
        <w:t>Maps</w:t>
      </w:r>
      <w:proofErr w:type="spellEnd"/>
      <w:r w:rsidRPr="008D646B">
        <w:rPr>
          <w:rFonts w:ascii="Times New Roman" w:hAnsi="Times New Roman" w:cs="Times New Roman"/>
          <w:sz w:val="24"/>
          <w:szCs w:val="24"/>
        </w:rPr>
        <w:t xml:space="preserve">, reconociéndose como limitación que esta medida asume implícitamente que la calidad de la red de transporte vial es homogénea en todo el país. Este modelo se estimó inicialmente por mínimos cuadrados ordinarios (MCO), aplicándose la prueba de White para heterocedasticidad; en los ocho productos donde se detectó heterocedasticidad (pepino, cilantro, apio, maíz dulce, papa "pastusa", cebolla larga, granadilla y naranjilla), se </w:t>
      </w:r>
      <w:proofErr w:type="spellStart"/>
      <w:r w:rsidRPr="008D646B">
        <w:rPr>
          <w:rFonts w:ascii="Times New Roman" w:hAnsi="Times New Roman" w:cs="Times New Roman"/>
          <w:sz w:val="24"/>
          <w:szCs w:val="24"/>
        </w:rPr>
        <w:t>re-estimó</w:t>
      </w:r>
      <w:proofErr w:type="spellEnd"/>
      <w:r w:rsidRPr="008D646B">
        <w:rPr>
          <w:rFonts w:ascii="Times New Roman" w:hAnsi="Times New Roman" w:cs="Times New Roman"/>
          <w:sz w:val="24"/>
          <w:szCs w:val="24"/>
        </w:rPr>
        <w:t xml:space="preserve"> el modelo mediante mínimos cuadrados ponderados (WLS), dividiendo tanto la variable dependiente como las explicativas (incluyendo el intercepto) por una estimación de la desviación estándar de la vida media, obtenida mediante el método </w:t>
      </w:r>
      <w:proofErr w:type="spellStart"/>
      <w:r w:rsidRPr="008D646B">
        <w:rPr>
          <w:rFonts w:ascii="Times New Roman" w:hAnsi="Times New Roman" w:cs="Times New Roman"/>
          <w:sz w:val="24"/>
          <w:szCs w:val="24"/>
        </w:rPr>
        <w:t>bootstrap</w:t>
      </w:r>
      <w:proofErr w:type="spellEnd"/>
      <w:r w:rsidRPr="008D646B">
        <w:rPr>
          <w:rFonts w:ascii="Times New Roman" w:hAnsi="Times New Roman" w:cs="Times New Roman"/>
          <w:sz w:val="24"/>
          <w:szCs w:val="24"/>
        </w:rPr>
        <w:t xml:space="preserve"> de Hall (1.000 réplicas).</w:t>
      </w:r>
    </w:p>
    <w:p w14:paraId="26E4C694" w14:textId="77777777" w:rsidR="00137682" w:rsidRPr="008D646B" w:rsidRDefault="006062D3" w:rsidP="008D646B">
      <w:pPr>
        <w:jc w:val="both"/>
        <w:rPr>
          <w:rStyle w:val="Fuerte"/>
          <w:rFonts w:ascii="Times New Roman" w:hAnsi="Times New Roman" w:cs="Times New Roman"/>
          <w:sz w:val="24"/>
          <w:szCs w:val="24"/>
        </w:rPr>
      </w:pPr>
      <w:r w:rsidRPr="008D646B">
        <w:rPr>
          <w:rStyle w:val="Fuerte"/>
          <w:rFonts w:ascii="Times New Roman" w:hAnsi="Times New Roman" w:cs="Times New Roman"/>
          <w:sz w:val="24"/>
          <w:szCs w:val="24"/>
        </w:rPr>
        <w:t>Resultados</w:t>
      </w:r>
    </w:p>
    <w:p w14:paraId="08F8B1AE" w14:textId="15731DFF" w:rsidR="00265E4D" w:rsidRPr="008D646B" w:rsidRDefault="006062D3" w:rsidP="008D646B">
      <w:pPr>
        <w:jc w:val="both"/>
        <w:rPr>
          <w:rFonts w:ascii="Times New Roman" w:eastAsia="Times New Roman" w:hAnsi="Times New Roman" w:cs="Times New Roman"/>
          <w:b/>
          <w:bCs/>
          <w:sz w:val="24"/>
          <w:szCs w:val="24"/>
        </w:rPr>
      </w:pPr>
      <w:r w:rsidRPr="008D646B">
        <w:rPr>
          <w:rFonts w:ascii="Times New Roman" w:hAnsi="Times New Roman" w:cs="Times New Roman"/>
          <w:sz w:val="24"/>
          <w:szCs w:val="24"/>
        </w:rPr>
        <w:t xml:space="preserve">Las pruebas de raíz unitaria </w:t>
      </w:r>
      <w:proofErr w:type="spellStart"/>
      <w:r w:rsidRPr="008D646B">
        <w:rPr>
          <w:rFonts w:ascii="Times New Roman" w:hAnsi="Times New Roman" w:cs="Times New Roman"/>
          <w:sz w:val="24"/>
          <w:szCs w:val="24"/>
        </w:rPr>
        <w:t>univariadas</w:t>
      </w:r>
      <w:proofErr w:type="spellEnd"/>
      <w:r w:rsidRPr="008D646B">
        <w:rPr>
          <w:rFonts w:ascii="Times New Roman" w:hAnsi="Times New Roman" w:cs="Times New Roman"/>
          <w:sz w:val="24"/>
          <w:szCs w:val="24"/>
        </w:rPr>
        <w:t xml:space="preserve"> (ADF, </w:t>
      </w:r>
      <w:proofErr w:type="spellStart"/>
      <w:r w:rsidRPr="008D646B">
        <w:rPr>
          <w:rFonts w:ascii="Times New Roman" w:hAnsi="Times New Roman" w:cs="Times New Roman"/>
          <w:sz w:val="24"/>
          <w:szCs w:val="24"/>
        </w:rPr>
        <w:t>ADFmax</w:t>
      </w:r>
      <w:proofErr w:type="spellEnd"/>
      <w:r w:rsidRPr="008D646B">
        <w:rPr>
          <w:rFonts w:ascii="Times New Roman" w:hAnsi="Times New Roman" w:cs="Times New Roman"/>
          <w:sz w:val="24"/>
          <w:szCs w:val="24"/>
        </w:rPr>
        <w:t xml:space="preserve"> y GLS-ADF) mostraron que, para prácticamente todos los mercados y productos, se rechaza la hipótesis nula de no estacionariedad al 10% de significancia, confirmándose que las series de precios individuales pueden describirse como procesos estacionarios I(0) durante el período estudiado, resultado robusto ante distintos órdenes de rezago y especificaciones deterministas. En cuanto a la velocidad de ajuste, la comparación de las vidas medias promedio de un choque en el propio mercado frente a las vidas medias de ese mismo choque sobre otros mercados reveló, para todos los productos, que el ajuste tarda sistemáticamente más en los mercados distintos al de </w:t>
      </w:r>
      <w:r w:rsidRPr="008D646B">
        <w:rPr>
          <w:rFonts w:ascii="Times New Roman" w:hAnsi="Times New Roman" w:cs="Times New Roman"/>
          <w:sz w:val="24"/>
          <w:szCs w:val="24"/>
        </w:rPr>
        <w:lastRenderedPageBreak/>
        <w:t xml:space="preserve">origen del choque; por ejemplo, para el apio la vida media de un choque propio fue de aproximadamente 8 semanas, frente a aproximadamente 12 semanas para el mismo choque en otros mercados, siendo esta diferencia positiva y estadísticamente distinta de cero, patrón que se repitió en los demás productos, con diferencias que oscilaron entre 0,732 semanas (tomate) y 15,327 semanas (plátano). Al formalizar esta relación mediante el modelo de regresión de la vida media contra el logaritmo de la distancia, la estimación por MCO arrojó un coeficiente positivo y estadísticamente significativo para el logaritmo de la distancia en todos los productos excepto uno (tomate, donde el coeficiente fue positivo pero no significativo), confirmándose que las tasas de convergencia son más lentas para mercados geográficamente más distantes; al corregir por heterocedasticidad mediante mínimos cuadrados ponderados en los ocho productos donde esta se detectó, el coeficiente asociado a la distancia resultó positivo y significativo en los ocho casos, y la prueba de White aplicada a los residuos de los modelos transformados confirmó que estos ya eran </w:t>
      </w:r>
      <w:proofErr w:type="spellStart"/>
      <w:r w:rsidRPr="008D646B">
        <w:rPr>
          <w:rFonts w:ascii="Times New Roman" w:hAnsi="Times New Roman" w:cs="Times New Roman"/>
          <w:sz w:val="24"/>
          <w:szCs w:val="24"/>
        </w:rPr>
        <w:t>homocedásticos</w:t>
      </w:r>
      <w:proofErr w:type="spellEnd"/>
      <w:r w:rsidRPr="008D646B">
        <w:rPr>
          <w:rFonts w:ascii="Times New Roman" w:hAnsi="Times New Roman" w:cs="Times New Roman"/>
          <w:sz w:val="24"/>
          <w:szCs w:val="24"/>
        </w:rPr>
        <w:t>. Los autores señalan adicionalmente que, para algunos productos, los coeficientes de determinación de los modelos sugieren la posible existencia de factores adicionales a la distancia (como deficiencias en transporte, comunicación y comercialización, medibles por ejemplo mediante la densidad de vías pavimentadas, de telefonía móvil o de sucursales bancarias) que podrían ayudar a explicar la variabilidad de la vida media de los choques, aunque señalan que evaluar formalmente estos factores exigiría agregar la base de datos (por producto, mercado o tiempo), lo cual queda fuera del alcance del estudio.</w:t>
      </w:r>
    </w:p>
    <w:p w14:paraId="4B6271ED" w14:textId="77777777" w:rsidR="008D646B" w:rsidRPr="008D646B" w:rsidRDefault="005D7AF0" w:rsidP="008D646B">
      <w:pPr>
        <w:pStyle w:val="Prrafodelista"/>
        <w:numPr>
          <w:ilvl w:val="0"/>
          <w:numId w:val="3"/>
        </w:numPr>
        <w:jc w:val="both"/>
        <w:rPr>
          <w:rFonts w:ascii="Times New Roman" w:eastAsia="Times New Roman" w:hAnsi="Times New Roman" w:cs="Times New Roman"/>
          <w:b/>
          <w:bCs/>
          <w:sz w:val="24"/>
          <w:szCs w:val="24"/>
        </w:rPr>
      </w:pPr>
      <w:r w:rsidRPr="008D646B">
        <w:rPr>
          <w:rFonts w:ascii="Times New Roman" w:eastAsia="Times New Roman" w:hAnsi="Times New Roman" w:cs="Times New Roman"/>
          <w:b/>
          <w:bCs/>
          <w:sz w:val="24"/>
          <w:szCs w:val="24"/>
        </w:rPr>
        <w:t xml:space="preserve">Gilbert y Morgan (2010) </w:t>
      </w:r>
      <w:r w:rsidR="00F15A9B" w:rsidRPr="008D646B">
        <w:rPr>
          <w:rFonts w:ascii="Times New Roman" w:eastAsia="Times New Roman" w:hAnsi="Times New Roman" w:cs="Times New Roman"/>
          <w:b/>
          <w:bCs/>
          <w:sz w:val="24"/>
          <w:szCs w:val="24"/>
          <w:highlight w:val="yellow"/>
        </w:rPr>
        <w:t xml:space="preserve">zoom especial en </w:t>
      </w:r>
      <w:r w:rsidRPr="008D646B">
        <w:rPr>
          <w:rFonts w:ascii="Times New Roman" w:eastAsia="Times New Roman" w:hAnsi="Times New Roman" w:cs="Times New Roman"/>
          <w:b/>
          <w:bCs/>
          <w:sz w:val="24"/>
          <w:szCs w:val="24"/>
          <w:highlight w:val="yellow"/>
        </w:rPr>
        <w:t>arroz y harina</w:t>
      </w:r>
    </w:p>
    <w:p w14:paraId="62A0A3CE" w14:textId="77777777" w:rsidR="008D646B" w:rsidRPr="008D646B" w:rsidRDefault="008D646B" w:rsidP="008D646B">
      <w:pPr>
        <w:jc w:val="both"/>
        <w:rPr>
          <w:rStyle w:val="Fuerte"/>
          <w:rFonts w:ascii="Times New Roman" w:hAnsi="Times New Roman" w:cs="Times New Roman"/>
          <w:sz w:val="24"/>
          <w:szCs w:val="24"/>
        </w:rPr>
      </w:pPr>
      <w:r w:rsidRPr="008D646B">
        <w:rPr>
          <w:rStyle w:val="Fuerte"/>
          <w:rFonts w:ascii="Times New Roman" w:hAnsi="Times New Roman" w:cs="Times New Roman"/>
          <w:sz w:val="24"/>
          <w:szCs w:val="24"/>
        </w:rPr>
        <w:t>Objetivo</w:t>
      </w:r>
    </w:p>
    <w:p w14:paraId="090C13D2" w14:textId="77777777" w:rsidR="008D646B" w:rsidRPr="008D646B" w:rsidRDefault="008D646B" w:rsidP="008D646B">
      <w:pPr>
        <w:jc w:val="both"/>
        <w:rPr>
          <w:rFonts w:ascii="Times New Roman" w:hAnsi="Times New Roman" w:cs="Times New Roman"/>
          <w:sz w:val="24"/>
          <w:szCs w:val="24"/>
        </w:rPr>
      </w:pPr>
      <w:r w:rsidRPr="008D646B">
        <w:rPr>
          <w:rFonts w:ascii="Times New Roman" w:hAnsi="Times New Roman" w:cs="Times New Roman"/>
          <w:sz w:val="24"/>
          <w:szCs w:val="24"/>
        </w:rPr>
        <w:t>Evaluar si la volatilidad de los precios de los alimentos ha aumentado en años recientes, examinando la evolución histórica de la volatilidad de los precios de los principales productos agrícolas alimentarios a nivel mundial entre 1970 y 2009, e investigando si el pico de precios observado entre 2006 y 2008 representó un evento aislado o el inicio de un período de mayor volatilidad estructural, con especial atención a los factores que explican dicha volatilidad y a las diferencias entre grupos de productos, incluyendo un análisis específico del comportamiento particular del arroz.</w:t>
      </w:r>
    </w:p>
    <w:p w14:paraId="41BCB8AC" w14:textId="77777777" w:rsidR="008D646B" w:rsidRPr="008D646B" w:rsidRDefault="008D646B" w:rsidP="008D646B">
      <w:pPr>
        <w:jc w:val="both"/>
        <w:rPr>
          <w:rStyle w:val="Fuerte"/>
          <w:rFonts w:ascii="Times New Roman" w:hAnsi="Times New Roman" w:cs="Times New Roman"/>
          <w:sz w:val="24"/>
          <w:szCs w:val="24"/>
        </w:rPr>
      </w:pPr>
      <w:r w:rsidRPr="008D646B">
        <w:rPr>
          <w:rStyle w:val="Fuerte"/>
          <w:rFonts w:ascii="Times New Roman" w:hAnsi="Times New Roman" w:cs="Times New Roman"/>
          <w:sz w:val="24"/>
          <w:szCs w:val="24"/>
        </w:rPr>
        <w:t>Metodología</w:t>
      </w:r>
    </w:p>
    <w:p w14:paraId="12B4C088" w14:textId="77777777" w:rsidR="008D646B" w:rsidRPr="008D646B" w:rsidRDefault="008D646B" w:rsidP="008D646B">
      <w:pPr>
        <w:jc w:val="both"/>
        <w:rPr>
          <w:rFonts w:ascii="Times New Roman" w:hAnsi="Times New Roman" w:cs="Times New Roman"/>
          <w:sz w:val="24"/>
          <w:szCs w:val="24"/>
        </w:rPr>
      </w:pPr>
      <w:r w:rsidRPr="008D646B">
        <w:rPr>
          <w:rFonts w:ascii="Times New Roman" w:hAnsi="Times New Roman" w:cs="Times New Roman"/>
          <w:sz w:val="24"/>
          <w:szCs w:val="24"/>
        </w:rPr>
        <w:t>El estudio definió la volatilidad como una medida de la variabilidad de un precio sin dirección específica, calculada a partir del segundo momento de la distribución, utilizando específicamente la desviación estándar de los rendimientos de precio (</w:t>
      </w:r>
      <w:proofErr w:type="spellStart"/>
      <w:r w:rsidRPr="008D646B">
        <w:rPr>
          <w:rFonts w:ascii="Times New Roman" w:hAnsi="Times New Roman" w:cs="Times New Roman"/>
          <w:sz w:val="24"/>
          <w:szCs w:val="24"/>
        </w:rPr>
        <w:t>price</w:t>
      </w:r>
      <w:proofErr w:type="spellEnd"/>
      <w:r w:rsidRPr="008D646B">
        <w:rPr>
          <w:rFonts w:ascii="Times New Roman" w:hAnsi="Times New Roman" w:cs="Times New Roman"/>
          <w:sz w:val="24"/>
          <w:szCs w:val="24"/>
        </w:rPr>
        <w:t xml:space="preserve"> </w:t>
      </w:r>
      <w:proofErr w:type="spellStart"/>
      <w:r w:rsidRPr="008D646B">
        <w:rPr>
          <w:rFonts w:ascii="Times New Roman" w:hAnsi="Times New Roman" w:cs="Times New Roman"/>
          <w:sz w:val="24"/>
          <w:szCs w:val="24"/>
        </w:rPr>
        <w:t>returns</w:t>
      </w:r>
      <w:proofErr w:type="spellEnd"/>
      <w:r w:rsidRPr="008D646B">
        <w:rPr>
          <w:rFonts w:ascii="Times New Roman" w:hAnsi="Times New Roman" w:cs="Times New Roman"/>
          <w:sz w:val="24"/>
          <w:szCs w:val="24"/>
        </w:rPr>
        <w:t xml:space="preserve">), es decir, la desviación estándar de los cambios (primeras diferencias) en los precios mensuales expresados en logaritmos, en lugar de la desviación estándar de los niveles de precio, para evitar que las tendencias de la serie se incorporen erróneamente a la medida de volatilidad. Es importante señalar que estos precios corresponden a valores reales, no nominales: los precios nominales mensuales en dólares estadounidenses fueron deflactados utilizando el Índice de Precios al Productor (PPI) de Estados Unidos ("todos los rubros") antes de calcular la volatilidad, de manera que la medida refleja variabilidad en términos de poder adquisitivo real y no simplemente fluctuaciones nominales asociadas a la inflación general. Las fuentes de los datos de precios fueron las Estadísticas Financieras Internacionales (IFS) del FMI, con </w:t>
      </w:r>
      <w:r w:rsidRPr="008D646B">
        <w:rPr>
          <w:rFonts w:ascii="Times New Roman" w:hAnsi="Times New Roman" w:cs="Times New Roman"/>
          <w:sz w:val="24"/>
          <w:szCs w:val="24"/>
        </w:rPr>
        <w:lastRenderedPageBreak/>
        <w:t xml:space="preserve">la excepción del café, cuyos precios provinieron de la Organización Internacional del Café (ICO). El período de análisis (enero de 1970 a diciembre de 2009, 40 años) se dividió en dos submuestras de igual duración (1970-1989 y 1990-2009) para comparar los niveles de volatilidad entre ambos períodos mediante una prueba F estándar de igualdad de varianzas, aplicada a 19 productos agrupados en cinco categorías: bebidas y azúcar (cacao, café, azúcar, té), granos (maíz, arroz, sorgo, soya, trigo), grasas y aceites (aceite de coco, de maní, de palma, de soya, de girasol), carnes y pescado (res, cordero, harina de pescado) y fruta fresca (banano, naranjas). Adicionalmente, para examinar si hubo un cambio estructural reciente en la volatilidad condicional (es decir, si el nivel esperado de volatilidad se desplazó al alza desde 2006-2007, en contraposición a simplemente haberse observado precios puntualmente altos sin que ello implicara un cambio en la volatilidad esperada), se estimó para cada producto un modelo GARCH(1,1) (heterocedasticidad condicional autorregresiva generalizada de primer orden) sobre el período enero de 1990 a diciembre de 2009 (240 observaciones), especificando un proceso de media de primer orden tipo media móvil, MA(1), e incluyendo una variable </w:t>
      </w:r>
      <w:proofErr w:type="spellStart"/>
      <w:r w:rsidRPr="008D646B">
        <w:rPr>
          <w:rFonts w:ascii="Times New Roman" w:hAnsi="Times New Roman" w:cs="Times New Roman"/>
          <w:sz w:val="24"/>
          <w:szCs w:val="24"/>
        </w:rPr>
        <w:t>dummy</w:t>
      </w:r>
      <w:proofErr w:type="spellEnd"/>
      <w:r w:rsidRPr="008D646B">
        <w:rPr>
          <w:rFonts w:ascii="Times New Roman" w:hAnsi="Times New Roman" w:cs="Times New Roman"/>
          <w:sz w:val="24"/>
          <w:szCs w:val="24"/>
        </w:rPr>
        <w:t xml:space="preserve"> con valor de 1 a partir de enero de 2007 dentro de la ecuación de la varianza condicional (proceso "</w:t>
      </w:r>
      <w:proofErr w:type="spellStart"/>
      <w:r w:rsidRPr="008D646B">
        <w:rPr>
          <w:rFonts w:ascii="Times New Roman" w:hAnsi="Times New Roman" w:cs="Times New Roman"/>
          <w:sz w:val="24"/>
          <w:szCs w:val="24"/>
        </w:rPr>
        <w:t>scedástico</w:t>
      </w:r>
      <w:proofErr w:type="spellEnd"/>
      <w:r w:rsidRPr="008D646B">
        <w:rPr>
          <w:rFonts w:ascii="Times New Roman" w:hAnsi="Times New Roman" w:cs="Times New Roman"/>
          <w:sz w:val="24"/>
          <w:szCs w:val="24"/>
        </w:rPr>
        <w:t>"), para probar si la media de dicho proceso aumentó significativamente en el subperíodo 2007-2009 frente al resto de la muestra.</w:t>
      </w:r>
    </w:p>
    <w:p w14:paraId="708549F3" w14:textId="77777777" w:rsidR="008D646B" w:rsidRPr="008D646B" w:rsidRDefault="008D646B" w:rsidP="008D646B">
      <w:pPr>
        <w:jc w:val="both"/>
        <w:rPr>
          <w:rStyle w:val="Fuerte"/>
          <w:rFonts w:ascii="Times New Roman" w:hAnsi="Times New Roman" w:cs="Times New Roman"/>
          <w:sz w:val="24"/>
          <w:szCs w:val="24"/>
        </w:rPr>
      </w:pPr>
      <w:r w:rsidRPr="008D646B">
        <w:rPr>
          <w:rStyle w:val="Fuerte"/>
          <w:rFonts w:ascii="Times New Roman" w:hAnsi="Times New Roman" w:cs="Times New Roman"/>
          <w:sz w:val="24"/>
          <w:szCs w:val="24"/>
        </w:rPr>
        <w:t>Resultados</w:t>
      </w:r>
    </w:p>
    <w:p w14:paraId="7CF88E3B" w14:textId="7688933C" w:rsidR="00265E4D" w:rsidRPr="008D646B" w:rsidRDefault="008D646B" w:rsidP="008D646B">
      <w:pPr>
        <w:jc w:val="both"/>
        <w:rPr>
          <w:rFonts w:ascii="Times New Roman" w:eastAsia="Times New Roman" w:hAnsi="Times New Roman" w:cs="Times New Roman"/>
          <w:b/>
          <w:bCs/>
          <w:sz w:val="24"/>
          <w:szCs w:val="24"/>
        </w:rPr>
      </w:pPr>
      <w:r w:rsidRPr="008D646B">
        <w:rPr>
          <w:rFonts w:ascii="Times New Roman" w:hAnsi="Times New Roman" w:cs="Times New Roman"/>
          <w:sz w:val="24"/>
          <w:szCs w:val="24"/>
        </w:rPr>
        <w:t xml:space="preserve">En el período completo 1970-2009, las volatilidades agrícolas más bajas correspondieron a los granos y las carnes, mientras que la fruta fresca (particularmente el banano) mostró la mayor volatilidad. Dentro del grupo de granos, las desviaciones estándar de los rendimientos logarítmicos para el período completo fueron: maíz 19,3%, arroz 21,1%, sorgo 20,4%, soya 22,4% y trigo 20,0%. Al comparar los dos subperíodos mediante la prueba F, solo dos productos de toda la muestra de 19 mostraron un aumento estadísticamente significativo en su volatilidad: el banano y, entre los granos y cereales, específicamente el arroz, cuya volatilidad pasó de 18,9% en 1970-1989 a 23,3% en 1990-2009 (aumento estadísticamente significativo, con un valor p menor a 0,1%). En contraste, ningún otro grano mostró un cambio significativo: maíz pasó de 19,4% a 19,2% (caída no significativa), sorgo de 20,2% a 20,6% (aumento no significativo), trigo de 19,5% a 20,5% (aumento no significativo), mientras que la soya sí registró una caída estadísticamente significativa, de 24,9% a 19,5%. En cambio, nueve de los 19 productos de la muestra total mostraron caídas estadísticamente significativas en su volatilidad entre ambos subperíodos, incluyendo cacao, azúcar, los tres aceites vegetales (soya, maní y palma) y los tres productos cárnicos y pesqueros (res, cordero y harina de pescado). En conjunto, estos resultados indican que las dos décadas más recientes (1990-2009) exhibieron niveles de volatilidad agrícola generalmente más bajos que los de las décadas de 1970 y 1980, siendo el arroz la principal excepción a esta tendencia general. El análisis mediante el modelo GARCH(1,1), que evalúa si hubo un desplazamiento al alza en la volatilidad condicional esperada desde 2007 (y no solo la observación de precios puntualmente altos), mostró que, al nivel de significancia del 5%, únicamente el aceite de soya presentó un aumento estadísticamente significativo en la media de su proceso de volatilidad condicional; el banano, por el contrario, mostró una disminución significativa. </w:t>
      </w:r>
      <w:r w:rsidRPr="008D646B">
        <w:rPr>
          <w:rFonts w:ascii="Times New Roman" w:hAnsi="Times New Roman" w:cs="Times New Roman"/>
          <w:sz w:val="24"/>
          <w:szCs w:val="24"/>
        </w:rPr>
        <w:lastRenderedPageBreak/>
        <w:t xml:space="preserve">Sin embargo, el coeficiente estimado de la variable </w:t>
      </w:r>
      <w:proofErr w:type="spellStart"/>
      <w:r w:rsidRPr="008D646B">
        <w:rPr>
          <w:rFonts w:ascii="Times New Roman" w:hAnsi="Times New Roman" w:cs="Times New Roman"/>
          <w:sz w:val="24"/>
          <w:szCs w:val="24"/>
        </w:rPr>
        <w:t>dummy</w:t>
      </w:r>
      <w:proofErr w:type="spellEnd"/>
      <w:r w:rsidRPr="008D646B">
        <w:rPr>
          <w:rFonts w:ascii="Times New Roman" w:hAnsi="Times New Roman" w:cs="Times New Roman"/>
          <w:sz w:val="24"/>
          <w:szCs w:val="24"/>
        </w:rPr>
        <w:t xml:space="preserve"> fue positivo para los cinco granos analizados (incluido el arroz, con un estadístico t de 0,91, no significativo al 5% ni al 10%) y para los cinco aceites vegetales, siendo estadísticamente significativo al nivel del 10% adicionalmente para la soya y el aceite de maní, además del aceite de soya. Respecto al comportamiento particular del arroz, el estudio destaca que este grano constituye una excepción a la mayoría de las conclusiones generales sobre volatilidad de precios alimentarios, atribuyéndolo a tres factores: primero, que el arroz no está estrechamente vinculado, ni en producción ni en consumo, con los demás granos principales, al producirse en tipos de tierra distintos y mayormente en países diferentes, y ser consumido en gran medida por grupos de consumidores distintos; segundo, que los choques de producción y consumo del arroz no están altamente correlacionados con los de otros granos; y tercero, que el arroz no se transa actualmente en un mercado de futuros líquido (existen mercados de futuros en Bangkok y Chicago, pero atraen relativamente poco volumen de negociación), de modo que la actividad financiera en mercados de futuros tiene poco impacto sobre su precio. Como consecuencia de estas características, el estudio señala que existe poca transmisión de cambios de precios entre el arroz y los demás granos, por lo que el precio del arroz tiende a seguir una trayectoria propia y peculiar; el episodio de fuerte alza de precios del arroz en 2007-2008 se originó, según el análisis, no en choques de oferta o demanda física (el mercado estuvo en superávit durante todo ese período), sino en la restricción de exportaciones de arroz impuesta por el gobierno de India en octubre de 2007 para contener el costo de vida ante el alza del trigo, lo que generó compras de pánico por parte de gobiernos de países pobres importadores de arroz, elevando los precios a niveles sin precedentes hasta que estos cedieron en julio de 2008 tras el ofrecimiento del gobierno japonés de vender arroz de sus reservas de la OMC.</w:t>
      </w:r>
    </w:p>
    <w:p w14:paraId="1DCC85F3" w14:textId="77777777" w:rsidR="002255B9" w:rsidRDefault="005D7AF0" w:rsidP="002255B9">
      <w:pPr>
        <w:pStyle w:val="Prrafodelista"/>
        <w:numPr>
          <w:ilvl w:val="0"/>
          <w:numId w:val="3"/>
        </w:numPr>
        <w:jc w:val="both"/>
        <w:rPr>
          <w:rFonts w:ascii="Times New Roman" w:eastAsia="Times New Roman" w:hAnsi="Times New Roman" w:cs="Times New Roman"/>
          <w:b/>
          <w:bCs/>
          <w:sz w:val="24"/>
          <w:szCs w:val="24"/>
        </w:rPr>
      </w:pPr>
      <w:r w:rsidRPr="008D646B">
        <w:rPr>
          <w:rFonts w:ascii="Times New Roman" w:eastAsia="Times New Roman" w:hAnsi="Times New Roman" w:cs="Times New Roman"/>
          <w:b/>
          <w:bCs/>
          <w:sz w:val="24"/>
          <w:szCs w:val="24"/>
        </w:rPr>
        <w:t xml:space="preserve">Banco de la República (2020) </w:t>
      </w:r>
      <w:r w:rsidR="008D24D2" w:rsidRPr="008D646B">
        <w:rPr>
          <w:rFonts w:ascii="Times New Roman" w:eastAsia="Times New Roman" w:hAnsi="Times New Roman" w:cs="Times New Roman"/>
          <w:b/>
          <w:bCs/>
          <w:sz w:val="24"/>
          <w:szCs w:val="24"/>
          <w:highlight w:val="yellow"/>
        </w:rPr>
        <w:t xml:space="preserve">zoom especial en el análisis de </w:t>
      </w:r>
      <w:r w:rsidRPr="008D646B">
        <w:rPr>
          <w:rFonts w:ascii="Times New Roman" w:eastAsia="Times New Roman" w:hAnsi="Times New Roman" w:cs="Times New Roman"/>
          <w:b/>
          <w:bCs/>
          <w:sz w:val="24"/>
          <w:szCs w:val="24"/>
          <w:highlight w:val="yellow"/>
        </w:rPr>
        <w:t>mercado y abastecimiento</w:t>
      </w:r>
    </w:p>
    <w:p w14:paraId="311FE860" w14:textId="77777777" w:rsidR="002255B9" w:rsidRPr="002255B9" w:rsidRDefault="002255B9" w:rsidP="002255B9">
      <w:pPr>
        <w:jc w:val="both"/>
        <w:rPr>
          <w:rStyle w:val="Fuerte"/>
          <w:rFonts w:ascii="Times New Roman" w:hAnsi="Times New Roman" w:cs="Times New Roman"/>
          <w:sz w:val="24"/>
          <w:szCs w:val="24"/>
        </w:rPr>
      </w:pPr>
      <w:r w:rsidRPr="002255B9">
        <w:rPr>
          <w:rStyle w:val="Fuerte"/>
          <w:rFonts w:ascii="Times New Roman" w:hAnsi="Times New Roman" w:cs="Times New Roman"/>
          <w:sz w:val="24"/>
          <w:szCs w:val="24"/>
        </w:rPr>
        <w:t>Objetivo</w:t>
      </w:r>
    </w:p>
    <w:p w14:paraId="055A644C" w14:textId="77777777" w:rsidR="002255B9" w:rsidRDefault="002255B9" w:rsidP="002255B9">
      <w:pPr>
        <w:jc w:val="both"/>
        <w:rPr>
          <w:rFonts w:ascii="Times New Roman" w:hAnsi="Times New Roman" w:cs="Times New Roman"/>
          <w:sz w:val="24"/>
          <w:szCs w:val="24"/>
        </w:rPr>
      </w:pPr>
      <w:r w:rsidRPr="002255B9">
        <w:rPr>
          <w:rFonts w:ascii="Times New Roman" w:hAnsi="Times New Roman" w:cs="Times New Roman"/>
          <w:sz w:val="24"/>
          <w:szCs w:val="24"/>
        </w:rPr>
        <w:t>Explorar el grado de integración de los mercados de alimentos agrícolas en Colombia, concentrándose en el comportamiento de los mercados de arroz, cebolla, papa, tomate, frijol, yuca y plátano, caracterizando la estructura de las redes de abastecimiento de estos alimentos hacia Bogotá, Medellín y Cali, y calculando una medida de los costos de transacción entre estas tres ciudades y sus potenciales proveedores, así como el efecto de la distancia sobre dichos costos.</w:t>
      </w:r>
    </w:p>
    <w:p w14:paraId="47193F87" w14:textId="77777777" w:rsidR="002255B9" w:rsidRDefault="002255B9" w:rsidP="002255B9">
      <w:pPr>
        <w:jc w:val="both"/>
        <w:rPr>
          <w:rStyle w:val="Fuerte"/>
          <w:rFonts w:ascii="Times New Roman" w:hAnsi="Times New Roman" w:cs="Times New Roman"/>
          <w:sz w:val="24"/>
          <w:szCs w:val="24"/>
        </w:rPr>
      </w:pPr>
      <w:r w:rsidRPr="002255B9">
        <w:rPr>
          <w:rStyle w:val="Fuerte"/>
          <w:rFonts w:ascii="Times New Roman" w:hAnsi="Times New Roman" w:cs="Times New Roman"/>
          <w:sz w:val="24"/>
          <w:szCs w:val="24"/>
        </w:rPr>
        <w:t>Metodología</w:t>
      </w:r>
    </w:p>
    <w:p w14:paraId="012FD0CF" w14:textId="77777777" w:rsidR="002255B9" w:rsidRDefault="002255B9" w:rsidP="002255B9">
      <w:pPr>
        <w:jc w:val="both"/>
        <w:rPr>
          <w:rFonts w:ascii="Times New Roman" w:hAnsi="Times New Roman" w:cs="Times New Roman"/>
          <w:sz w:val="24"/>
          <w:szCs w:val="24"/>
        </w:rPr>
      </w:pPr>
      <w:r w:rsidRPr="002255B9">
        <w:rPr>
          <w:rFonts w:ascii="Times New Roman" w:hAnsi="Times New Roman" w:cs="Times New Roman"/>
          <w:sz w:val="24"/>
          <w:szCs w:val="24"/>
        </w:rPr>
        <w:t xml:space="preserve">El estudio combinó dos fuentes de información complementarias. La primera es el Sistema de Información de Precios y Abastecimiento del Sector Agropecuario (SIPSA) del DANE, cuyo componente de abastecimiento contiene información diaria de los volúmenes y el origen de los alimentos que ingresan a 30 mercados mayoristas en 32 departamentos, y cuyo componente de precios contiene información semanal de precios de los principales alimentos comercializados en 57 mercados mayoristas en 20 departamentos, además de molinos, bodegas y frigoríficos; el SIPSA registra precios de 42 variedades distintas dentro de los 7 productos seleccionados (por ejemplo, 2 variedades de arroz, de primera y de segunda; 4 de </w:t>
      </w:r>
      <w:r w:rsidRPr="002255B9">
        <w:rPr>
          <w:rFonts w:ascii="Times New Roman" w:hAnsi="Times New Roman" w:cs="Times New Roman"/>
          <w:sz w:val="24"/>
          <w:szCs w:val="24"/>
        </w:rPr>
        <w:lastRenderedPageBreak/>
        <w:t>yuca; 5 de plátano; 5 de cebolla cabezona; 6 de tomate; 8 de frijol y 12 de papa), y los costos de transacción se estimaron de forma específica para cada variedad con el fin de minimizar sesgos derivados de diferencias en los atributos del producto entre mercados. La segunda fuente son las Evaluaciones Agropecuarias Municipales (EVA) del Ministerio de Agricultura, que contienen información de área sembrada y producción anual por cultivo y municipio, construida por consenso a partir de encuestas a expertos locales.</w:t>
      </w:r>
    </w:p>
    <w:p w14:paraId="7A7448BB" w14:textId="1D5C7522" w:rsidR="002255B9" w:rsidRDefault="002255B9" w:rsidP="002255B9">
      <w:pPr>
        <w:jc w:val="both"/>
        <w:rPr>
          <w:rFonts w:ascii="Times New Roman" w:hAnsi="Times New Roman" w:cs="Times New Roman"/>
          <w:sz w:val="24"/>
          <w:szCs w:val="24"/>
        </w:rPr>
      </w:pPr>
      <w:r w:rsidRPr="002255B9">
        <w:rPr>
          <w:rFonts w:ascii="Times New Roman" w:hAnsi="Times New Roman" w:cs="Times New Roman"/>
          <w:sz w:val="24"/>
          <w:szCs w:val="24"/>
        </w:rPr>
        <w:t xml:space="preserve">Para el análisis de patrones de producción y abastecimiento, el foco central de este resumen, se usó la información de las EVA para el período 2014 a 2017, caracterizando la distribución regional de la producción de cada cultivo mediante la participación porcentual de los tres departamentos productores principales sobre el total nacional y el número de departamentos donde se cultiva cada producto. Para caracterizar los flujos de abastecimiento hacia las centrales de abasto de las tres ciudades (en Bogotá: Corabastos, </w:t>
      </w:r>
      <w:proofErr w:type="spellStart"/>
      <w:r w:rsidRPr="002255B9">
        <w:rPr>
          <w:rFonts w:ascii="Times New Roman" w:hAnsi="Times New Roman" w:cs="Times New Roman"/>
          <w:sz w:val="24"/>
          <w:szCs w:val="24"/>
        </w:rPr>
        <w:t>Paloquemado</w:t>
      </w:r>
      <w:proofErr w:type="spellEnd"/>
      <w:r w:rsidRPr="002255B9">
        <w:rPr>
          <w:rFonts w:ascii="Times New Roman" w:hAnsi="Times New Roman" w:cs="Times New Roman"/>
          <w:sz w:val="24"/>
          <w:szCs w:val="24"/>
        </w:rPr>
        <w:t xml:space="preserve">, la Plaza de las Flores y la Plaza España; en Cali: Plaza Santa Helena, </w:t>
      </w:r>
      <w:proofErr w:type="spellStart"/>
      <w:r w:rsidRPr="002255B9">
        <w:rPr>
          <w:rFonts w:ascii="Times New Roman" w:hAnsi="Times New Roman" w:cs="Times New Roman"/>
          <w:sz w:val="24"/>
          <w:szCs w:val="24"/>
        </w:rPr>
        <w:t>Cavasa</w:t>
      </w:r>
      <w:proofErr w:type="spellEnd"/>
      <w:r w:rsidRPr="002255B9">
        <w:rPr>
          <w:rFonts w:ascii="Times New Roman" w:hAnsi="Times New Roman" w:cs="Times New Roman"/>
          <w:sz w:val="24"/>
          <w:szCs w:val="24"/>
        </w:rPr>
        <w:t xml:space="preserve">, Galería Alameda, </w:t>
      </w:r>
      <w:proofErr w:type="spellStart"/>
      <w:r w:rsidRPr="002255B9">
        <w:rPr>
          <w:rFonts w:ascii="Times New Roman" w:hAnsi="Times New Roman" w:cs="Times New Roman"/>
          <w:sz w:val="24"/>
          <w:szCs w:val="24"/>
        </w:rPr>
        <w:t>Silón</w:t>
      </w:r>
      <w:proofErr w:type="spellEnd"/>
      <w:r w:rsidRPr="002255B9">
        <w:rPr>
          <w:rFonts w:ascii="Times New Roman" w:hAnsi="Times New Roman" w:cs="Times New Roman"/>
          <w:sz w:val="24"/>
          <w:szCs w:val="24"/>
        </w:rPr>
        <w:t xml:space="preserve"> y La Floresta; en Medellín: </w:t>
      </w:r>
      <w:proofErr w:type="spellStart"/>
      <w:r w:rsidRPr="002255B9">
        <w:rPr>
          <w:rFonts w:ascii="Times New Roman" w:hAnsi="Times New Roman" w:cs="Times New Roman"/>
          <w:sz w:val="24"/>
          <w:szCs w:val="24"/>
        </w:rPr>
        <w:t>Coomerca</w:t>
      </w:r>
      <w:proofErr w:type="spellEnd"/>
      <w:r w:rsidRPr="002255B9">
        <w:rPr>
          <w:rFonts w:ascii="Times New Roman" w:hAnsi="Times New Roman" w:cs="Times New Roman"/>
          <w:sz w:val="24"/>
          <w:szCs w:val="24"/>
        </w:rPr>
        <w:t>, la Central Mayorista de Antioquia, la Placita de Flórez y la Plaza Minorista José María Villa), se utilizó el componente de abastecimiento del SIPSA para el período 2014 a 2018, sumando los volúmenes registrados en todos los mercados de una misma ciudad. Con esta información se calculó, para cada ciudad y producto, un índice de concentración geográfica tipo Herfindahl, definido como la suma de los cuadrados de la participación de cada departamento de origen sobre el volumen total recibido por esa ciudad para ese producto</w:t>
      </w:r>
      <w:r w:rsidR="007D0740">
        <w:rPr>
          <w:rFonts w:ascii="Times New Roman" w:hAnsi="Times New Roman" w:cs="Times New Roman"/>
          <w:sz w:val="24"/>
          <w:szCs w:val="24"/>
        </w:rPr>
        <w:t>.</w:t>
      </w:r>
      <w:r w:rsidRPr="002255B9">
        <w:rPr>
          <w:rFonts w:ascii="Times New Roman" w:hAnsi="Times New Roman" w:cs="Times New Roman"/>
          <w:sz w:val="24"/>
          <w:szCs w:val="24"/>
        </w:rPr>
        <w:t xml:space="preserve"> Adicionalmente, se realizó un análisis de redes para visualizar los flujos de abastecimiento por producto, ponderando los nodos (departamentos) según su participación en el volumen recibido por cada ciudad y su participación en el total nacional. Finalmente, se relacionó la distancia geográfica con los patrones de abastecimiento, calculando para cada municipio proveedor la distancia y duración del recorrido por carretera hasta la central de abasto principal de cada ciudad destino, mediante la ruta más corta según la API de Google </w:t>
      </w:r>
      <w:proofErr w:type="spellStart"/>
      <w:r w:rsidRPr="002255B9">
        <w:rPr>
          <w:rFonts w:ascii="Times New Roman" w:hAnsi="Times New Roman" w:cs="Times New Roman"/>
          <w:sz w:val="24"/>
          <w:szCs w:val="24"/>
        </w:rPr>
        <w:t>Maps</w:t>
      </w:r>
      <w:proofErr w:type="spellEnd"/>
      <w:r w:rsidRPr="002255B9">
        <w:rPr>
          <w:rFonts w:ascii="Times New Roman" w:hAnsi="Times New Roman" w:cs="Times New Roman"/>
          <w:sz w:val="24"/>
          <w:szCs w:val="24"/>
        </w:rPr>
        <w:t xml:space="preserve"> Distance Matrix (con parámetros fijos de modo "manejando", hora de salida 4 a.m. del 28 de septiembre, y modelo de tráfico de "mejor conjetura"), construyendo curvas de participación acumulada del volumen abastecido según el tiempo de viaje desde el origen.</w:t>
      </w:r>
    </w:p>
    <w:p w14:paraId="3DB30625" w14:textId="2329A78D" w:rsidR="00954F2E" w:rsidRDefault="002255B9" w:rsidP="00954F2E">
      <w:pPr>
        <w:jc w:val="both"/>
        <w:rPr>
          <w:rFonts w:ascii="Times New Roman" w:hAnsi="Times New Roman" w:cs="Times New Roman"/>
          <w:sz w:val="24"/>
          <w:szCs w:val="24"/>
        </w:rPr>
      </w:pPr>
      <w:r w:rsidRPr="002255B9">
        <w:rPr>
          <w:rFonts w:ascii="Times New Roman" w:hAnsi="Times New Roman" w:cs="Times New Roman"/>
          <w:sz w:val="24"/>
          <w:szCs w:val="24"/>
        </w:rPr>
        <w:t xml:space="preserve">Para la estimación de costos de transacción y velocidad de ajuste, se adaptó la metodología de Van Campenhout (2007), basada en un modelo TAR, </w:t>
      </w:r>
      <w:proofErr w:type="spellStart"/>
      <w:r w:rsidRPr="002255B9">
        <w:rPr>
          <w:rFonts w:ascii="Times New Roman" w:hAnsi="Times New Roman" w:cs="Times New Roman"/>
          <w:sz w:val="24"/>
          <w:szCs w:val="24"/>
        </w:rPr>
        <w:t>Threshold</w:t>
      </w:r>
      <w:proofErr w:type="spellEnd"/>
      <w:r w:rsidRPr="002255B9">
        <w:rPr>
          <w:rFonts w:ascii="Times New Roman" w:hAnsi="Times New Roman" w:cs="Times New Roman"/>
          <w:sz w:val="24"/>
          <w:szCs w:val="24"/>
        </w:rPr>
        <w:t xml:space="preserve"> </w:t>
      </w:r>
      <w:proofErr w:type="spellStart"/>
      <w:r w:rsidRPr="002255B9">
        <w:rPr>
          <w:rFonts w:ascii="Times New Roman" w:hAnsi="Times New Roman" w:cs="Times New Roman"/>
          <w:sz w:val="24"/>
          <w:szCs w:val="24"/>
        </w:rPr>
        <w:t>Autoregression</w:t>
      </w:r>
      <w:proofErr w:type="spellEnd"/>
      <w:r>
        <w:rPr>
          <w:rFonts w:ascii="Times New Roman" w:hAnsi="Times New Roman" w:cs="Times New Roman"/>
          <w:sz w:val="24"/>
          <w:szCs w:val="24"/>
        </w:rPr>
        <w:t>, a</w:t>
      </w:r>
      <w:r w:rsidRPr="002255B9">
        <w:rPr>
          <w:rFonts w:ascii="Times New Roman" w:hAnsi="Times New Roman" w:cs="Times New Roman"/>
          <w:sz w:val="24"/>
          <w:szCs w:val="24"/>
        </w:rPr>
        <w:t xml:space="preserve">plicado al diferencial de precios entre un mercado local (potencial origen) y un mercado de referencia (Bogotá, Medellín o Cali como potenciales destinos, y 39 municipios del SIPSA como potenciales orígenes), usando información semanal de precios entre la semana 46 de 2012 y la semana 30 de 2018. Es importante señalar que estos son precios nominales: el estudio no menciona ningún procedimiento de </w:t>
      </w:r>
      <w:proofErr w:type="spellStart"/>
      <w:r w:rsidRPr="002255B9">
        <w:rPr>
          <w:rFonts w:ascii="Times New Roman" w:hAnsi="Times New Roman" w:cs="Times New Roman"/>
          <w:sz w:val="24"/>
          <w:szCs w:val="24"/>
        </w:rPr>
        <w:t>deflactación</w:t>
      </w:r>
      <w:proofErr w:type="spellEnd"/>
      <w:r w:rsidRPr="002255B9">
        <w:rPr>
          <w:rFonts w:ascii="Times New Roman" w:hAnsi="Times New Roman" w:cs="Times New Roman"/>
          <w:sz w:val="24"/>
          <w:szCs w:val="24"/>
        </w:rPr>
        <w:t xml:space="preserve"> o ajuste por inflación de las series de precios utilizadas; los diferenciales de precios y los costos de transacción se calculan directamente sobre los precios corrientes reportados por el SIPSA. El modelo TAR especifica que, cuando el diferencial de precios rezagado supera en valor absoluto un umbral, que se interpreta como el costo de transacción entre ambos mercados, el diferencial revierte hacia cero según un coeficiente autorregresivo</w:t>
      </w:r>
      <w:r w:rsidR="007D0740">
        <w:rPr>
          <w:rFonts w:ascii="Times New Roman" w:hAnsi="Times New Roman" w:cs="Times New Roman"/>
          <w:sz w:val="24"/>
          <w:szCs w:val="24"/>
        </w:rPr>
        <w:t xml:space="preserve">; </w:t>
      </w:r>
      <w:r w:rsidRPr="002255B9">
        <w:rPr>
          <w:rFonts w:ascii="Times New Roman" w:hAnsi="Times New Roman" w:cs="Times New Roman"/>
          <w:sz w:val="24"/>
          <w:szCs w:val="24"/>
        </w:rPr>
        <w:t>cuando el diferencial se encuentra dentro de la banda</w:t>
      </w:r>
      <w:r w:rsidR="007D0740">
        <w:rPr>
          <w:rFonts w:ascii="Times New Roman" w:hAnsi="Times New Roman" w:cs="Times New Roman"/>
          <w:sz w:val="24"/>
          <w:szCs w:val="24"/>
        </w:rPr>
        <w:t xml:space="preserve">, </w:t>
      </w:r>
      <w:r w:rsidRPr="002255B9">
        <w:rPr>
          <w:rFonts w:ascii="Times New Roman" w:hAnsi="Times New Roman" w:cs="Times New Roman"/>
          <w:sz w:val="24"/>
          <w:szCs w:val="24"/>
        </w:rPr>
        <w:t>se asume que sigue un comportamiento aleatorio</w:t>
      </w:r>
      <w:r w:rsidR="007D0740">
        <w:rPr>
          <w:rFonts w:ascii="Times New Roman" w:hAnsi="Times New Roman" w:cs="Times New Roman"/>
          <w:sz w:val="24"/>
          <w:szCs w:val="24"/>
        </w:rPr>
        <w:t xml:space="preserve">, </w:t>
      </w:r>
      <w:r w:rsidRPr="002255B9">
        <w:rPr>
          <w:rFonts w:ascii="Times New Roman" w:hAnsi="Times New Roman" w:cs="Times New Roman"/>
          <w:sz w:val="24"/>
          <w:szCs w:val="24"/>
        </w:rPr>
        <w:t xml:space="preserve">pues no hay incentivo de arbitraje. El umbral se </w:t>
      </w:r>
      <w:r w:rsidRPr="002255B9">
        <w:rPr>
          <w:rFonts w:ascii="Times New Roman" w:hAnsi="Times New Roman" w:cs="Times New Roman"/>
          <w:sz w:val="24"/>
          <w:szCs w:val="24"/>
        </w:rPr>
        <w:lastRenderedPageBreak/>
        <w:t>estimó mediante una grilla de valores posibles</w:t>
      </w:r>
      <w:r w:rsidR="007D0740">
        <w:rPr>
          <w:rFonts w:ascii="Times New Roman" w:hAnsi="Times New Roman" w:cs="Times New Roman"/>
          <w:sz w:val="24"/>
          <w:szCs w:val="24"/>
        </w:rPr>
        <w:t xml:space="preserve">, </w:t>
      </w:r>
      <w:r w:rsidRPr="002255B9">
        <w:rPr>
          <w:rFonts w:ascii="Times New Roman" w:hAnsi="Times New Roman" w:cs="Times New Roman"/>
          <w:sz w:val="24"/>
          <w:szCs w:val="24"/>
        </w:rPr>
        <w:t>seleccionando el valor que minimiza la suma de residuos al cuadrado del modelo; con el</w:t>
      </w:r>
      <w:r w:rsidR="007D0740">
        <w:rPr>
          <w:rFonts w:ascii="Times New Roman" w:hAnsi="Times New Roman" w:cs="Times New Roman"/>
          <w:sz w:val="24"/>
          <w:szCs w:val="24"/>
        </w:rPr>
        <w:t xml:space="preserve"> </w:t>
      </w:r>
      <w:r w:rsidR="007D0740" w:rsidRPr="002255B9">
        <w:rPr>
          <w:rFonts w:ascii="Times New Roman" w:hAnsi="Times New Roman" w:cs="Times New Roman"/>
          <w:sz w:val="24"/>
          <w:szCs w:val="24"/>
        </w:rPr>
        <w:t xml:space="preserve">coeficiente </w:t>
      </w:r>
      <w:r w:rsidR="007D0740">
        <w:rPr>
          <w:rFonts w:ascii="Times New Roman" w:hAnsi="Times New Roman" w:cs="Times New Roman"/>
          <w:sz w:val="24"/>
          <w:szCs w:val="24"/>
        </w:rPr>
        <w:t>autorregresivo</w:t>
      </w:r>
      <w:r w:rsidRPr="002255B9">
        <w:rPr>
          <w:rFonts w:ascii="Times New Roman" w:hAnsi="Times New Roman" w:cs="Times New Roman"/>
          <w:sz w:val="24"/>
          <w:szCs w:val="24"/>
        </w:rPr>
        <w:t xml:space="preserve"> estimado se calculó la vida media de un choque</w:t>
      </w:r>
      <w:r w:rsidR="00B8678B">
        <w:rPr>
          <w:rFonts w:ascii="Times New Roman" w:hAnsi="Times New Roman" w:cs="Times New Roman"/>
          <w:sz w:val="24"/>
          <w:szCs w:val="24"/>
        </w:rPr>
        <w:t xml:space="preserve">. </w:t>
      </w:r>
      <w:r w:rsidRPr="002255B9">
        <w:rPr>
          <w:rFonts w:ascii="Times New Roman" w:hAnsi="Times New Roman" w:cs="Times New Roman"/>
          <w:sz w:val="24"/>
          <w:szCs w:val="24"/>
        </w:rPr>
        <w:t>Previamente a la estimación del TAR, se aplicó la prueba de raíz unitaria</w:t>
      </w:r>
      <w:r w:rsidR="00B8678B">
        <w:rPr>
          <w:rFonts w:ascii="Times New Roman" w:hAnsi="Times New Roman" w:cs="Times New Roman"/>
          <w:sz w:val="24"/>
          <w:szCs w:val="24"/>
        </w:rPr>
        <w:t xml:space="preserve">, </w:t>
      </w:r>
      <w:r w:rsidRPr="002255B9">
        <w:rPr>
          <w:rFonts w:ascii="Times New Roman" w:hAnsi="Times New Roman" w:cs="Times New Roman"/>
          <w:sz w:val="24"/>
          <w:szCs w:val="24"/>
        </w:rPr>
        <w:t xml:space="preserve">a cada serie de diferenciales de precios, conservando solo las series donde se rechaza la hipótesis nula de raíz unitaria (aproximadamente 80% de las series disponibles) y que cuentan con al menos 104 semanas de información disponible; adicionalmente se restringió el análisis a las tripletas {ciudad destino, municipio origen, producto} con diferencial de precio positivo, para excluir flujos comerciales implausibles desde la ciudad principal hacia el municipio pequeño. Cuando había más de un mercado con información de precios en una misma ciudad, se tomó como precio de referencia el promedio entre todas las centrales de abasto y mercados mayoristas de esa ciudad. Por último, se relacionó el logaritmo del costo de transacción estimado con el logaritmo del tiempo de viaje entre cada par de </w:t>
      </w:r>
      <w:r w:rsidRPr="00954F2E">
        <w:rPr>
          <w:rFonts w:ascii="Times New Roman" w:hAnsi="Times New Roman" w:cs="Times New Roman"/>
          <w:sz w:val="24"/>
          <w:szCs w:val="24"/>
        </w:rPr>
        <w:t>mercados mediante una regresión por Mínimos Cuadrados Ordinarios, incorporando progresivamente efectos fijos de producto (cultivo), de ciudad de destino (consumidor) y de municipio de origen (productor).</w:t>
      </w:r>
    </w:p>
    <w:p w14:paraId="791C3851" w14:textId="77777777" w:rsidR="00954F2E" w:rsidRDefault="002255B9" w:rsidP="00954F2E">
      <w:pPr>
        <w:jc w:val="both"/>
        <w:rPr>
          <w:rStyle w:val="Fuerte"/>
          <w:rFonts w:ascii="Times New Roman" w:hAnsi="Times New Roman" w:cs="Times New Roman"/>
          <w:sz w:val="24"/>
          <w:szCs w:val="24"/>
        </w:rPr>
      </w:pPr>
      <w:r w:rsidRPr="00954F2E">
        <w:rPr>
          <w:rStyle w:val="Fuerte"/>
          <w:rFonts w:ascii="Times New Roman" w:hAnsi="Times New Roman" w:cs="Times New Roman"/>
          <w:sz w:val="24"/>
          <w:szCs w:val="24"/>
        </w:rPr>
        <w:t>Resultados</w:t>
      </w:r>
    </w:p>
    <w:p w14:paraId="59817890" w14:textId="77777777" w:rsidR="00954F2E" w:rsidRDefault="002255B9" w:rsidP="00954F2E">
      <w:pPr>
        <w:jc w:val="both"/>
        <w:rPr>
          <w:rFonts w:ascii="Times New Roman" w:hAnsi="Times New Roman" w:cs="Times New Roman"/>
          <w:sz w:val="24"/>
          <w:szCs w:val="24"/>
        </w:rPr>
      </w:pPr>
      <w:r w:rsidRPr="00954F2E">
        <w:rPr>
          <w:rFonts w:ascii="Times New Roman" w:hAnsi="Times New Roman" w:cs="Times New Roman"/>
          <w:sz w:val="24"/>
          <w:szCs w:val="24"/>
        </w:rPr>
        <w:t>El análisis de producción mediante las EVA mostró un fuerte patrón de concentración geográfica en el cultivo de los productos estudiados. La cebolla cabezona y la papa presentaron los mayores niveles de concentración: se cultivan en solo un tercio de los departamentos del país, y sus tres principales productores (Boyacá, Cundinamarca y Norte de Santander para cebolla, con 93% de participación; Boyacá, Cundinamarca y Nariño para papa, con 87,9%) aportan cerca del 90% del volumen nacional. En contraste, la yuca y el plátano presentaron la mayor dispersión geográfica, cultivándose en los 32 departamentos del país, aunque cerca de un tercio de su producción se concentra igualmente en los tres principales departamentos productores (Bolívar, Córdoba y Sucre para yuca, con 39,0%; Arauca, Antioquia y Valle del Cauca para plátano, con 31,7%). El tomate, el arroz y el frijol se producen en 25 departamentos, con los tres principales productores aportando entre 47,0% (frijol, liderado por Huila, Tolima y Antioquia) y 63,5% (arroz, liderado por Casanare, Tolima y Meta) de la producción nacional.</w:t>
      </w:r>
    </w:p>
    <w:p w14:paraId="6600EF63" w14:textId="77777777" w:rsidR="00954F2E" w:rsidRDefault="002255B9" w:rsidP="00954F2E">
      <w:pPr>
        <w:jc w:val="both"/>
        <w:rPr>
          <w:rFonts w:ascii="Times New Roman" w:hAnsi="Times New Roman" w:cs="Times New Roman"/>
          <w:sz w:val="24"/>
          <w:szCs w:val="24"/>
        </w:rPr>
      </w:pPr>
      <w:r w:rsidRPr="00954F2E">
        <w:rPr>
          <w:rFonts w:ascii="Times New Roman" w:hAnsi="Times New Roman" w:cs="Times New Roman"/>
          <w:sz w:val="24"/>
          <w:szCs w:val="24"/>
        </w:rPr>
        <w:t xml:space="preserve">En cuanto a los patrones de abastecimiento hacia las tres ciudades (período 2014 a 2018), Bogotá se identificó como el principal receptor de todos los productos estudiados, recibiendo entre 24,8% (arroz) y 52,4% (cebolla cabezona) del volumen total registrado en el SIPSA a nivel nacional. El índice de Herfindahl de concentración del abastecimiento mostró que la yuca, la papa y el frijol verde presentan la mayor concentración de proveedores (valores entre 0,70 y 0,97), mientras que el plátano, el frijol seco y el arroz presentan la mayor dispersión (valores entre 0,15 y 0,53). El análisis de redes confirmó que los principales departamentos productores tienden a ser también los principales proveedores hacia las tres ciudades: Cundinamarca provee el 88% de la papa recibida en Bogotá y Nariño el 84% de la recibida en Cali, mientras que Medellín, más alejada de las zonas productoras principales de papa, obtiene el 81% de su abastecimiento de papa desde Antioquia. Para el tomate, cada ciudad se abastece principalmente de su propio departamento (entre 59% en Bogotá y 84% en Medellín), atribuible a la necesidad de garantizar tiempos cortos de transporte para conservar </w:t>
      </w:r>
      <w:r w:rsidRPr="00954F2E">
        <w:rPr>
          <w:rFonts w:ascii="Times New Roman" w:hAnsi="Times New Roman" w:cs="Times New Roman"/>
          <w:sz w:val="24"/>
          <w:szCs w:val="24"/>
        </w:rPr>
        <w:lastRenderedPageBreak/>
        <w:t>la calidad del producto. Para la yuca, Meta provee el 97% del volumen recibido en Bogotá, Antioquia el 85% del recibido en Medellín, y Quindío el 89% del recibido en Cali. El arroz y el plátano mostraron patrones más dispersos, con Meta y Tolima aportando en promedio el 70% del volumen de arroz recibido en las tres ciudades (Meta abasteciendo principalmente a Bogotá, y Tolima a Cali y Medellín), y el frijol seco presentando la mayor dispersión de proveedores, sin que ninguno superara el 38% de participación en ninguna ciudad, destacándose además una participación de aproximadamente 60% de frijol importado en el abastecimiento de Cali.</w:t>
      </w:r>
    </w:p>
    <w:p w14:paraId="071E1D43" w14:textId="77777777" w:rsidR="00954F2E" w:rsidRDefault="002255B9" w:rsidP="00954F2E">
      <w:pPr>
        <w:jc w:val="both"/>
        <w:rPr>
          <w:rFonts w:ascii="Times New Roman" w:hAnsi="Times New Roman" w:cs="Times New Roman"/>
          <w:sz w:val="24"/>
          <w:szCs w:val="24"/>
        </w:rPr>
      </w:pPr>
      <w:r w:rsidRPr="00954F2E">
        <w:rPr>
          <w:rFonts w:ascii="Times New Roman" w:hAnsi="Times New Roman" w:cs="Times New Roman"/>
          <w:sz w:val="24"/>
          <w:szCs w:val="24"/>
        </w:rPr>
        <w:t>Respecto a la relación entre distancia y volumen abastecido, el tomate mostró la tendencia más marcada hacia el abastecimiento desde zonas cercanas, con el 80% del volumen proveniente de municipios ubicados a menos de 3,5 horas de recorrido por carretera; le siguió el frijol verde, con el 80% del abastecimiento proveniente de municipios entre 4 y 7 horas de distancia. En el extremo opuesto, el frijol seco presentó los mayores tiempos de recorrido, con el 80% del abastecimiento proveniente de municipios ubicados hasta a 17 horas de distancia. También se observaron diferencias entre ciudades para un mismo producto: mientras Bogotá se abastece de papa proveniente de municipios a menos de 4 horas, la papa que llega a Cali recorre hasta 10 horas por carretera.</w:t>
      </w:r>
    </w:p>
    <w:p w14:paraId="13798672" w14:textId="31F95B8D" w:rsidR="002255B9" w:rsidRPr="00954F2E" w:rsidRDefault="002255B9" w:rsidP="002255B9">
      <w:pPr>
        <w:jc w:val="both"/>
        <w:rPr>
          <w:rFonts w:ascii="Times New Roman" w:hAnsi="Times New Roman" w:cs="Times New Roman"/>
          <w:sz w:val="24"/>
          <w:szCs w:val="24"/>
        </w:rPr>
      </w:pPr>
      <w:r w:rsidRPr="00954F2E">
        <w:rPr>
          <w:rFonts w:ascii="Times New Roman" w:hAnsi="Times New Roman" w:cs="Times New Roman"/>
          <w:sz w:val="24"/>
          <w:szCs w:val="24"/>
        </w:rPr>
        <w:t>En cuanto a los costos de transacción estimados mediante el modelo TAR, estos representaron en promedio 41,9% (desviación estándar 43,9 puntos porcentuales) del precio de los productos en los potenciales mercados de origen, aunque la mitad de las estimaciones se ubicó por debajo de 30%. Bogotá presentó el costo de transacción promedio más alto (48,2%, con una mediana de 30%), seguida de Medellín (40,9%, mediana de 29%), mientras que Cali presentó los valores más bajos y menos dispersos (25,8%, mediana de 19,8%). Por producto, la yuca (57,6%) y el plátano (81,8%) registraron los mayores costos de transacción promedio, alcanzando en Bogotá y Medellín específicamente 103,4% y 65,0% respectivamente para el plátano, mientras que el arroz (12,8%) y el frijol seco (18,0%), los productos menos perecederos de la muestra, presentaron los costos de transacción más bajos. La velocidad de ajuste, medida como la vida media del choque en semanas, fue en promedio de 3,1 semanas para el conjunto de productos y ciudades; la yuca mostró la mayor persistencia (6,9 semanas en promedio), mientras que la papa y el tomate mostraron la menor persistencia (1,6 y 1,3 semanas respectivamente). Por ciudad, Cali presentó la mayor persistencia promedio (4,0 semanas), seguida de Medellín (3,0 semanas) y Bogotá (2,7 semanas), atribuible en parte a casos puntuales de arroz y plátano en esa ciudad. Finalmente, la regresión de mínimos cuadrados ordinarios entre el logaritmo del costo de transacción y el logaritmo del tiempo de viaje mostró un coeficiente positivo y estadísticamente significativo en las cuatro especificaciones estimadas (entre 0,17 y 0,30, robusto a la inclusión de efectos fijos de cultivo, ciudad destino y municipio origen), indicando que un incremento de 10% en el tiempo de viaje entre el mercado de origen potencial y la ciudad de destino se asocia con un incremento aproximado de 3% en el costo de transacción estimado como proporción del precio en el mercado de origen.</w:t>
      </w:r>
    </w:p>
    <w:p w14:paraId="1C113E1A" w14:textId="77777777" w:rsidR="004F733F" w:rsidRPr="004F733F" w:rsidRDefault="00EB1D46" w:rsidP="004F733F">
      <w:pPr>
        <w:pStyle w:val="Prrafodelista"/>
        <w:numPr>
          <w:ilvl w:val="0"/>
          <w:numId w:val="3"/>
        </w:numPr>
        <w:jc w:val="both"/>
        <w:rPr>
          <w:rFonts w:ascii="Times New Roman" w:eastAsia="Times New Roman" w:hAnsi="Times New Roman" w:cs="Times New Roman"/>
          <w:b/>
          <w:bCs/>
          <w:sz w:val="24"/>
          <w:szCs w:val="24"/>
        </w:rPr>
      </w:pPr>
      <w:r w:rsidRPr="004F733F">
        <w:rPr>
          <w:rFonts w:ascii="Times New Roman" w:eastAsia="Times New Roman" w:hAnsi="Times New Roman" w:cs="Times New Roman"/>
          <w:b/>
          <w:bCs/>
          <w:sz w:val="24"/>
          <w:szCs w:val="24"/>
        </w:rPr>
        <w:t>Bai et al., (2022b)</w:t>
      </w:r>
    </w:p>
    <w:p w14:paraId="73FB5294" w14:textId="77777777" w:rsidR="004F733F" w:rsidRPr="004F733F" w:rsidRDefault="004F733F" w:rsidP="004F733F">
      <w:pPr>
        <w:jc w:val="both"/>
        <w:rPr>
          <w:rStyle w:val="Fuerte"/>
          <w:rFonts w:ascii="Times New Roman" w:hAnsi="Times New Roman" w:cs="Times New Roman"/>
          <w:sz w:val="24"/>
          <w:szCs w:val="24"/>
        </w:rPr>
      </w:pPr>
      <w:r w:rsidRPr="004F733F">
        <w:rPr>
          <w:rStyle w:val="Fuerte"/>
          <w:rFonts w:ascii="Times New Roman" w:hAnsi="Times New Roman" w:cs="Times New Roman"/>
          <w:sz w:val="24"/>
          <w:szCs w:val="24"/>
        </w:rPr>
        <w:t>Objetivo</w:t>
      </w:r>
    </w:p>
    <w:p w14:paraId="5D7B3A49" w14:textId="77777777" w:rsidR="004F733F" w:rsidRDefault="004F733F" w:rsidP="004F733F">
      <w:pPr>
        <w:jc w:val="both"/>
        <w:rPr>
          <w:rFonts w:ascii="Times New Roman" w:hAnsi="Times New Roman" w:cs="Times New Roman"/>
          <w:sz w:val="24"/>
          <w:szCs w:val="24"/>
        </w:rPr>
      </w:pPr>
      <w:r w:rsidRPr="004F733F">
        <w:rPr>
          <w:rFonts w:ascii="Times New Roman" w:hAnsi="Times New Roman" w:cs="Times New Roman"/>
          <w:sz w:val="24"/>
          <w:szCs w:val="24"/>
        </w:rPr>
        <w:lastRenderedPageBreak/>
        <w:t>Identificar las poblaciones cuyas necesidades de nutrientes son más difíciles de cubrir con los sistemas alimentarios existentes a nivel global, cuantificando la variación en el costo de una dieta que cubre los requerimientos nutricionales según grupo demográfico (edad, sexo y estado reproductivo) en 172 países. El estudio buscó determinar cómo la asequibilidad de los alimentos necesarios para cumplir los requerimientos de nutrientes varía a lo largo del curso de vida, desde la niñez y adolescencia hasta la adultez, el embarazo, la lactancia y la vejez, y analizar la composición por grupos de alimentos de las dietas de menor costo que logran esa adecuación nutricional.</w:t>
      </w:r>
    </w:p>
    <w:p w14:paraId="3F1AC911" w14:textId="77777777" w:rsidR="004F733F" w:rsidRDefault="004F733F" w:rsidP="004F733F">
      <w:pPr>
        <w:jc w:val="both"/>
        <w:rPr>
          <w:rStyle w:val="Fuerte"/>
          <w:rFonts w:ascii="Times New Roman" w:hAnsi="Times New Roman" w:cs="Times New Roman"/>
          <w:sz w:val="24"/>
          <w:szCs w:val="24"/>
        </w:rPr>
      </w:pPr>
      <w:r w:rsidRPr="004F733F">
        <w:rPr>
          <w:rStyle w:val="Fuerte"/>
          <w:rFonts w:ascii="Times New Roman" w:hAnsi="Times New Roman" w:cs="Times New Roman"/>
          <w:sz w:val="24"/>
          <w:szCs w:val="24"/>
        </w:rPr>
        <w:t>Metodología</w:t>
      </w:r>
    </w:p>
    <w:p w14:paraId="3A00FBFC" w14:textId="77777777" w:rsidR="004F733F" w:rsidRDefault="004F733F" w:rsidP="004F733F">
      <w:pPr>
        <w:jc w:val="both"/>
        <w:rPr>
          <w:rFonts w:ascii="Times New Roman" w:hAnsi="Times New Roman" w:cs="Times New Roman"/>
          <w:sz w:val="24"/>
          <w:szCs w:val="24"/>
        </w:rPr>
      </w:pPr>
      <w:r w:rsidRPr="004F733F">
        <w:rPr>
          <w:rFonts w:ascii="Times New Roman" w:hAnsi="Times New Roman" w:cs="Times New Roman"/>
          <w:sz w:val="24"/>
          <w:szCs w:val="24"/>
        </w:rPr>
        <w:t xml:space="preserve">Se utilizaron datos de precios minoristas nacionales promedio de 2017 provenientes del International </w:t>
      </w:r>
      <w:proofErr w:type="spellStart"/>
      <w:r w:rsidRPr="004F733F">
        <w:rPr>
          <w:rFonts w:ascii="Times New Roman" w:hAnsi="Times New Roman" w:cs="Times New Roman"/>
          <w:sz w:val="24"/>
          <w:szCs w:val="24"/>
        </w:rPr>
        <w:t>Comparison</w:t>
      </w:r>
      <w:proofErr w:type="spellEnd"/>
      <w:r w:rsidRPr="004F733F">
        <w:rPr>
          <w:rFonts w:ascii="Times New Roman" w:hAnsi="Times New Roman" w:cs="Times New Roman"/>
          <w:sz w:val="24"/>
          <w:szCs w:val="24"/>
        </w:rPr>
        <w:t xml:space="preserve"> </w:t>
      </w:r>
      <w:proofErr w:type="spellStart"/>
      <w:r w:rsidRPr="004F733F">
        <w:rPr>
          <w:rFonts w:ascii="Times New Roman" w:hAnsi="Times New Roman" w:cs="Times New Roman"/>
          <w:sz w:val="24"/>
          <w:szCs w:val="24"/>
        </w:rPr>
        <w:t>Program</w:t>
      </w:r>
      <w:proofErr w:type="spellEnd"/>
      <w:r w:rsidRPr="004F733F">
        <w:rPr>
          <w:rFonts w:ascii="Times New Roman" w:hAnsi="Times New Roman" w:cs="Times New Roman"/>
          <w:sz w:val="24"/>
          <w:szCs w:val="24"/>
        </w:rPr>
        <w:t xml:space="preserve"> (ICP), que reportó precios para una lista global de 193 alimentos y bebidas no alcohólicas de disponibilidad mundial, complementada con 523 ítems adicionales de disponibilidad regional, para un total de 716 alimentos potenciales. Cada país reportó un precio único nacional promedio por los ítems efectivamente disponibles en 2017, obtenido de una muestra representativa de puntos de venta urbanos y rurales visitados mensual o trimestralmente. Tras excluir ítems no calóricos, alimentos infantiles especializados, condimentos consumidos en pequeñas cantidades y artículos de tamaño o composición desconocida, quedaron 545 ítems, cada uno vinculado a su contenido nutricional mediante la base de datos </w:t>
      </w:r>
      <w:proofErr w:type="spellStart"/>
      <w:r w:rsidRPr="004F733F">
        <w:rPr>
          <w:rFonts w:ascii="Times New Roman" w:hAnsi="Times New Roman" w:cs="Times New Roman"/>
          <w:sz w:val="24"/>
          <w:szCs w:val="24"/>
        </w:rPr>
        <w:t>National</w:t>
      </w:r>
      <w:proofErr w:type="spellEnd"/>
      <w:r w:rsidRPr="004F733F">
        <w:rPr>
          <w:rFonts w:ascii="Times New Roman" w:hAnsi="Times New Roman" w:cs="Times New Roman"/>
          <w:sz w:val="24"/>
          <w:szCs w:val="24"/>
        </w:rPr>
        <w:t xml:space="preserve"> </w:t>
      </w:r>
      <w:proofErr w:type="spellStart"/>
      <w:r w:rsidRPr="004F733F">
        <w:rPr>
          <w:rFonts w:ascii="Times New Roman" w:hAnsi="Times New Roman" w:cs="Times New Roman"/>
          <w:sz w:val="24"/>
          <w:szCs w:val="24"/>
        </w:rPr>
        <w:t>Nutrient</w:t>
      </w:r>
      <w:proofErr w:type="spellEnd"/>
      <w:r w:rsidRPr="004F733F">
        <w:rPr>
          <w:rFonts w:ascii="Times New Roman" w:hAnsi="Times New Roman" w:cs="Times New Roman"/>
          <w:sz w:val="24"/>
          <w:szCs w:val="24"/>
        </w:rPr>
        <w:t xml:space="preserve"> </w:t>
      </w:r>
      <w:proofErr w:type="spellStart"/>
      <w:r w:rsidRPr="004F733F">
        <w:rPr>
          <w:rFonts w:ascii="Times New Roman" w:hAnsi="Times New Roman" w:cs="Times New Roman"/>
          <w:sz w:val="24"/>
          <w:szCs w:val="24"/>
        </w:rPr>
        <w:t>Database</w:t>
      </w:r>
      <w:proofErr w:type="spellEnd"/>
      <w:r w:rsidRPr="004F733F">
        <w:rPr>
          <w:rFonts w:ascii="Times New Roman" w:hAnsi="Times New Roman" w:cs="Times New Roman"/>
          <w:sz w:val="24"/>
          <w:szCs w:val="24"/>
        </w:rPr>
        <w:t xml:space="preserve"> </w:t>
      </w:r>
      <w:proofErr w:type="spellStart"/>
      <w:r w:rsidRPr="004F733F">
        <w:rPr>
          <w:rFonts w:ascii="Times New Roman" w:hAnsi="Times New Roman" w:cs="Times New Roman"/>
          <w:sz w:val="24"/>
          <w:szCs w:val="24"/>
        </w:rPr>
        <w:t>for</w:t>
      </w:r>
      <w:proofErr w:type="spellEnd"/>
      <w:r w:rsidRPr="004F733F">
        <w:rPr>
          <w:rFonts w:ascii="Times New Roman" w:hAnsi="Times New Roman" w:cs="Times New Roman"/>
          <w:sz w:val="24"/>
          <w:szCs w:val="24"/>
        </w:rPr>
        <w:t xml:space="preserve"> Standard Reference del USDA, complementada en algunos casos con bases de datos regionales de composición de alimentos. El indicador central fue el Cost </w:t>
      </w:r>
      <w:proofErr w:type="spellStart"/>
      <w:r w:rsidRPr="004F733F">
        <w:rPr>
          <w:rFonts w:ascii="Times New Roman" w:hAnsi="Times New Roman" w:cs="Times New Roman"/>
          <w:sz w:val="24"/>
          <w:szCs w:val="24"/>
        </w:rPr>
        <w:t>of</w:t>
      </w:r>
      <w:proofErr w:type="spellEnd"/>
      <w:r w:rsidRPr="004F733F">
        <w:rPr>
          <w:rFonts w:ascii="Times New Roman" w:hAnsi="Times New Roman" w:cs="Times New Roman"/>
          <w:sz w:val="24"/>
          <w:szCs w:val="24"/>
        </w:rPr>
        <w:t xml:space="preserve"> </w:t>
      </w:r>
      <w:proofErr w:type="spellStart"/>
      <w:r w:rsidRPr="004F733F">
        <w:rPr>
          <w:rFonts w:ascii="Times New Roman" w:hAnsi="Times New Roman" w:cs="Times New Roman"/>
          <w:sz w:val="24"/>
          <w:szCs w:val="24"/>
        </w:rPr>
        <w:t>Nutrient</w:t>
      </w:r>
      <w:proofErr w:type="spellEnd"/>
      <w:r w:rsidRPr="004F733F">
        <w:rPr>
          <w:rFonts w:ascii="Times New Roman" w:hAnsi="Times New Roman" w:cs="Times New Roman"/>
          <w:sz w:val="24"/>
          <w:szCs w:val="24"/>
        </w:rPr>
        <w:t xml:space="preserve"> </w:t>
      </w:r>
      <w:proofErr w:type="spellStart"/>
      <w:r w:rsidRPr="004F733F">
        <w:rPr>
          <w:rFonts w:ascii="Times New Roman" w:hAnsi="Times New Roman" w:cs="Times New Roman"/>
          <w:sz w:val="24"/>
          <w:szCs w:val="24"/>
        </w:rPr>
        <w:t>Adequacy</w:t>
      </w:r>
      <w:proofErr w:type="spellEnd"/>
      <w:r w:rsidRPr="004F733F">
        <w:rPr>
          <w:rFonts w:ascii="Times New Roman" w:hAnsi="Times New Roman" w:cs="Times New Roman"/>
          <w:sz w:val="24"/>
          <w:szCs w:val="24"/>
        </w:rPr>
        <w:t xml:space="preserve"> (</w:t>
      </w:r>
      <w:proofErr w:type="spellStart"/>
      <w:r w:rsidRPr="004F733F">
        <w:rPr>
          <w:rFonts w:ascii="Times New Roman" w:hAnsi="Times New Roman" w:cs="Times New Roman"/>
          <w:sz w:val="24"/>
          <w:szCs w:val="24"/>
        </w:rPr>
        <w:t>CoNA</w:t>
      </w:r>
      <w:proofErr w:type="spellEnd"/>
      <w:r w:rsidRPr="004F733F">
        <w:rPr>
          <w:rFonts w:ascii="Times New Roman" w:hAnsi="Times New Roman" w:cs="Times New Roman"/>
          <w:sz w:val="24"/>
          <w:szCs w:val="24"/>
        </w:rPr>
        <w:t xml:space="preserve">), definido como la dieta de menor costo que cumple los </w:t>
      </w:r>
      <w:proofErr w:type="spellStart"/>
      <w:r w:rsidRPr="004F733F">
        <w:rPr>
          <w:rFonts w:ascii="Times New Roman" w:hAnsi="Times New Roman" w:cs="Times New Roman"/>
          <w:sz w:val="24"/>
          <w:szCs w:val="24"/>
        </w:rPr>
        <w:t>Dietary</w:t>
      </w:r>
      <w:proofErr w:type="spellEnd"/>
      <w:r w:rsidRPr="004F733F">
        <w:rPr>
          <w:rFonts w:ascii="Times New Roman" w:hAnsi="Times New Roman" w:cs="Times New Roman"/>
          <w:sz w:val="24"/>
          <w:szCs w:val="24"/>
        </w:rPr>
        <w:t xml:space="preserve"> Reference </w:t>
      </w:r>
      <w:proofErr w:type="spellStart"/>
      <w:r w:rsidRPr="004F733F">
        <w:rPr>
          <w:rFonts w:ascii="Times New Roman" w:hAnsi="Times New Roman" w:cs="Times New Roman"/>
          <w:sz w:val="24"/>
          <w:szCs w:val="24"/>
        </w:rPr>
        <w:t>Intakes</w:t>
      </w:r>
      <w:proofErr w:type="spellEnd"/>
      <w:r w:rsidRPr="004F733F">
        <w:rPr>
          <w:rFonts w:ascii="Times New Roman" w:hAnsi="Times New Roman" w:cs="Times New Roman"/>
          <w:sz w:val="24"/>
          <w:szCs w:val="24"/>
        </w:rPr>
        <w:t xml:space="preserve"> (DRI) del </w:t>
      </w:r>
      <w:proofErr w:type="spellStart"/>
      <w:r w:rsidRPr="004F733F">
        <w:rPr>
          <w:rFonts w:ascii="Times New Roman" w:hAnsi="Times New Roman" w:cs="Times New Roman"/>
          <w:sz w:val="24"/>
          <w:szCs w:val="24"/>
        </w:rPr>
        <w:t>Institute</w:t>
      </w:r>
      <w:proofErr w:type="spellEnd"/>
      <w:r w:rsidRPr="004F733F">
        <w:rPr>
          <w:rFonts w:ascii="Times New Roman" w:hAnsi="Times New Roman" w:cs="Times New Roman"/>
          <w:sz w:val="24"/>
          <w:szCs w:val="24"/>
        </w:rPr>
        <w:t xml:space="preserve"> </w:t>
      </w:r>
      <w:proofErr w:type="spellStart"/>
      <w:r w:rsidRPr="004F733F">
        <w:rPr>
          <w:rFonts w:ascii="Times New Roman" w:hAnsi="Times New Roman" w:cs="Times New Roman"/>
          <w:sz w:val="24"/>
          <w:szCs w:val="24"/>
        </w:rPr>
        <w:t>of</w:t>
      </w:r>
      <w:proofErr w:type="spellEnd"/>
      <w:r w:rsidRPr="004F733F">
        <w:rPr>
          <w:rFonts w:ascii="Times New Roman" w:hAnsi="Times New Roman" w:cs="Times New Roman"/>
          <w:sz w:val="24"/>
          <w:szCs w:val="24"/>
        </w:rPr>
        <w:t xml:space="preserve"> Medicine de Estados Unidos para el balance energético y 20 nutrientes (tres macronutrientes: proteína, lípidos y carbohidratos, y 17 micronutrientes: calcio, zinc, hierro, magnesio, fósforo, cobre, selenio, sodio, vitamina C, tiamina, riboflavina, niacina, vitamina B6, folato, vitamina B12, vitamina A y vitamina E), calculado mediante programación lineal (paquete </w:t>
      </w:r>
      <w:proofErr w:type="spellStart"/>
      <w:r w:rsidRPr="004F733F">
        <w:rPr>
          <w:rFonts w:ascii="Times New Roman" w:hAnsi="Times New Roman" w:cs="Times New Roman"/>
          <w:sz w:val="24"/>
          <w:szCs w:val="24"/>
        </w:rPr>
        <w:t>lpSolve</w:t>
      </w:r>
      <w:proofErr w:type="spellEnd"/>
      <w:r w:rsidRPr="004F733F">
        <w:rPr>
          <w:rFonts w:ascii="Times New Roman" w:hAnsi="Times New Roman" w:cs="Times New Roman"/>
          <w:sz w:val="24"/>
          <w:szCs w:val="24"/>
        </w:rPr>
        <w:t xml:space="preserve"> en R) para 20 grupos demográficos (siete categorías de edad para cada sexo más tres grupos de mujeres embarazadas o lactantes), resultando en 3440 dietas distintas. El límite inferior de cada nutriente correspondió, en la especificación principal, al </w:t>
      </w:r>
      <w:proofErr w:type="spellStart"/>
      <w:r w:rsidRPr="004F733F">
        <w:rPr>
          <w:rFonts w:ascii="Times New Roman" w:hAnsi="Times New Roman" w:cs="Times New Roman"/>
          <w:sz w:val="24"/>
          <w:szCs w:val="24"/>
        </w:rPr>
        <w:t>Estimated</w:t>
      </w:r>
      <w:proofErr w:type="spellEnd"/>
      <w:r w:rsidRPr="004F733F">
        <w:rPr>
          <w:rFonts w:ascii="Times New Roman" w:hAnsi="Times New Roman" w:cs="Times New Roman"/>
          <w:sz w:val="24"/>
          <w:szCs w:val="24"/>
        </w:rPr>
        <w:t xml:space="preserve"> </w:t>
      </w:r>
      <w:proofErr w:type="spellStart"/>
      <w:r w:rsidRPr="004F733F">
        <w:rPr>
          <w:rFonts w:ascii="Times New Roman" w:hAnsi="Times New Roman" w:cs="Times New Roman"/>
          <w:sz w:val="24"/>
          <w:szCs w:val="24"/>
        </w:rPr>
        <w:t>Average</w:t>
      </w:r>
      <w:proofErr w:type="spellEnd"/>
      <w:r w:rsidRPr="004F733F">
        <w:rPr>
          <w:rFonts w:ascii="Times New Roman" w:hAnsi="Times New Roman" w:cs="Times New Roman"/>
          <w:sz w:val="24"/>
          <w:szCs w:val="24"/>
        </w:rPr>
        <w:t xml:space="preserve"> </w:t>
      </w:r>
      <w:proofErr w:type="spellStart"/>
      <w:r w:rsidRPr="004F733F">
        <w:rPr>
          <w:rFonts w:ascii="Times New Roman" w:hAnsi="Times New Roman" w:cs="Times New Roman"/>
          <w:sz w:val="24"/>
          <w:szCs w:val="24"/>
        </w:rPr>
        <w:t>Requirement</w:t>
      </w:r>
      <w:proofErr w:type="spellEnd"/>
      <w:r w:rsidRPr="004F733F">
        <w:rPr>
          <w:rFonts w:ascii="Times New Roman" w:hAnsi="Times New Roman" w:cs="Times New Roman"/>
          <w:sz w:val="24"/>
          <w:szCs w:val="24"/>
        </w:rPr>
        <w:t xml:space="preserve"> (EAR), salvo para hierro y zinc, donde se usaron requerimientos promedio armonizados más altos que reflejan la baja biodisponibilidad de estos nutrientes en dietas de bajo costo compuestas principalmente por almidones, leguminosas y otros alimentos vegetales; como escenario alternativo también se aplicó la </w:t>
      </w:r>
      <w:proofErr w:type="spellStart"/>
      <w:r w:rsidRPr="004F733F">
        <w:rPr>
          <w:rFonts w:ascii="Times New Roman" w:hAnsi="Times New Roman" w:cs="Times New Roman"/>
          <w:sz w:val="24"/>
          <w:szCs w:val="24"/>
        </w:rPr>
        <w:t>Recommended</w:t>
      </w:r>
      <w:proofErr w:type="spellEnd"/>
      <w:r w:rsidRPr="004F733F">
        <w:rPr>
          <w:rFonts w:ascii="Times New Roman" w:hAnsi="Times New Roman" w:cs="Times New Roman"/>
          <w:sz w:val="24"/>
          <w:szCs w:val="24"/>
        </w:rPr>
        <w:t xml:space="preserve"> </w:t>
      </w:r>
      <w:proofErr w:type="spellStart"/>
      <w:r w:rsidRPr="004F733F">
        <w:rPr>
          <w:rFonts w:ascii="Times New Roman" w:hAnsi="Times New Roman" w:cs="Times New Roman"/>
          <w:sz w:val="24"/>
          <w:szCs w:val="24"/>
        </w:rPr>
        <w:t>Dietary</w:t>
      </w:r>
      <w:proofErr w:type="spellEnd"/>
      <w:r w:rsidRPr="004F733F">
        <w:rPr>
          <w:rFonts w:ascii="Times New Roman" w:hAnsi="Times New Roman" w:cs="Times New Roman"/>
          <w:sz w:val="24"/>
          <w:szCs w:val="24"/>
        </w:rPr>
        <w:t xml:space="preserve"> </w:t>
      </w:r>
      <w:proofErr w:type="spellStart"/>
      <w:r w:rsidRPr="004F733F">
        <w:rPr>
          <w:rFonts w:ascii="Times New Roman" w:hAnsi="Times New Roman" w:cs="Times New Roman"/>
          <w:sz w:val="24"/>
          <w:szCs w:val="24"/>
        </w:rPr>
        <w:t>Allowance</w:t>
      </w:r>
      <w:proofErr w:type="spellEnd"/>
      <w:r w:rsidRPr="004F733F">
        <w:rPr>
          <w:rFonts w:ascii="Times New Roman" w:hAnsi="Times New Roman" w:cs="Times New Roman"/>
          <w:sz w:val="24"/>
          <w:szCs w:val="24"/>
        </w:rPr>
        <w:t xml:space="preserve"> (RDA), que cubre las necesidades del 97.5% de la población. Los límites superiores se establecieron para evitar toxicidad en 13 micronutrientes y, para el sodio, mediante el límite de reducción de riesgo de enfermedad crónica (CDRR). Los requerimientos energéticos se calcularon asumiendo un nivel de actividad física activo y los pesos y tallas medianos de la población de referencia de la OMS. Los cálculos se realizaron primero en unidades monetarias locales nominales y luego se convirtieron a dólares estadounidenses de 2017 utilizando los factores de conversión de paridad de poder adquisitivo (PPP) del Banco Mundial, por lo que los costos reportados son costos reales ajustados por PPP y no valores nominales sin ajustar. Los alimentos seleccionados en cada dieta de menor costo se </w:t>
      </w:r>
      <w:r w:rsidRPr="004F733F">
        <w:rPr>
          <w:rFonts w:ascii="Times New Roman" w:hAnsi="Times New Roman" w:cs="Times New Roman"/>
          <w:sz w:val="24"/>
          <w:szCs w:val="24"/>
        </w:rPr>
        <w:lastRenderedPageBreak/>
        <w:t xml:space="preserve">clasificaron en seis categorías (almidones, leguminosas/nueces/semillas, alimentos de origen animal, frutas y verduras, aceites y grasas, y dulces y bebidas) para analizar la composición. Adicionalmente, se calcularon elasticidades de precio sombra para cada restricción nutricional, definidas como el cambio porcentual en el </w:t>
      </w:r>
      <w:proofErr w:type="spellStart"/>
      <w:r w:rsidRPr="004F733F">
        <w:rPr>
          <w:rFonts w:ascii="Times New Roman" w:hAnsi="Times New Roman" w:cs="Times New Roman"/>
          <w:sz w:val="24"/>
          <w:szCs w:val="24"/>
        </w:rPr>
        <w:t>CoNA</w:t>
      </w:r>
      <w:proofErr w:type="spellEnd"/>
      <w:r w:rsidRPr="004F733F">
        <w:rPr>
          <w:rFonts w:ascii="Times New Roman" w:hAnsi="Times New Roman" w:cs="Times New Roman"/>
          <w:sz w:val="24"/>
          <w:szCs w:val="24"/>
        </w:rPr>
        <w:t xml:space="preserve"> ante un cambio de 1% en el requerimiento respectivo, y se estimaron modelos lineales generales con efectos fijos por país para evaluar diferencias en el costo por edad, sexo y estado reproductivo, controlando por diferencias en niveles de precios nacionales.</w:t>
      </w:r>
    </w:p>
    <w:p w14:paraId="24CCBD4C" w14:textId="77777777" w:rsidR="004F733F" w:rsidRDefault="004F733F" w:rsidP="004F733F">
      <w:pPr>
        <w:jc w:val="both"/>
        <w:rPr>
          <w:rStyle w:val="Fuerte"/>
          <w:rFonts w:ascii="Times New Roman" w:hAnsi="Times New Roman" w:cs="Times New Roman"/>
          <w:sz w:val="24"/>
          <w:szCs w:val="24"/>
        </w:rPr>
      </w:pPr>
      <w:r w:rsidRPr="004F733F">
        <w:rPr>
          <w:rStyle w:val="Fuerte"/>
          <w:rFonts w:ascii="Times New Roman" w:hAnsi="Times New Roman" w:cs="Times New Roman"/>
          <w:sz w:val="24"/>
          <w:szCs w:val="24"/>
        </w:rPr>
        <w:t>Resultados</w:t>
      </w:r>
    </w:p>
    <w:p w14:paraId="799B3BDE" w14:textId="37E4ACAD" w:rsidR="00F77B8E" w:rsidRPr="00C5012C" w:rsidRDefault="004F733F" w:rsidP="008D646B">
      <w:pPr>
        <w:jc w:val="both"/>
        <w:rPr>
          <w:rFonts w:ascii="Times New Roman" w:hAnsi="Times New Roman" w:cs="Times New Roman"/>
          <w:sz w:val="24"/>
          <w:szCs w:val="24"/>
        </w:rPr>
      </w:pPr>
      <w:r w:rsidRPr="004F733F">
        <w:rPr>
          <w:rFonts w:ascii="Times New Roman" w:hAnsi="Times New Roman" w:cs="Times New Roman"/>
          <w:sz w:val="24"/>
          <w:szCs w:val="24"/>
        </w:rPr>
        <w:t xml:space="preserve">La mediana global del </w:t>
      </w:r>
      <w:proofErr w:type="spellStart"/>
      <w:r w:rsidRPr="004F733F">
        <w:rPr>
          <w:rFonts w:ascii="Times New Roman" w:hAnsi="Times New Roman" w:cs="Times New Roman"/>
          <w:sz w:val="24"/>
          <w:szCs w:val="24"/>
        </w:rPr>
        <w:t>CoNA</w:t>
      </w:r>
      <w:proofErr w:type="spellEnd"/>
      <w:r w:rsidRPr="004F733F">
        <w:rPr>
          <w:rFonts w:ascii="Times New Roman" w:hAnsi="Times New Roman" w:cs="Times New Roman"/>
          <w:sz w:val="24"/>
          <w:szCs w:val="24"/>
        </w:rPr>
        <w:t xml:space="preserve"> por día en 2017 fue de US$2.32 (RIC 1.95 a 2.76), con el costo más alto para adolescentes varones de 14 a 18 años (US$2.72; RIC 2.31 a 3.15), seguido de las adolescentes de la misma edad en período de lactancia (US$2.64; RIC 2.29 a 3.15), superando incluso el costo de los hombres adultos de 19 a 30 años. La mediana global del costo por 1000 kcal fue de US$0.94 (RIC 0.80 a 1.12), resultando sistemáticamente más alto para mujeres que para hombres a lo largo de todo el curso de vida, con picos en niñas adolescentes de 9 a 13 años (US$1.17) y en mujeres mayores de 70 años (US$1.18). El costo total de la dieta por día no varió significativamente según el nivel de ingreso nacional, pero sí lo hizo la composición de la dieta de menor costo: en países de altos ingresos incluyó más alimentos de origen animal, mientras que en países de bajos ingresos las dietas con mayor proporción de leguminosas, nueces, semillas, frutas y verduras resultaron ser la vía más asequible para cumplir los requerimientos nutricionales, con diferencias promedio de 138 g/día menos de alimentos de origen animal y 146 g/día más de leguminosas, nueces y semillas respecto a los países de altos ingresos. Los nutrientes a los que el costo de la dieta resultó más sensible fueron los requerimientos energéticos totales, los límites inferiores de calcio, hierro y otros micronutrientes, y los límites superiores de carbohidratos para el balance de macronutrientes; el cumplimiento del requerimiento de calcio fue particularmente costoso para niños, adolescentes y adultos mayores de 50 años, mientras que el de hierro lo fue especialmente para adolescentes jóvenes, en particular varones de 9 a 13 años, y para mujeres de 19 a 50 años no embarazadas ni lactantes. Al cambiar el nivel de requerimiento de EAR a RDA, la mediana del </w:t>
      </w:r>
      <w:proofErr w:type="spellStart"/>
      <w:r w:rsidRPr="004F733F">
        <w:rPr>
          <w:rFonts w:ascii="Times New Roman" w:hAnsi="Times New Roman" w:cs="Times New Roman"/>
          <w:sz w:val="24"/>
          <w:szCs w:val="24"/>
        </w:rPr>
        <w:t>CoNA</w:t>
      </w:r>
      <w:proofErr w:type="spellEnd"/>
      <w:r w:rsidRPr="004F733F">
        <w:rPr>
          <w:rFonts w:ascii="Times New Roman" w:hAnsi="Times New Roman" w:cs="Times New Roman"/>
          <w:sz w:val="24"/>
          <w:szCs w:val="24"/>
        </w:rPr>
        <w:t xml:space="preserve"> aumentó 17.2%, alcanzando US$2.72 (RIC 2.31 a 3.24), con un patrón similar entre grupos demográficos y niveles de ingreso de los países. En todos los casos, el </w:t>
      </w:r>
      <w:proofErr w:type="spellStart"/>
      <w:r w:rsidRPr="004F733F">
        <w:rPr>
          <w:rFonts w:ascii="Times New Roman" w:hAnsi="Times New Roman" w:cs="Times New Roman"/>
          <w:sz w:val="24"/>
          <w:szCs w:val="24"/>
        </w:rPr>
        <w:t>CoNA</w:t>
      </w:r>
      <w:proofErr w:type="spellEnd"/>
      <w:r w:rsidRPr="004F733F">
        <w:rPr>
          <w:rFonts w:ascii="Times New Roman" w:hAnsi="Times New Roman" w:cs="Times New Roman"/>
          <w:sz w:val="24"/>
          <w:szCs w:val="24"/>
        </w:rPr>
        <w:t xml:space="preserve"> mediano estuvo por encima de la línea internacional de pobreza de US$2.10 por día y por encima del gasto real en alimentos observado en países de bajos ingresos, superando además el 63% del ingreso de la línea de pobreza que puede destinarse de manera creíble a gasto en alimentos (US$1.32 por día).</w:t>
      </w:r>
    </w:p>
    <w:p w14:paraId="6E62E053" w14:textId="77777777" w:rsidR="0083184D" w:rsidRPr="0083184D" w:rsidRDefault="008D24D2" w:rsidP="0083184D">
      <w:pPr>
        <w:pStyle w:val="Prrafodelista"/>
        <w:numPr>
          <w:ilvl w:val="0"/>
          <w:numId w:val="3"/>
        </w:numPr>
        <w:jc w:val="both"/>
        <w:rPr>
          <w:rFonts w:ascii="Times New Roman" w:eastAsia="Times New Roman" w:hAnsi="Times New Roman" w:cs="Times New Roman"/>
          <w:b/>
          <w:bCs/>
          <w:sz w:val="24"/>
          <w:szCs w:val="24"/>
        </w:rPr>
      </w:pPr>
      <w:r w:rsidRPr="0083184D">
        <w:rPr>
          <w:rFonts w:ascii="Times New Roman" w:eastAsia="Times New Roman" w:hAnsi="Times New Roman" w:cs="Times New Roman"/>
          <w:b/>
          <w:bCs/>
          <w:sz w:val="24"/>
          <w:szCs w:val="24"/>
        </w:rPr>
        <w:t>Mahrt et al.</w:t>
      </w:r>
      <w:r w:rsidR="00C5012C" w:rsidRPr="0083184D">
        <w:rPr>
          <w:rFonts w:ascii="Times New Roman" w:eastAsia="Times New Roman" w:hAnsi="Times New Roman" w:cs="Times New Roman"/>
          <w:b/>
          <w:bCs/>
          <w:sz w:val="24"/>
          <w:szCs w:val="24"/>
        </w:rPr>
        <w:t>,</w:t>
      </w:r>
      <w:r w:rsidRPr="0083184D">
        <w:rPr>
          <w:rFonts w:ascii="Times New Roman" w:eastAsia="Times New Roman" w:hAnsi="Times New Roman" w:cs="Times New Roman"/>
          <w:b/>
          <w:bCs/>
          <w:sz w:val="24"/>
          <w:szCs w:val="24"/>
        </w:rPr>
        <w:t xml:space="preserve"> </w:t>
      </w:r>
      <w:r w:rsidR="00C5012C" w:rsidRPr="0083184D">
        <w:rPr>
          <w:rFonts w:ascii="Times New Roman" w:eastAsia="Times New Roman" w:hAnsi="Times New Roman" w:cs="Times New Roman"/>
          <w:b/>
          <w:bCs/>
          <w:sz w:val="24"/>
          <w:szCs w:val="24"/>
        </w:rPr>
        <w:t>(</w:t>
      </w:r>
      <w:r w:rsidRPr="0083184D">
        <w:rPr>
          <w:rFonts w:ascii="Times New Roman" w:eastAsia="Times New Roman" w:hAnsi="Times New Roman" w:cs="Times New Roman"/>
          <w:b/>
          <w:bCs/>
          <w:sz w:val="24"/>
          <w:szCs w:val="24"/>
        </w:rPr>
        <w:t>2019</w:t>
      </w:r>
      <w:r w:rsidR="00C5012C" w:rsidRPr="0083184D">
        <w:rPr>
          <w:rFonts w:ascii="Times New Roman" w:eastAsia="Times New Roman" w:hAnsi="Times New Roman" w:cs="Times New Roman"/>
          <w:b/>
          <w:bCs/>
          <w:sz w:val="24"/>
          <w:szCs w:val="24"/>
        </w:rPr>
        <w:t>)</w:t>
      </w:r>
    </w:p>
    <w:p w14:paraId="02C36423" w14:textId="77777777" w:rsidR="0083184D" w:rsidRPr="0083184D" w:rsidRDefault="0083184D" w:rsidP="0083184D">
      <w:pPr>
        <w:jc w:val="both"/>
        <w:rPr>
          <w:rStyle w:val="Fuerte"/>
          <w:rFonts w:ascii="Times New Roman" w:hAnsi="Times New Roman" w:cs="Times New Roman"/>
          <w:sz w:val="24"/>
          <w:szCs w:val="24"/>
        </w:rPr>
      </w:pPr>
      <w:r w:rsidRPr="0083184D">
        <w:rPr>
          <w:rStyle w:val="Fuerte"/>
          <w:rFonts w:ascii="Times New Roman" w:hAnsi="Times New Roman" w:cs="Times New Roman"/>
          <w:sz w:val="24"/>
          <w:szCs w:val="24"/>
        </w:rPr>
        <w:t>Objetivo</w:t>
      </w:r>
    </w:p>
    <w:p w14:paraId="0BE00F76" w14:textId="77777777" w:rsidR="008B1897" w:rsidRDefault="0083184D" w:rsidP="008B1897">
      <w:pPr>
        <w:jc w:val="both"/>
        <w:rPr>
          <w:rFonts w:ascii="Times New Roman" w:hAnsi="Times New Roman" w:cs="Times New Roman"/>
          <w:sz w:val="24"/>
          <w:szCs w:val="24"/>
        </w:rPr>
      </w:pPr>
      <w:r w:rsidRPr="0083184D">
        <w:rPr>
          <w:rFonts w:ascii="Times New Roman" w:hAnsi="Times New Roman" w:cs="Times New Roman"/>
          <w:sz w:val="24"/>
          <w:szCs w:val="24"/>
        </w:rPr>
        <w:t xml:space="preserve">Analizar los patrones de consumo alimentario de los hogares en Myanmar en relación con las definiciones locales e internacionales de una dieta nutritiva recomendada, con el fin de estimar los costos regionales mínimos de dicha dieta mediante el método </w:t>
      </w:r>
      <w:proofErr w:type="spellStart"/>
      <w:r w:rsidRPr="0083184D">
        <w:rPr>
          <w:rFonts w:ascii="Times New Roman" w:hAnsi="Times New Roman" w:cs="Times New Roman"/>
          <w:sz w:val="24"/>
          <w:szCs w:val="24"/>
        </w:rPr>
        <w:t>CoRD</w:t>
      </w:r>
      <w:proofErr w:type="spellEnd"/>
      <w:r w:rsidRPr="0083184D">
        <w:rPr>
          <w:rFonts w:ascii="Times New Roman" w:hAnsi="Times New Roman" w:cs="Times New Roman"/>
          <w:sz w:val="24"/>
          <w:szCs w:val="24"/>
        </w:rPr>
        <w:t>, desarrollar y demostrar una modificación de este método (</w:t>
      </w:r>
      <w:proofErr w:type="spellStart"/>
      <w:r w:rsidRPr="0083184D">
        <w:rPr>
          <w:rFonts w:ascii="Times New Roman" w:hAnsi="Times New Roman" w:cs="Times New Roman"/>
          <w:sz w:val="24"/>
          <w:szCs w:val="24"/>
        </w:rPr>
        <w:t>CoRD</w:t>
      </w:r>
      <w:proofErr w:type="spellEnd"/>
      <w:r w:rsidRPr="0083184D">
        <w:rPr>
          <w:rFonts w:ascii="Times New Roman" w:hAnsi="Times New Roman" w:cs="Times New Roman"/>
          <w:sz w:val="24"/>
          <w:szCs w:val="24"/>
        </w:rPr>
        <w:t xml:space="preserve">-FP) que refleje mejor las preferencias alimentarias de los consumidores, evaluar la asequibilidad de ambas dietas en relación con el gasto real de los hogares en alimentos, e investigar los principales factores que determinan </w:t>
      </w:r>
      <w:r w:rsidRPr="0083184D">
        <w:rPr>
          <w:rFonts w:ascii="Times New Roman" w:hAnsi="Times New Roman" w:cs="Times New Roman"/>
          <w:sz w:val="24"/>
          <w:szCs w:val="24"/>
        </w:rPr>
        <w:lastRenderedPageBreak/>
        <w:t xml:space="preserve">el costo de la dieta recomendada utilizando tanto la canasta de alimentos de menor costo del </w:t>
      </w:r>
      <w:proofErr w:type="spellStart"/>
      <w:r w:rsidRPr="0083184D">
        <w:rPr>
          <w:rFonts w:ascii="Times New Roman" w:hAnsi="Times New Roman" w:cs="Times New Roman"/>
          <w:sz w:val="24"/>
          <w:szCs w:val="24"/>
        </w:rPr>
        <w:t>CoRD</w:t>
      </w:r>
      <w:proofErr w:type="spellEnd"/>
      <w:r w:rsidRPr="0083184D">
        <w:rPr>
          <w:rFonts w:ascii="Times New Roman" w:hAnsi="Times New Roman" w:cs="Times New Roman"/>
          <w:sz w:val="24"/>
          <w:szCs w:val="24"/>
        </w:rPr>
        <w:t xml:space="preserve"> como la canasta de alimentos preferidos del </w:t>
      </w:r>
      <w:proofErr w:type="spellStart"/>
      <w:r w:rsidRPr="0083184D">
        <w:rPr>
          <w:rFonts w:ascii="Times New Roman" w:hAnsi="Times New Roman" w:cs="Times New Roman"/>
          <w:sz w:val="24"/>
          <w:szCs w:val="24"/>
        </w:rPr>
        <w:t>CoRD-FP.</w:t>
      </w:r>
      <w:proofErr w:type="spellEnd"/>
    </w:p>
    <w:p w14:paraId="25335FE3" w14:textId="77777777" w:rsidR="008B1897" w:rsidRDefault="0083184D" w:rsidP="008B1897">
      <w:pPr>
        <w:jc w:val="both"/>
        <w:rPr>
          <w:rStyle w:val="Fuerte"/>
          <w:rFonts w:ascii="Times New Roman" w:hAnsi="Times New Roman" w:cs="Times New Roman"/>
          <w:sz w:val="24"/>
          <w:szCs w:val="24"/>
        </w:rPr>
      </w:pPr>
      <w:r w:rsidRPr="0083184D">
        <w:rPr>
          <w:rStyle w:val="Fuerte"/>
          <w:rFonts w:ascii="Times New Roman" w:hAnsi="Times New Roman" w:cs="Times New Roman"/>
          <w:sz w:val="24"/>
          <w:szCs w:val="24"/>
        </w:rPr>
        <w:t>Metodología</w:t>
      </w:r>
    </w:p>
    <w:p w14:paraId="627E8E4E" w14:textId="77777777" w:rsidR="008B1897" w:rsidRDefault="0083184D" w:rsidP="008B1897">
      <w:pPr>
        <w:jc w:val="both"/>
        <w:rPr>
          <w:rFonts w:ascii="Times New Roman" w:hAnsi="Times New Roman" w:cs="Times New Roman"/>
          <w:sz w:val="24"/>
          <w:szCs w:val="24"/>
        </w:rPr>
      </w:pPr>
      <w:r w:rsidRPr="0083184D">
        <w:rPr>
          <w:rFonts w:ascii="Times New Roman" w:hAnsi="Times New Roman" w:cs="Times New Roman"/>
          <w:sz w:val="24"/>
          <w:szCs w:val="24"/>
        </w:rPr>
        <w:t xml:space="preserve">El estudio utilizó datos de las dos encuestas nacionales más recientes de gasto de los hogares en Myanmar disponibles públicamente: la </w:t>
      </w:r>
      <w:proofErr w:type="spellStart"/>
      <w:r w:rsidRPr="0083184D">
        <w:rPr>
          <w:rFonts w:ascii="Times New Roman" w:hAnsi="Times New Roman" w:cs="Times New Roman"/>
          <w:sz w:val="24"/>
          <w:szCs w:val="24"/>
        </w:rPr>
        <w:t>Integrated</w:t>
      </w:r>
      <w:proofErr w:type="spellEnd"/>
      <w:r w:rsidRPr="0083184D">
        <w:rPr>
          <w:rFonts w:ascii="Times New Roman" w:hAnsi="Times New Roman" w:cs="Times New Roman"/>
          <w:sz w:val="24"/>
          <w:szCs w:val="24"/>
        </w:rPr>
        <w:t xml:space="preserve"> </w:t>
      </w:r>
      <w:proofErr w:type="spellStart"/>
      <w:r w:rsidRPr="0083184D">
        <w:rPr>
          <w:rFonts w:ascii="Times New Roman" w:hAnsi="Times New Roman" w:cs="Times New Roman"/>
          <w:sz w:val="24"/>
          <w:szCs w:val="24"/>
        </w:rPr>
        <w:t>Household</w:t>
      </w:r>
      <w:proofErr w:type="spellEnd"/>
      <w:r w:rsidRPr="0083184D">
        <w:rPr>
          <w:rFonts w:ascii="Times New Roman" w:hAnsi="Times New Roman" w:cs="Times New Roman"/>
          <w:sz w:val="24"/>
          <w:szCs w:val="24"/>
        </w:rPr>
        <w:t xml:space="preserve"> Living </w:t>
      </w:r>
      <w:proofErr w:type="spellStart"/>
      <w:r w:rsidRPr="0083184D">
        <w:rPr>
          <w:rFonts w:ascii="Times New Roman" w:hAnsi="Times New Roman" w:cs="Times New Roman"/>
          <w:sz w:val="24"/>
          <w:szCs w:val="24"/>
        </w:rPr>
        <w:t>Conditions</w:t>
      </w:r>
      <w:proofErr w:type="spellEnd"/>
      <w:r w:rsidRPr="0083184D">
        <w:rPr>
          <w:rFonts w:ascii="Times New Roman" w:hAnsi="Times New Roman" w:cs="Times New Roman"/>
          <w:sz w:val="24"/>
          <w:szCs w:val="24"/>
        </w:rPr>
        <w:t xml:space="preserve"> </w:t>
      </w:r>
      <w:proofErr w:type="spellStart"/>
      <w:r w:rsidRPr="0083184D">
        <w:rPr>
          <w:rFonts w:ascii="Times New Roman" w:hAnsi="Times New Roman" w:cs="Times New Roman"/>
          <w:sz w:val="24"/>
          <w:szCs w:val="24"/>
        </w:rPr>
        <w:t>Assessment</w:t>
      </w:r>
      <w:proofErr w:type="spellEnd"/>
      <w:r w:rsidRPr="0083184D">
        <w:rPr>
          <w:rFonts w:ascii="Times New Roman" w:hAnsi="Times New Roman" w:cs="Times New Roman"/>
          <w:sz w:val="24"/>
          <w:szCs w:val="24"/>
        </w:rPr>
        <w:t xml:space="preserve"> </w:t>
      </w:r>
      <w:proofErr w:type="spellStart"/>
      <w:r w:rsidRPr="0083184D">
        <w:rPr>
          <w:rFonts w:ascii="Times New Roman" w:hAnsi="Times New Roman" w:cs="Times New Roman"/>
          <w:sz w:val="24"/>
          <w:szCs w:val="24"/>
        </w:rPr>
        <w:t>Survey</w:t>
      </w:r>
      <w:proofErr w:type="spellEnd"/>
      <w:r w:rsidRPr="0083184D">
        <w:rPr>
          <w:rFonts w:ascii="Times New Roman" w:hAnsi="Times New Roman" w:cs="Times New Roman"/>
          <w:sz w:val="24"/>
          <w:szCs w:val="24"/>
        </w:rPr>
        <w:t xml:space="preserve"> (IHLCA) de 2009/10, que visitó 18660 hogares en dos rondas (diciembre/enero y mayo, capturando estación fría y estación seca/</w:t>
      </w:r>
      <w:proofErr w:type="spellStart"/>
      <w:r w:rsidRPr="0083184D">
        <w:rPr>
          <w:rFonts w:ascii="Times New Roman" w:hAnsi="Times New Roman" w:cs="Times New Roman"/>
          <w:sz w:val="24"/>
          <w:szCs w:val="24"/>
        </w:rPr>
        <w:t>premonzónica</w:t>
      </w:r>
      <w:proofErr w:type="spellEnd"/>
      <w:r w:rsidRPr="0083184D">
        <w:rPr>
          <w:rFonts w:ascii="Times New Roman" w:hAnsi="Times New Roman" w:cs="Times New Roman"/>
          <w:sz w:val="24"/>
          <w:szCs w:val="24"/>
        </w:rPr>
        <w:t xml:space="preserve">), y la Myanmar </w:t>
      </w:r>
      <w:proofErr w:type="spellStart"/>
      <w:r w:rsidRPr="0083184D">
        <w:rPr>
          <w:rFonts w:ascii="Times New Roman" w:hAnsi="Times New Roman" w:cs="Times New Roman"/>
          <w:sz w:val="24"/>
          <w:szCs w:val="24"/>
        </w:rPr>
        <w:t>Poverty</w:t>
      </w:r>
      <w:proofErr w:type="spellEnd"/>
      <w:r w:rsidRPr="0083184D">
        <w:rPr>
          <w:rFonts w:ascii="Times New Roman" w:hAnsi="Times New Roman" w:cs="Times New Roman"/>
          <w:sz w:val="24"/>
          <w:szCs w:val="24"/>
        </w:rPr>
        <w:t xml:space="preserve"> and Living </w:t>
      </w:r>
      <w:proofErr w:type="spellStart"/>
      <w:r w:rsidRPr="0083184D">
        <w:rPr>
          <w:rFonts w:ascii="Times New Roman" w:hAnsi="Times New Roman" w:cs="Times New Roman"/>
          <w:sz w:val="24"/>
          <w:szCs w:val="24"/>
        </w:rPr>
        <w:t>Conditions</w:t>
      </w:r>
      <w:proofErr w:type="spellEnd"/>
      <w:r w:rsidRPr="0083184D">
        <w:rPr>
          <w:rFonts w:ascii="Times New Roman" w:hAnsi="Times New Roman" w:cs="Times New Roman"/>
          <w:sz w:val="24"/>
          <w:szCs w:val="24"/>
        </w:rPr>
        <w:t xml:space="preserve"> </w:t>
      </w:r>
      <w:proofErr w:type="spellStart"/>
      <w:r w:rsidRPr="0083184D">
        <w:rPr>
          <w:rFonts w:ascii="Times New Roman" w:hAnsi="Times New Roman" w:cs="Times New Roman"/>
          <w:sz w:val="24"/>
          <w:szCs w:val="24"/>
        </w:rPr>
        <w:t>Survey</w:t>
      </w:r>
      <w:proofErr w:type="spellEnd"/>
      <w:r w:rsidRPr="0083184D">
        <w:rPr>
          <w:rFonts w:ascii="Times New Roman" w:hAnsi="Times New Roman" w:cs="Times New Roman"/>
          <w:sz w:val="24"/>
          <w:szCs w:val="24"/>
        </w:rPr>
        <w:t xml:space="preserve"> (MPLCS) de 2015, que visitó 3648 hogares una sola vez entre finales de enero y principios de abril. Todos los valores de las encuestas se reportan en términos nominales, con la excepción de los quintiles de gasto de los hogares, que se calculan sobre valores de gasto real ajustados espacialmente (y estacionalmente en el caso de la IHLCA). Para comparar hogares de distinto tamaño y composición demográfica se construyó una escala de equivalencia adulta (AE) propia, basada en las recomendaciones energéticas de la FAO (2004) y la metodología de Waid et al. (2017), utilizando peso para la talla alcanzada en adultos y adolescentes (asumiendo un IMC de 22 y nivel de actividad moderado) y peso mediano para la edad en niños de 9 años o menos; el adulto de referencia (hombre de 30 años) tiene un requerimiento de 2790 kcal/día. La dieta recomendada se definió siguiendo la "dieta recomendada del sur de Asia" propuesta por Dizon y Herforth (2018), construida a partir de las guías alimentarias basadas en alimentos (FBDG) de Bangladesh, India y Sri Lanka, dado que la FBDG propia de Myanmar carece de recomendaciones específicas de cantidad por grupo de alimentos. Esta dieta especifica siete grupos de alimentos (almidones, alimentos proteicos, lácteos, vegetales, frutas y grasas) con un rango mínimo y máximo de porciones diarias recomendadas y un peso por porción en gramos comestibles; la cantidad recomendada de cada grupo se calculó como el promedio entre el número mínimo y máximo de porciones recomendadas, multiplicado por el peso de la porción. El método </w:t>
      </w:r>
      <w:proofErr w:type="spellStart"/>
      <w:r w:rsidRPr="0083184D">
        <w:rPr>
          <w:rFonts w:ascii="Times New Roman" w:hAnsi="Times New Roman" w:cs="Times New Roman"/>
          <w:sz w:val="24"/>
          <w:szCs w:val="24"/>
        </w:rPr>
        <w:t>CoRD</w:t>
      </w:r>
      <w:proofErr w:type="spellEnd"/>
      <w:r w:rsidRPr="0083184D">
        <w:rPr>
          <w:rFonts w:ascii="Times New Roman" w:hAnsi="Times New Roman" w:cs="Times New Roman"/>
          <w:sz w:val="24"/>
          <w:szCs w:val="24"/>
        </w:rPr>
        <w:t xml:space="preserve"> (Cost </w:t>
      </w:r>
      <w:proofErr w:type="spellStart"/>
      <w:r w:rsidRPr="0083184D">
        <w:rPr>
          <w:rFonts w:ascii="Times New Roman" w:hAnsi="Times New Roman" w:cs="Times New Roman"/>
          <w:sz w:val="24"/>
          <w:szCs w:val="24"/>
        </w:rPr>
        <w:t>of</w:t>
      </w:r>
      <w:proofErr w:type="spellEnd"/>
      <w:r w:rsidRPr="0083184D">
        <w:rPr>
          <w:rFonts w:ascii="Times New Roman" w:hAnsi="Times New Roman" w:cs="Times New Roman"/>
          <w:sz w:val="24"/>
          <w:szCs w:val="24"/>
        </w:rPr>
        <w:t xml:space="preserve"> a </w:t>
      </w:r>
      <w:proofErr w:type="spellStart"/>
      <w:r w:rsidRPr="0083184D">
        <w:rPr>
          <w:rFonts w:ascii="Times New Roman" w:hAnsi="Times New Roman" w:cs="Times New Roman"/>
          <w:sz w:val="24"/>
          <w:szCs w:val="24"/>
        </w:rPr>
        <w:t>Recommended</w:t>
      </w:r>
      <w:proofErr w:type="spellEnd"/>
      <w:r w:rsidRPr="0083184D">
        <w:rPr>
          <w:rFonts w:ascii="Times New Roman" w:hAnsi="Times New Roman" w:cs="Times New Roman"/>
          <w:sz w:val="24"/>
          <w:szCs w:val="24"/>
        </w:rPr>
        <w:t xml:space="preserve"> </w:t>
      </w:r>
      <w:proofErr w:type="spellStart"/>
      <w:r w:rsidRPr="0083184D">
        <w:rPr>
          <w:rFonts w:ascii="Times New Roman" w:hAnsi="Times New Roman" w:cs="Times New Roman"/>
          <w:sz w:val="24"/>
          <w:szCs w:val="24"/>
        </w:rPr>
        <w:t>Diet</w:t>
      </w:r>
      <w:proofErr w:type="spellEnd"/>
      <w:r w:rsidRPr="0083184D">
        <w:rPr>
          <w:rFonts w:ascii="Times New Roman" w:hAnsi="Times New Roman" w:cs="Times New Roman"/>
          <w:sz w:val="24"/>
          <w:szCs w:val="24"/>
        </w:rPr>
        <w:t xml:space="preserve">), desarrollado por Herforth et al. (2018) a partir de Dizon y Herforth (2018), estima el costo diario de adquirir las cantidades recomendadas de cada grupo de alimentos usando el precio por gramo comestible de los dos o tres alimentos de menor costo dentro de cada grupo. El procedimiento de cálculo constó de cuatro pasos: primero, se restringieron los datos de precios a los hogares de los cuatro quintiles de gasto más bajos, para evitar la influencia de alimentos más caros comprados por hogares más ricos; segundo, dentro de cada grupo de alimentos se consideraron únicamente los alimentos que en conjunto representan el 80% superior de las cantidades consumidas, para excluir ítems poco frecuentes; tercero, se identificaron los dos alimentos con el menor precio mediano por gramo comestible en cada grupo (tres en el caso de vegetales, dado que uno debía ser una verdura de hoja verde oscura, por ser la única </w:t>
      </w:r>
      <w:proofErr w:type="spellStart"/>
      <w:r w:rsidRPr="0083184D">
        <w:rPr>
          <w:rFonts w:ascii="Times New Roman" w:hAnsi="Times New Roman" w:cs="Times New Roman"/>
          <w:sz w:val="24"/>
          <w:szCs w:val="24"/>
        </w:rPr>
        <w:t>sub-recomendación</w:t>
      </w:r>
      <w:proofErr w:type="spellEnd"/>
      <w:r w:rsidRPr="0083184D">
        <w:rPr>
          <w:rFonts w:ascii="Times New Roman" w:hAnsi="Times New Roman" w:cs="Times New Roman"/>
          <w:sz w:val="24"/>
          <w:szCs w:val="24"/>
        </w:rPr>
        <w:t xml:space="preserve"> específica de la FBDG de Myanmar), y el precio del grupo se calculó como el promedio simple de los precios unitarios de esos alimentos de menor costo; cuarto, el </w:t>
      </w:r>
      <w:proofErr w:type="spellStart"/>
      <w:r w:rsidRPr="0083184D">
        <w:rPr>
          <w:rFonts w:ascii="Times New Roman" w:hAnsi="Times New Roman" w:cs="Times New Roman"/>
          <w:sz w:val="24"/>
          <w:szCs w:val="24"/>
        </w:rPr>
        <w:t>CoRD</w:t>
      </w:r>
      <w:proofErr w:type="spellEnd"/>
      <w:r w:rsidRPr="0083184D">
        <w:rPr>
          <w:rFonts w:ascii="Times New Roman" w:hAnsi="Times New Roman" w:cs="Times New Roman"/>
          <w:sz w:val="24"/>
          <w:szCs w:val="24"/>
        </w:rPr>
        <w:t xml:space="preserve"> se obtuvo como la suma del costo de las cantidades recomendadas de cada uno de los seis grupos de alimentos. La innovación metodológica del </w:t>
      </w:r>
      <w:proofErr w:type="spellStart"/>
      <w:r w:rsidRPr="0083184D">
        <w:rPr>
          <w:rFonts w:ascii="Times New Roman" w:hAnsi="Times New Roman" w:cs="Times New Roman"/>
          <w:sz w:val="24"/>
          <w:szCs w:val="24"/>
        </w:rPr>
        <w:t>paper</w:t>
      </w:r>
      <w:proofErr w:type="spellEnd"/>
      <w:r w:rsidRPr="0083184D">
        <w:rPr>
          <w:rFonts w:ascii="Times New Roman" w:hAnsi="Times New Roman" w:cs="Times New Roman"/>
          <w:sz w:val="24"/>
          <w:szCs w:val="24"/>
        </w:rPr>
        <w:t xml:space="preserve"> es el </w:t>
      </w:r>
      <w:proofErr w:type="spellStart"/>
      <w:r w:rsidRPr="0083184D">
        <w:rPr>
          <w:rFonts w:ascii="Times New Roman" w:hAnsi="Times New Roman" w:cs="Times New Roman"/>
          <w:sz w:val="24"/>
          <w:szCs w:val="24"/>
        </w:rPr>
        <w:t>CoRD</w:t>
      </w:r>
      <w:proofErr w:type="spellEnd"/>
      <w:r w:rsidRPr="0083184D">
        <w:rPr>
          <w:rFonts w:ascii="Times New Roman" w:hAnsi="Times New Roman" w:cs="Times New Roman"/>
          <w:sz w:val="24"/>
          <w:szCs w:val="24"/>
        </w:rPr>
        <w:t>-FP (</w:t>
      </w:r>
      <w:proofErr w:type="spellStart"/>
      <w:r w:rsidRPr="0083184D">
        <w:rPr>
          <w:rFonts w:ascii="Times New Roman" w:hAnsi="Times New Roman" w:cs="Times New Roman"/>
          <w:sz w:val="24"/>
          <w:szCs w:val="24"/>
        </w:rPr>
        <w:t>Food</w:t>
      </w:r>
      <w:proofErr w:type="spellEnd"/>
      <w:r w:rsidRPr="0083184D">
        <w:rPr>
          <w:rFonts w:ascii="Times New Roman" w:hAnsi="Times New Roman" w:cs="Times New Roman"/>
          <w:sz w:val="24"/>
          <w:szCs w:val="24"/>
        </w:rPr>
        <w:t xml:space="preserve"> </w:t>
      </w:r>
      <w:proofErr w:type="spellStart"/>
      <w:r w:rsidRPr="0083184D">
        <w:rPr>
          <w:rFonts w:ascii="Times New Roman" w:hAnsi="Times New Roman" w:cs="Times New Roman"/>
          <w:sz w:val="24"/>
          <w:szCs w:val="24"/>
        </w:rPr>
        <w:t>Preferences</w:t>
      </w:r>
      <w:proofErr w:type="spellEnd"/>
      <w:r w:rsidRPr="0083184D">
        <w:rPr>
          <w:rFonts w:ascii="Times New Roman" w:hAnsi="Times New Roman" w:cs="Times New Roman"/>
          <w:sz w:val="24"/>
          <w:szCs w:val="24"/>
        </w:rPr>
        <w:t xml:space="preserve"> </w:t>
      </w:r>
      <w:proofErr w:type="spellStart"/>
      <w:r w:rsidRPr="0083184D">
        <w:rPr>
          <w:rFonts w:ascii="Times New Roman" w:hAnsi="Times New Roman" w:cs="Times New Roman"/>
          <w:sz w:val="24"/>
          <w:szCs w:val="24"/>
        </w:rPr>
        <w:t>CoRD</w:t>
      </w:r>
      <w:proofErr w:type="spellEnd"/>
      <w:r w:rsidRPr="0083184D">
        <w:rPr>
          <w:rFonts w:ascii="Times New Roman" w:hAnsi="Times New Roman" w:cs="Times New Roman"/>
          <w:sz w:val="24"/>
          <w:szCs w:val="24"/>
        </w:rPr>
        <w:t xml:space="preserve">), que sigue el mismo procedimiento excepto en el tercer paso: en lugar de usar únicamente los alimentos de menor precio, calcula el precio de cada grupo como el promedio ponderado por </w:t>
      </w:r>
      <w:r w:rsidRPr="0083184D">
        <w:rPr>
          <w:rFonts w:ascii="Times New Roman" w:hAnsi="Times New Roman" w:cs="Times New Roman"/>
          <w:sz w:val="24"/>
          <w:szCs w:val="24"/>
        </w:rPr>
        <w:lastRenderedPageBreak/>
        <w:t xml:space="preserve">cantidad consumida de toda la canasta de alimentos identificada en el paso dos (es decir, refleja los patrones reales de consumo dentro de cada grupo, no solo los alimentos más baratos), lo cual, por construcción, hace que el </w:t>
      </w:r>
      <w:proofErr w:type="spellStart"/>
      <w:r w:rsidRPr="0083184D">
        <w:rPr>
          <w:rFonts w:ascii="Times New Roman" w:hAnsi="Times New Roman" w:cs="Times New Roman"/>
          <w:sz w:val="24"/>
          <w:szCs w:val="24"/>
        </w:rPr>
        <w:t>CoRD</w:t>
      </w:r>
      <w:proofErr w:type="spellEnd"/>
      <w:r w:rsidRPr="0083184D">
        <w:rPr>
          <w:rFonts w:ascii="Times New Roman" w:hAnsi="Times New Roman" w:cs="Times New Roman"/>
          <w:sz w:val="24"/>
          <w:szCs w:val="24"/>
        </w:rPr>
        <w:t xml:space="preserve">-FP sea igual o más costoso que el </w:t>
      </w:r>
      <w:proofErr w:type="spellStart"/>
      <w:r w:rsidRPr="0083184D">
        <w:rPr>
          <w:rFonts w:ascii="Times New Roman" w:hAnsi="Times New Roman" w:cs="Times New Roman"/>
          <w:sz w:val="24"/>
          <w:szCs w:val="24"/>
        </w:rPr>
        <w:t>CoRD</w:t>
      </w:r>
      <w:proofErr w:type="spellEnd"/>
      <w:r w:rsidRPr="0083184D">
        <w:rPr>
          <w:rFonts w:ascii="Times New Roman" w:hAnsi="Times New Roman" w:cs="Times New Roman"/>
          <w:sz w:val="24"/>
          <w:szCs w:val="24"/>
        </w:rPr>
        <w:t xml:space="preserve">, y la diferencia entre ambos se interpreta como una "prima de preferencia". Ambos indicadores se calcularon por separado para seis dominios espaciales urbanos y siete rurales (y, en el caso de la IHLCA, para las dos estaciones de la encuesta), y luego se presentan como promedios ponderados por población a nivel nacional, urbano/rural, zona agroecológica y quintil de gasto. Adicionalmente se calculó el Cost </w:t>
      </w:r>
      <w:proofErr w:type="spellStart"/>
      <w:r w:rsidRPr="0083184D">
        <w:rPr>
          <w:rFonts w:ascii="Times New Roman" w:hAnsi="Times New Roman" w:cs="Times New Roman"/>
          <w:sz w:val="24"/>
          <w:szCs w:val="24"/>
        </w:rPr>
        <w:t>of</w:t>
      </w:r>
      <w:proofErr w:type="spellEnd"/>
      <w:r w:rsidRPr="0083184D">
        <w:rPr>
          <w:rFonts w:ascii="Times New Roman" w:hAnsi="Times New Roman" w:cs="Times New Roman"/>
          <w:sz w:val="24"/>
          <w:szCs w:val="24"/>
        </w:rPr>
        <w:t xml:space="preserve"> </w:t>
      </w:r>
      <w:proofErr w:type="spellStart"/>
      <w:r w:rsidRPr="0083184D">
        <w:rPr>
          <w:rFonts w:ascii="Times New Roman" w:hAnsi="Times New Roman" w:cs="Times New Roman"/>
          <w:sz w:val="24"/>
          <w:szCs w:val="24"/>
        </w:rPr>
        <w:t>Caloric</w:t>
      </w:r>
      <w:proofErr w:type="spellEnd"/>
      <w:r w:rsidRPr="0083184D">
        <w:rPr>
          <w:rFonts w:ascii="Times New Roman" w:hAnsi="Times New Roman" w:cs="Times New Roman"/>
          <w:sz w:val="24"/>
          <w:szCs w:val="24"/>
        </w:rPr>
        <w:t xml:space="preserve"> </w:t>
      </w:r>
      <w:proofErr w:type="spellStart"/>
      <w:r w:rsidRPr="0083184D">
        <w:rPr>
          <w:rFonts w:ascii="Times New Roman" w:hAnsi="Times New Roman" w:cs="Times New Roman"/>
          <w:sz w:val="24"/>
          <w:szCs w:val="24"/>
        </w:rPr>
        <w:t>Adequacy</w:t>
      </w:r>
      <w:proofErr w:type="spellEnd"/>
      <w:r w:rsidRPr="0083184D">
        <w:rPr>
          <w:rFonts w:ascii="Times New Roman" w:hAnsi="Times New Roman" w:cs="Times New Roman"/>
          <w:sz w:val="24"/>
          <w:szCs w:val="24"/>
        </w:rPr>
        <w:t xml:space="preserve"> (CoCA), que estima el costo mínimo de alcanzar el requerimiento calórico del adulto de referencia (2790 kcal) consumiendo únicamente el alimento almidonado más barato (en todos los dominios, una variedad de arroz), sirviendo como línea base de un "dieta de subsistencia". La asequibilidad se evaluó comparando el </w:t>
      </w:r>
      <w:proofErr w:type="spellStart"/>
      <w:r w:rsidRPr="0083184D">
        <w:rPr>
          <w:rFonts w:ascii="Times New Roman" w:hAnsi="Times New Roman" w:cs="Times New Roman"/>
          <w:sz w:val="24"/>
          <w:szCs w:val="24"/>
        </w:rPr>
        <w:t>CoRD</w:t>
      </w:r>
      <w:proofErr w:type="spellEnd"/>
      <w:r w:rsidRPr="0083184D">
        <w:rPr>
          <w:rFonts w:ascii="Times New Roman" w:hAnsi="Times New Roman" w:cs="Times New Roman"/>
          <w:sz w:val="24"/>
          <w:szCs w:val="24"/>
        </w:rPr>
        <w:t xml:space="preserve"> y el </w:t>
      </w:r>
      <w:proofErr w:type="spellStart"/>
      <w:r w:rsidRPr="0083184D">
        <w:rPr>
          <w:rFonts w:ascii="Times New Roman" w:hAnsi="Times New Roman" w:cs="Times New Roman"/>
          <w:sz w:val="24"/>
          <w:szCs w:val="24"/>
        </w:rPr>
        <w:t>CoRD</w:t>
      </w:r>
      <w:proofErr w:type="spellEnd"/>
      <w:r w:rsidRPr="0083184D">
        <w:rPr>
          <w:rFonts w:ascii="Times New Roman" w:hAnsi="Times New Roman" w:cs="Times New Roman"/>
          <w:sz w:val="24"/>
          <w:szCs w:val="24"/>
        </w:rPr>
        <w:t xml:space="preserve">-FP con el gasto real en alimentos de los hogares, calculando tanto el porcentaje de la población cuyo gasto está por debajo de cada costo como una "brecha de asequibilidad" (el porcentaje promedio de déficit del gasto respecto al costo de la dieta, análogo al índice de brecha de pobreza). Finalmente, la adecuación nutricional de las canastas </w:t>
      </w:r>
      <w:proofErr w:type="spellStart"/>
      <w:r w:rsidRPr="0083184D">
        <w:rPr>
          <w:rFonts w:ascii="Times New Roman" w:hAnsi="Times New Roman" w:cs="Times New Roman"/>
          <w:sz w:val="24"/>
          <w:szCs w:val="24"/>
        </w:rPr>
        <w:t>CoRD</w:t>
      </w:r>
      <w:proofErr w:type="spellEnd"/>
      <w:r w:rsidRPr="0083184D">
        <w:rPr>
          <w:rFonts w:ascii="Times New Roman" w:hAnsi="Times New Roman" w:cs="Times New Roman"/>
          <w:sz w:val="24"/>
          <w:szCs w:val="24"/>
        </w:rPr>
        <w:t xml:space="preserve"> y </w:t>
      </w:r>
      <w:proofErr w:type="spellStart"/>
      <w:r w:rsidRPr="0083184D">
        <w:rPr>
          <w:rFonts w:ascii="Times New Roman" w:hAnsi="Times New Roman" w:cs="Times New Roman"/>
          <w:sz w:val="24"/>
          <w:szCs w:val="24"/>
        </w:rPr>
        <w:t>CoRD</w:t>
      </w:r>
      <w:proofErr w:type="spellEnd"/>
      <w:r w:rsidRPr="0083184D">
        <w:rPr>
          <w:rFonts w:ascii="Times New Roman" w:hAnsi="Times New Roman" w:cs="Times New Roman"/>
          <w:sz w:val="24"/>
          <w:szCs w:val="24"/>
        </w:rPr>
        <w:t xml:space="preserve">-FP se evaluó comparando su contenido de macro y micronutrientes (calculado mediante bases de datos de composición de alimentos de USDA, Bangladesh y World Fish) contra los </w:t>
      </w:r>
      <w:proofErr w:type="spellStart"/>
      <w:r w:rsidRPr="0083184D">
        <w:rPr>
          <w:rFonts w:ascii="Times New Roman" w:hAnsi="Times New Roman" w:cs="Times New Roman"/>
          <w:sz w:val="24"/>
          <w:szCs w:val="24"/>
        </w:rPr>
        <w:t>Estimated</w:t>
      </w:r>
      <w:proofErr w:type="spellEnd"/>
      <w:r w:rsidRPr="0083184D">
        <w:rPr>
          <w:rFonts w:ascii="Times New Roman" w:hAnsi="Times New Roman" w:cs="Times New Roman"/>
          <w:sz w:val="24"/>
          <w:szCs w:val="24"/>
        </w:rPr>
        <w:t xml:space="preserve"> </w:t>
      </w:r>
      <w:proofErr w:type="spellStart"/>
      <w:r w:rsidRPr="0083184D">
        <w:rPr>
          <w:rFonts w:ascii="Times New Roman" w:hAnsi="Times New Roman" w:cs="Times New Roman"/>
          <w:sz w:val="24"/>
          <w:szCs w:val="24"/>
        </w:rPr>
        <w:t>Average</w:t>
      </w:r>
      <w:proofErr w:type="spellEnd"/>
      <w:r w:rsidRPr="0083184D">
        <w:rPr>
          <w:rFonts w:ascii="Times New Roman" w:hAnsi="Times New Roman" w:cs="Times New Roman"/>
          <w:sz w:val="24"/>
          <w:szCs w:val="24"/>
        </w:rPr>
        <w:t xml:space="preserve"> </w:t>
      </w:r>
      <w:proofErr w:type="spellStart"/>
      <w:r w:rsidRPr="0083184D">
        <w:rPr>
          <w:rFonts w:ascii="Times New Roman" w:hAnsi="Times New Roman" w:cs="Times New Roman"/>
          <w:sz w:val="24"/>
          <w:szCs w:val="24"/>
        </w:rPr>
        <w:t>Requirements</w:t>
      </w:r>
      <w:proofErr w:type="spellEnd"/>
      <w:r w:rsidRPr="0083184D">
        <w:rPr>
          <w:rFonts w:ascii="Times New Roman" w:hAnsi="Times New Roman" w:cs="Times New Roman"/>
          <w:sz w:val="24"/>
          <w:szCs w:val="24"/>
        </w:rPr>
        <w:t xml:space="preserve"> (EAR) del </w:t>
      </w:r>
      <w:proofErr w:type="spellStart"/>
      <w:r w:rsidRPr="0083184D">
        <w:rPr>
          <w:rFonts w:ascii="Times New Roman" w:hAnsi="Times New Roman" w:cs="Times New Roman"/>
          <w:sz w:val="24"/>
          <w:szCs w:val="24"/>
        </w:rPr>
        <w:t>Institute</w:t>
      </w:r>
      <w:proofErr w:type="spellEnd"/>
      <w:r w:rsidRPr="0083184D">
        <w:rPr>
          <w:rFonts w:ascii="Times New Roman" w:hAnsi="Times New Roman" w:cs="Times New Roman"/>
          <w:sz w:val="24"/>
          <w:szCs w:val="24"/>
        </w:rPr>
        <w:t xml:space="preserve"> </w:t>
      </w:r>
      <w:proofErr w:type="spellStart"/>
      <w:r w:rsidRPr="0083184D">
        <w:rPr>
          <w:rFonts w:ascii="Times New Roman" w:hAnsi="Times New Roman" w:cs="Times New Roman"/>
          <w:sz w:val="24"/>
          <w:szCs w:val="24"/>
        </w:rPr>
        <w:t>of</w:t>
      </w:r>
      <w:proofErr w:type="spellEnd"/>
      <w:r w:rsidRPr="0083184D">
        <w:rPr>
          <w:rFonts w:ascii="Times New Roman" w:hAnsi="Times New Roman" w:cs="Times New Roman"/>
          <w:sz w:val="24"/>
          <w:szCs w:val="24"/>
        </w:rPr>
        <w:t xml:space="preserve"> Medicine (2006) para hombres y mujeres de 19 a 30 años.</w:t>
      </w:r>
    </w:p>
    <w:p w14:paraId="373214C7" w14:textId="77777777" w:rsidR="008B1897" w:rsidRDefault="0083184D" w:rsidP="008B1897">
      <w:pPr>
        <w:jc w:val="both"/>
        <w:rPr>
          <w:rStyle w:val="Fuerte"/>
          <w:rFonts w:ascii="Times New Roman" w:hAnsi="Times New Roman" w:cs="Times New Roman"/>
          <w:sz w:val="24"/>
          <w:szCs w:val="24"/>
        </w:rPr>
      </w:pPr>
      <w:r w:rsidRPr="0083184D">
        <w:rPr>
          <w:rStyle w:val="Fuerte"/>
          <w:rFonts w:ascii="Times New Roman" w:hAnsi="Times New Roman" w:cs="Times New Roman"/>
          <w:sz w:val="24"/>
          <w:szCs w:val="24"/>
        </w:rPr>
        <w:t>Resultados</w:t>
      </w:r>
    </w:p>
    <w:p w14:paraId="2574E966" w14:textId="6D2AF9CD" w:rsidR="00C5012C" w:rsidRPr="0083184D" w:rsidRDefault="0083184D" w:rsidP="00C5012C">
      <w:pPr>
        <w:jc w:val="both"/>
        <w:rPr>
          <w:rFonts w:ascii="Times New Roman" w:eastAsia="Times New Roman" w:hAnsi="Times New Roman" w:cs="Times New Roman"/>
          <w:b/>
          <w:bCs/>
          <w:sz w:val="24"/>
          <w:szCs w:val="24"/>
        </w:rPr>
      </w:pPr>
      <w:r w:rsidRPr="0083184D">
        <w:rPr>
          <w:rFonts w:ascii="Times New Roman" w:hAnsi="Times New Roman" w:cs="Times New Roman"/>
          <w:sz w:val="24"/>
          <w:szCs w:val="24"/>
        </w:rPr>
        <w:t xml:space="preserve">A nivel nacional en 2015, el </w:t>
      </w:r>
      <w:proofErr w:type="spellStart"/>
      <w:r w:rsidRPr="0083184D">
        <w:rPr>
          <w:rFonts w:ascii="Times New Roman" w:hAnsi="Times New Roman" w:cs="Times New Roman"/>
          <w:sz w:val="24"/>
          <w:szCs w:val="24"/>
        </w:rPr>
        <w:t>CoRD</w:t>
      </w:r>
      <w:proofErr w:type="spellEnd"/>
      <w:r w:rsidRPr="0083184D">
        <w:rPr>
          <w:rFonts w:ascii="Times New Roman" w:hAnsi="Times New Roman" w:cs="Times New Roman"/>
          <w:sz w:val="24"/>
          <w:szCs w:val="24"/>
        </w:rPr>
        <w:t xml:space="preserve"> costó 808 kyat por día, 2.5 veces más que el CoCA (317 kyat/día), mientras que el </w:t>
      </w:r>
      <w:proofErr w:type="spellStart"/>
      <w:r w:rsidRPr="0083184D">
        <w:rPr>
          <w:rFonts w:ascii="Times New Roman" w:hAnsi="Times New Roman" w:cs="Times New Roman"/>
          <w:sz w:val="24"/>
          <w:szCs w:val="24"/>
        </w:rPr>
        <w:t>CoRD</w:t>
      </w:r>
      <w:proofErr w:type="spellEnd"/>
      <w:r w:rsidRPr="0083184D">
        <w:rPr>
          <w:rFonts w:ascii="Times New Roman" w:hAnsi="Times New Roman" w:cs="Times New Roman"/>
          <w:sz w:val="24"/>
          <w:szCs w:val="24"/>
        </w:rPr>
        <w:t xml:space="preserve">-FP costó 1189 kyat por día, 3.7 veces más que el CoCA y 47% más caro que el </w:t>
      </w:r>
      <w:proofErr w:type="spellStart"/>
      <w:r w:rsidRPr="0083184D">
        <w:rPr>
          <w:rFonts w:ascii="Times New Roman" w:hAnsi="Times New Roman" w:cs="Times New Roman"/>
          <w:sz w:val="24"/>
          <w:szCs w:val="24"/>
        </w:rPr>
        <w:t>CoRD</w:t>
      </w:r>
      <w:proofErr w:type="spellEnd"/>
      <w:r w:rsidRPr="0083184D">
        <w:rPr>
          <w:rFonts w:ascii="Times New Roman" w:hAnsi="Times New Roman" w:cs="Times New Roman"/>
          <w:sz w:val="24"/>
          <w:szCs w:val="24"/>
        </w:rPr>
        <w:t xml:space="preserve">, lo que refleja una "prima de preferencia" considerable. La diferencia entre el </w:t>
      </w:r>
      <w:proofErr w:type="spellStart"/>
      <w:r w:rsidRPr="0083184D">
        <w:rPr>
          <w:rFonts w:ascii="Times New Roman" w:hAnsi="Times New Roman" w:cs="Times New Roman"/>
          <w:sz w:val="24"/>
          <w:szCs w:val="24"/>
        </w:rPr>
        <w:t>CoRD</w:t>
      </w:r>
      <w:proofErr w:type="spellEnd"/>
      <w:r w:rsidRPr="0083184D">
        <w:rPr>
          <w:rFonts w:ascii="Times New Roman" w:hAnsi="Times New Roman" w:cs="Times New Roman"/>
          <w:sz w:val="24"/>
          <w:szCs w:val="24"/>
        </w:rPr>
        <w:t xml:space="preserve">-FP y el </w:t>
      </w:r>
      <w:proofErr w:type="spellStart"/>
      <w:r w:rsidRPr="0083184D">
        <w:rPr>
          <w:rFonts w:ascii="Times New Roman" w:hAnsi="Times New Roman" w:cs="Times New Roman"/>
          <w:sz w:val="24"/>
          <w:szCs w:val="24"/>
        </w:rPr>
        <w:t>CoRD</w:t>
      </w:r>
      <w:proofErr w:type="spellEnd"/>
      <w:r w:rsidRPr="0083184D">
        <w:rPr>
          <w:rFonts w:ascii="Times New Roman" w:hAnsi="Times New Roman" w:cs="Times New Roman"/>
          <w:sz w:val="24"/>
          <w:szCs w:val="24"/>
        </w:rPr>
        <w:t xml:space="preserve"> se explicó principalmente por el grupo de alimentos proteicos, cuyo costo fue 3.5 veces mayor en el </w:t>
      </w:r>
      <w:proofErr w:type="spellStart"/>
      <w:r w:rsidRPr="0083184D">
        <w:rPr>
          <w:rFonts w:ascii="Times New Roman" w:hAnsi="Times New Roman" w:cs="Times New Roman"/>
          <w:sz w:val="24"/>
          <w:szCs w:val="24"/>
        </w:rPr>
        <w:t>CoRD</w:t>
      </w:r>
      <w:proofErr w:type="spellEnd"/>
      <w:r w:rsidRPr="0083184D">
        <w:rPr>
          <w:rFonts w:ascii="Times New Roman" w:hAnsi="Times New Roman" w:cs="Times New Roman"/>
          <w:sz w:val="24"/>
          <w:szCs w:val="24"/>
        </w:rPr>
        <w:t xml:space="preserve">-FP (basado en una combinación de carnes, pescado, huevos y leguminosas observada en el consumo real) que en el </w:t>
      </w:r>
      <w:proofErr w:type="spellStart"/>
      <w:r w:rsidRPr="0083184D">
        <w:rPr>
          <w:rFonts w:ascii="Times New Roman" w:hAnsi="Times New Roman" w:cs="Times New Roman"/>
          <w:sz w:val="24"/>
          <w:szCs w:val="24"/>
        </w:rPr>
        <w:t>CoRD</w:t>
      </w:r>
      <w:proofErr w:type="spellEnd"/>
      <w:r w:rsidRPr="0083184D">
        <w:rPr>
          <w:rFonts w:ascii="Times New Roman" w:hAnsi="Times New Roman" w:cs="Times New Roman"/>
          <w:sz w:val="24"/>
          <w:szCs w:val="24"/>
        </w:rPr>
        <w:t xml:space="preserve"> (basado casi exclusivamente en leguminosas, los alimentos proteicos más baratos en casi todos los dominios espaciales), representando el 72% de la diferencia total de costo; el grupo de vegetales explicó otro 19% de esa diferencia, siendo 46% más caro en el </w:t>
      </w:r>
      <w:proofErr w:type="spellStart"/>
      <w:r w:rsidRPr="0083184D">
        <w:rPr>
          <w:rFonts w:ascii="Times New Roman" w:hAnsi="Times New Roman" w:cs="Times New Roman"/>
          <w:sz w:val="24"/>
          <w:szCs w:val="24"/>
        </w:rPr>
        <w:t>CoRD</w:t>
      </w:r>
      <w:proofErr w:type="spellEnd"/>
      <w:r w:rsidRPr="0083184D">
        <w:rPr>
          <w:rFonts w:ascii="Times New Roman" w:hAnsi="Times New Roman" w:cs="Times New Roman"/>
          <w:sz w:val="24"/>
          <w:szCs w:val="24"/>
        </w:rPr>
        <w:t xml:space="preserve">-FP. Espacialmente, el </w:t>
      </w:r>
      <w:proofErr w:type="spellStart"/>
      <w:r w:rsidRPr="0083184D">
        <w:rPr>
          <w:rFonts w:ascii="Times New Roman" w:hAnsi="Times New Roman" w:cs="Times New Roman"/>
          <w:sz w:val="24"/>
          <w:szCs w:val="24"/>
        </w:rPr>
        <w:t>CoRD</w:t>
      </w:r>
      <w:proofErr w:type="spellEnd"/>
      <w:r w:rsidRPr="0083184D">
        <w:rPr>
          <w:rFonts w:ascii="Times New Roman" w:hAnsi="Times New Roman" w:cs="Times New Roman"/>
          <w:sz w:val="24"/>
          <w:szCs w:val="24"/>
        </w:rPr>
        <w:t xml:space="preserve"> y el </w:t>
      </w:r>
      <w:proofErr w:type="spellStart"/>
      <w:r w:rsidRPr="0083184D">
        <w:rPr>
          <w:rFonts w:ascii="Times New Roman" w:hAnsi="Times New Roman" w:cs="Times New Roman"/>
          <w:sz w:val="24"/>
          <w:szCs w:val="24"/>
        </w:rPr>
        <w:t>CoRD</w:t>
      </w:r>
      <w:proofErr w:type="spellEnd"/>
      <w:r w:rsidRPr="0083184D">
        <w:rPr>
          <w:rFonts w:ascii="Times New Roman" w:hAnsi="Times New Roman" w:cs="Times New Roman"/>
          <w:sz w:val="24"/>
          <w:szCs w:val="24"/>
        </w:rPr>
        <w:t xml:space="preserve">-FP fueron prácticamente iguales entre zonas urbanas y rurales, pero variaron considerablemente entre zonas agroecológicas, siendo más altos en la zona de Colinas (Hills), 12% por encima del promedio nacional, y más bajos en la Zona Seca (Dry Zone), alrededor de 10% por debajo del promedio nacional. En cuanto a asequibilidad, en 2015 el 24% de la población vivía en hogares cuyo gasto en alimentos estaba por debajo del </w:t>
      </w:r>
      <w:proofErr w:type="spellStart"/>
      <w:r w:rsidRPr="0083184D">
        <w:rPr>
          <w:rFonts w:ascii="Times New Roman" w:hAnsi="Times New Roman" w:cs="Times New Roman"/>
          <w:sz w:val="24"/>
          <w:szCs w:val="24"/>
        </w:rPr>
        <w:t>CoRD</w:t>
      </w:r>
      <w:proofErr w:type="spellEnd"/>
      <w:r w:rsidRPr="0083184D">
        <w:rPr>
          <w:rFonts w:ascii="Times New Roman" w:hAnsi="Times New Roman" w:cs="Times New Roman"/>
          <w:sz w:val="24"/>
          <w:szCs w:val="24"/>
        </w:rPr>
        <w:t xml:space="preserve"> y el 52% por debajo del </w:t>
      </w:r>
      <w:proofErr w:type="spellStart"/>
      <w:r w:rsidRPr="0083184D">
        <w:rPr>
          <w:rFonts w:ascii="Times New Roman" w:hAnsi="Times New Roman" w:cs="Times New Roman"/>
          <w:sz w:val="24"/>
          <w:szCs w:val="24"/>
        </w:rPr>
        <w:t>CoRD</w:t>
      </w:r>
      <w:proofErr w:type="spellEnd"/>
      <w:r w:rsidRPr="0083184D">
        <w:rPr>
          <w:rFonts w:ascii="Times New Roman" w:hAnsi="Times New Roman" w:cs="Times New Roman"/>
          <w:sz w:val="24"/>
          <w:szCs w:val="24"/>
        </w:rPr>
        <w:t xml:space="preserve">-FP, cifras que representan una mejora respecto a 2010, cuando estos porcentajes eran 32% y 70% respectivamente. La brecha de asequibilidad (déficit promedio de gasto respecto al costo de la dieta, entre los hogares que no podían costearla) fue de 6% para el </w:t>
      </w:r>
      <w:proofErr w:type="spellStart"/>
      <w:r w:rsidRPr="0083184D">
        <w:rPr>
          <w:rFonts w:ascii="Times New Roman" w:hAnsi="Times New Roman" w:cs="Times New Roman"/>
          <w:sz w:val="24"/>
          <w:szCs w:val="24"/>
        </w:rPr>
        <w:t>CoRD</w:t>
      </w:r>
      <w:proofErr w:type="spellEnd"/>
      <w:r w:rsidRPr="0083184D">
        <w:rPr>
          <w:rFonts w:ascii="Times New Roman" w:hAnsi="Times New Roman" w:cs="Times New Roman"/>
          <w:sz w:val="24"/>
          <w:szCs w:val="24"/>
        </w:rPr>
        <w:t xml:space="preserve"> y 16% para el </w:t>
      </w:r>
      <w:proofErr w:type="spellStart"/>
      <w:r w:rsidRPr="0083184D">
        <w:rPr>
          <w:rFonts w:ascii="Times New Roman" w:hAnsi="Times New Roman" w:cs="Times New Roman"/>
          <w:sz w:val="24"/>
          <w:szCs w:val="24"/>
        </w:rPr>
        <w:t>CoRD</w:t>
      </w:r>
      <w:proofErr w:type="spellEnd"/>
      <w:r w:rsidRPr="0083184D">
        <w:rPr>
          <w:rFonts w:ascii="Times New Roman" w:hAnsi="Times New Roman" w:cs="Times New Roman"/>
          <w:sz w:val="24"/>
          <w:szCs w:val="24"/>
        </w:rPr>
        <w:t xml:space="preserve">-FP a nivel nacional en 2015. Respecto al patrón de consumo, en 2015 entre el 90% y el 100% de la población vivía en hogares que consumían al menos una porción de almidones y alimentos proteicos, pero solo el 62% y 38% respectivamente consumían las porciones recomendadas de estos dos grupos; para vegetales, frutas y lácteos las cifras de consumo adecuado fueron aún más bajas (9%, </w:t>
      </w:r>
      <w:r w:rsidRPr="0083184D">
        <w:rPr>
          <w:rFonts w:ascii="Times New Roman" w:hAnsi="Times New Roman" w:cs="Times New Roman"/>
          <w:sz w:val="24"/>
          <w:szCs w:val="24"/>
        </w:rPr>
        <w:lastRenderedPageBreak/>
        <w:t xml:space="preserve">16% y menos de 1%, respectivamente), y el consumo medio de almidones (509 g/AE) superó la cantidad recomendada (435 g/AE) en casi todas las zonas, mientras que el consumo medio de lácteos, vegetales y frutas estuvo por debajo de lo recomendado en todos los quintiles de gasto. Usando la metodología de precios relativos por caloría de </w:t>
      </w:r>
      <w:proofErr w:type="spellStart"/>
      <w:r w:rsidRPr="0083184D">
        <w:rPr>
          <w:rFonts w:ascii="Times New Roman" w:hAnsi="Times New Roman" w:cs="Times New Roman"/>
          <w:sz w:val="24"/>
          <w:szCs w:val="24"/>
        </w:rPr>
        <w:t>Headey</w:t>
      </w:r>
      <w:proofErr w:type="spellEnd"/>
      <w:r w:rsidRPr="0083184D">
        <w:rPr>
          <w:rFonts w:ascii="Times New Roman" w:hAnsi="Times New Roman" w:cs="Times New Roman"/>
          <w:sz w:val="24"/>
          <w:szCs w:val="24"/>
        </w:rPr>
        <w:t xml:space="preserve"> y Alderman (2019), se encontró que el precio por caloría de los alimentos de origen animal y los vegetales fue considerablemente más alto que el del arroz (el almidón más barato): la relación de precio por caloría fue de 24 para el pollo, 19 para la carne de res, 8 para el cerdo y un promedio ponderado de 18 para pescados y mariscos, mientras que para las leguminosas esta relación fue de solo 2.5, lo que evidencia por qué las leguminosas dominan la canasta de menor costo del </w:t>
      </w:r>
      <w:proofErr w:type="spellStart"/>
      <w:r w:rsidRPr="0083184D">
        <w:rPr>
          <w:rFonts w:ascii="Times New Roman" w:hAnsi="Times New Roman" w:cs="Times New Roman"/>
          <w:sz w:val="24"/>
          <w:szCs w:val="24"/>
        </w:rPr>
        <w:t>CoRD</w:t>
      </w:r>
      <w:proofErr w:type="spellEnd"/>
      <w:r w:rsidRPr="0083184D">
        <w:rPr>
          <w:rFonts w:ascii="Times New Roman" w:hAnsi="Times New Roman" w:cs="Times New Roman"/>
          <w:sz w:val="24"/>
          <w:szCs w:val="24"/>
        </w:rPr>
        <w:t xml:space="preserve"> pero representan solo el 7.4% del gasto observado en proteínas. En cuanto a adecuación nutricional, la canasta del </w:t>
      </w:r>
      <w:proofErr w:type="spellStart"/>
      <w:r w:rsidRPr="0083184D">
        <w:rPr>
          <w:rFonts w:ascii="Times New Roman" w:hAnsi="Times New Roman" w:cs="Times New Roman"/>
          <w:sz w:val="24"/>
          <w:szCs w:val="24"/>
        </w:rPr>
        <w:t>CoRD</w:t>
      </w:r>
      <w:proofErr w:type="spellEnd"/>
      <w:r w:rsidRPr="0083184D">
        <w:rPr>
          <w:rFonts w:ascii="Times New Roman" w:hAnsi="Times New Roman" w:cs="Times New Roman"/>
          <w:sz w:val="24"/>
          <w:szCs w:val="24"/>
        </w:rPr>
        <w:t xml:space="preserve">-FP alcanzó o se aproximó a los EAR de todos los nutrientes evaluados excepto la vitamina E, mientras que la canasta del </w:t>
      </w:r>
      <w:proofErr w:type="spellStart"/>
      <w:r w:rsidRPr="0083184D">
        <w:rPr>
          <w:rFonts w:ascii="Times New Roman" w:hAnsi="Times New Roman" w:cs="Times New Roman"/>
          <w:sz w:val="24"/>
          <w:szCs w:val="24"/>
        </w:rPr>
        <w:t>CoRD</w:t>
      </w:r>
      <w:proofErr w:type="spellEnd"/>
      <w:r w:rsidRPr="0083184D">
        <w:rPr>
          <w:rFonts w:ascii="Times New Roman" w:hAnsi="Times New Roman" w:cs="Times New Roman"/>
          <w:sz w:val="24"/>
          <w:szCs w:val="24"/>
        </w:rPr>
        <w:t xml:space="preserve"> (basada solo en leguminosas como fuente proteica en la mayoría de los dominios) no alcanzó los EAR de vitamina B12, vitamina A y vitamina E.</w:t>
      </w:r>
    </w:p>
    <w:p w14:paraId="4B0AB43F" w14:textId="77777777" w:rsidR="003064E1" w:rsidRPr="003064E1" w:rsidRDefault="004A095F" w:rsidP="003064E1">
      <w:pPr>
        <w:pStyle w:val="Prrafodelista"/>
        <w:numPr>
          <w:ilvl w:val="0"/>
          <w:numId w:val="3"/>
        </w:numPr>
        <w:jc w:val="both"/>
        <w:rPr>
          <w:rFonts w:ascii="Times New Roman" w:eastAsia="Times New Roman" w:hAnsi="Times New Roman" w:cs="Times New Roman"/>
          <w:b/>
          <w:bCs/>
          <w:sz w:val="24"/>
          <w:szCs w:val="24"/>
        </w:rPr>
      </w:pPr>
      <w:r w:rsidRPr="003064E1">
        <w:rPr>
          <w:rFonts w:ascii="Times New Roman" w:eastAsia="Times New Roman" w:hAnsi="Times New Roman" w:cs="Times New Roman"/>
          <w:b/>
          <w:bCs/>
          <w:sz w:val="24"/>
          <w:szCs w:val="24"/>
        </w:rPr>
        <w:t>Verly et al.</w:t>
      </w:r>
      <w:r w:rsidR="00C5012C" w:rsidRPr="003064E1">
        <w:rPr>
          <w:rFonts w:ascii="Times New Roman" w:eastAsia="Times New Roman" w:hAnsi="Times New Roman" w:cs="Times New Roman"/>
          <w:b/>
          <w:bCs/>
          <w:sz w:val="24"/>
          <w:szCs w:val="24"/>
        </w:rPr>
        <w:t>,</w:t>
      </w:r>
      <w:r w:rsidRPr="003064E1">
        <w:rPr>
          <w:rFonts w:ascii="Times New Roman" w:eastAsia="Times New Roman" w:hAnsi="Times New Roman" w:cs="Times New Roman"/>
          <w:b/>
          <w:bCs/>
          <w:sz w:val="24"/>
          <w:szCs w:val="24"/>
        </w:rPr>
        <w:t xml:space="preserve"> (2021) </w:t>
      </w:r>
    </w:p>
    <w:p w14:paraId="29AD3174" w14:textId="77777777" w:rsidR="003064E1" w:rsidRPr="003064E1" w:rsidRDefault="003064E1" w:rsidP="003064E1">
      <w:pPr>
        <w:jc w:val="both"/>
        <w:rPr>
          <w:rStyle w:val="Fuerte"/>
          <w:rFonts w:ascii="Times New Roman" w:hAnsi="Times New Roman" w:cs="Times New Roman"/>
          <w:sz w:val="24"/>
          <w:szCs w:val="24"/>
        </w:rPr>
      </w:pPr>
      <w:r w:rsidRPr="003064E1">
        <w:rPr>
          <w:rStyle w:val="Fuerte"/>
          <w:rFonts w:ascii="Times New Roman" w:hAnsi="Times New Roman" w:cs="Times New Roman"/>
          <w:sz w:val="24"/>
          <w:szCs w:val="24"/>
        </w:rPr>
        <w:t>Objetivo</w:t>
      </w:r>
    </w:p>
    <w:p w14:paraId="1E024F4F" w14:textId="77777777" w:rsidR="003064E1" w:rsidRDefault="003064E1" w:rsidP="003064E1">
      <w:pPr>
        <w:jc w:val="both"/>
        <w:rPr>
          <w:rFonts w:ascii="Times New Roman" w:hAnsi="Times New Roman" w:cs="Times New Roman"/>
          <w:sz w:val="24"/>
          <w:szCs w:val="24"/>
        </w:rPr>
      </w:pPr>
      <w:r w:rsidRPr="003064E1">
        <w:rPr>
          <w:rFonts w:ascii="Times New Roman" w:hAnsi="Times New Roman" w:cs="Times New Roman"/>
          <w:sz w:val="24"/>
          <w:szCs w:val="24"/>
        </w:rPr>
        <w:t>Estimar el costo más bajo de una dieta saludable y culturalmente aceptable para la población brasileña, y evaluar la evolución de dicho costo entre los períodos 2008-2009 y 2017-2018, considerando las variaciones en las preferencias alimentarias y en los precios de los alimentos en el país, y estratificando los resultados por franjas de ingreso.</w:t>
      </w:r>
    </w:p>
    <w:p w14:paraId="00E736CB" w14:textId="77777777" w:rsidR="003064E1" w:rsidRDefault="003064E1" w:rsidP="003064E1">
      <w:pPr>
        <w:jc w:val="both"/>
        <w:rPr>
          <w:rStyle w:val="Fuerte"/>
          <w:rFonts w:ascii="Times New Roman" w:hAnsi="Times New Roman" w:cs="Times New Roman"/>
          <w:sz w:val="24"/>
          <w:szCs w:val="24"/>
        </w:rPr>
      </w:pPr>
      <w:r w:rsidRPr="003064E1">
        <w:rPr>
          <w:rStyle w:val="Fuerte"/>
          <w:rFonts w:ascii="Times New Roman" w:hAnsi="Times New Roman" w:cs="Times New Roman"/>
          <w:sz w:val="24"/>
          <w:szCs w:val="24"/>
        </w:rPr>
        <w:t>Metodología</w:t>
      </w:r>
    </w:p>
    <w:p w14:paraId="72F5E581" w14:textId="77777777" w:rsidR="00F25686" w:rsidRDefault="003064E1" w:rsidP="00F25686">
      <w:pPr>
        <w:jc w:val="both"/>
        <w:rPr>
          <w:rFonts w:ascii="Times New Roman" w:hAnsi="Times New Roman" w:cs="Times New Roman"/>
          <w:sz w:val="24"/>
          <w:szCs w:val="24"/>
        </w:rPr>
      </w:pPr>
      <w:r w:rsidRPr="003064E1">
        <w:rPr>
          <w:rFonts w:ascii="Times New Roman" w:hAnsi="Times New Roman" w:cs="Times New Roman"/>
          <w:sz w:val="24"/>
          <w:szCs w:val="24"/>
        </w:rPr>
        <w:t xml:space="preserve">El estudio utilizó datos de los </w:t>
      </w:r>
      <w:proofErr w:type="spellStart"/>
      <w:r w:rsidRPr="003064E1">
        <w:rPr>
          <w:rFonts w:ascii="Times New Roman" w:hAnsi="Times New Roman" w:cs="Times New Roman"/>
          <w:sz w:val="24"/>
          <w:szCs w:val="24"/>
        </w:rPr>
        <w:t>Inquéritos</w:t>
      </w:r>
      <w:proofErr w:type="spellEnd"/>
      <w:r w:rsidRPr="003064E1">
        <w:rPr>
          <w:rFonts w:ascii="Times New Roman" w:hAnsi="Times New Roman" w:cs="Times New Roman"/>
          <w:sz w:val="24"/>
          <w:szCs w:val="24"/>
        </w:rPr>
        <w:t xml:space="preserve"> </w:t>
      </w:r>
      <w:proofErr w:type="spellStart"/>
      <w:r w:rsidRPr="003064E1">
        <w:rPr>
          <w:rFonts w:ascii="Times New Roman" w:hAnsi="Times New Roman" w:cs="Times New Roman"/>
          <w:sz w:val="24"/>
          <w:szCs w:val="24"/>
        </w:rPr>
        <w:t>Nacionais</w:t>
      </w:r>
      <w:proofErr w:type="spellEnd"/>
      <w:r w:rsidRPr="003064E1">
        <w:rPr>
          <w:rFonts w:ascii="Times New Roman" w:hAnsi="Times New Roman" w:cs="Times New Roman"/>
          <w:sz w:val="24"/>
          <w:szCs w:val="24"/>
        </w:rPr>
        <w:t xml:space="preserve"> de </w:t>
      </w:r>
      <w:proofErr w:type="spellStart"/>
      <w:r w:rsidRPr="003064E1">
        <w:rPr>
          <w:rFonts w:ascii="Times New Roman" w:hAnsi="Times New Roman" w:cs="Times New Roman"/>
          <w:sz w:val="24"/>
          <w:szCs w:val="24"/>
        </w:rPr>
        <w:t>Alimentação</w:t>
      </w:r>
      <w:proofErr w:type="spellEnd"/>
      <w:r w:rsidRPr="003064E1">
        <w:rPr>
          <w:rFonts w:ascii="Times New Roman" w:hAnsi="Times New Roman" w:cs="Times New Roman"/>
          <w:sz w:val="24"/>
          <w:szCs w:val="24"/>
        </w:rPr>
        <w:t xml:space="preserve"> (INA, Encuestas Nacionales de Alimentación) de 2008-2009 y 2017-2018, que son submuestras de las Pesquisas de </w:t>
      </w:r>
      <w:proofErr w:type="spellStart"/>
      <w:r w:rsidRPr="003064E1">
        <w:rPr>
          <w:rFonts w:ascii="Times New Roman" w:hAnsi="Times New Roman" w:cs="Times New Roman"/>
          <w:sz w:val="24"/>
          <w:szCs w:val="24"/>
        </w:rPr>
        <w:t>Orçamentos</w:t>
      </w:r>
      <w:proofErr w:type="spellEnd"/>
      <w:r w:rsidRPr="003064E1">
        <w:rPr>
          <w:rFonts w:ascii="Times New Roman" w:hAnsi="Times New Roman" w:cs="Times New Roman"/>
          <w:sz w:val="24"/>
          <w:szCs w:val="24"/>
        </w:rPr>
        <w:t xml:space="preserve"> Familiares (POF, Encuestas de Presupuestos Familiares) realizadas por el Instituto Brasileiro de </w:t>
      </w:r>
      <w:proofErr w:type="spellStart"/>
      <w:r w:rsidRPr="003064E1">
        <w:rPr>
          <w:rFonts w:ascii="Times New Roman" w:hAnsi="Times New Roman" w:cs="Times New Roman"/>
          <w:sz w:val="24"/>
          <w:szCs w:val="24"/>
        </w:rPr>
        <w:t>Geografia</w:t>
      </w:r>
      <w:proofErr w:type="spellEnd"/>
      <w:r w:rsidRPr="003064E1">
        <w:rPr>
          <w:rFonts w:ascii="Times New Roman" w:hAnsi="Times New Roman" w:cs="Times New Roman"/>
          <w:sz w:val="24"/>
          <w:szCs w:val="24"/>
        </w:rPr>
        <w:t xml:space="preserve"> e </w:t>
      </w:r>
      <w:proofErr w:type="spellStart"/>
      <w:r w:rsidRPr="003064E1">
        <w:rPr>
          <w:rFonts w:ascii="Times New Roman" w:hAnsi="Times New Roman" w:cs="Times New Roman"/>
          <w:sz w:val="24"/>
          <w:szCs w:val="24"/>
        </w:rPr>
        <w:t>Estatística</w:t>
      </w:r>
      <w:proofErr w:type="spellEnd"/>
      <w:r w:rsidRPr="003064E1">
        <w:rPr>
          <w:rFonts w:ascii="Times New Roman" w:hAnsi="Times New Roman" w:cs="Times New Roman"/>
          <w:sz w:val="24"/>
          <w:szCs w:val="24"/>
        </w:rPr>
        <w:t xml:space="preserve"> (IBGE). Las muestras de la POF incluyeron 55970 hogares en 2008-2009 y 57920 en 2017-2018, mientras que los datos de la INA correspondieron a 34003 individuos en 13569 hogares en el primer período y 46164 individuos en 20112 hogares en el segundo. La recolección de datos en cada estrato se distribuyó uniformemente a lo largo de los 12 meses del año para capturar variaciones estacionales en el consumo y los precios de los alimentos. Dado que el consumo individual estimado para dos días de recolección resulta impreciso para describir el consumo habitual, el análisis se realizó a nivel de grupos poblacionales (estratos), no de individuos. Los 550 estratos muestrales originales de la POF de 2008-2009 y los 575 de 2017-2018 se colapsaron según la ubicación geográfica (26 estados brasileños más el Distrito Federal) y cuatro estratos de ingreso per cápita en salarios mínimos (≤0.5 SM; &gt;0.5 y ≤1.5 SM; &gt;1.5 y ≤3 SM; y &gt;3 SM), totalizando 108 nuevos estratos en cada período (27 regiones × 4 niveles de ingreso). El consumo de alimentos en 2008-2009 se obtuvo mediante registros de alimentos, mientras que en 2017-2018 se obtuvo mediante un recordatorio de 24 horas asistido por un software desarrollado específicamente para la recolección, guiado por el método automatizado de pasos múltiples (</w:t>
      </w:r>
      <w:proofErr w:type="spellStart"/>
      <w:r w:rsidRPr="003064E1">
        <w:rPr>
          <w:rFonts w:ascii="Times New Roman" w:hAnsi="Times New Roman" w:cs="Times New Roman"/>
          <w:sz w:val="24"/>
          <w:szCs w:val="24"/>
        </w:rPr>
        <w:t>automated</w:t>
      </w:r>
      <w:proofErr w:type="spellEnd"/>
      <w:r w:rsidRPr="003064E1">
        <w:rPr>
          <w:rFonts w:ascii="Times New Roman" w:hAnsi="Times New Roman" w:cs="Times New Roman"/>
          <w:sz w:val="24"/>
          <w:szCs w:val="24"/>
        </w:rPr>
        <w:t xml:space="preserve"> </w:t>
      </w:r>
      <w:proofErr w:type="spellStart"/>
      <w:r w:rsidRPr="003064E1">
        <w:rPr>
          <w:rFonts w:ascii="Times New Roman" w:hAnsi="Times New Roman" w:cs="Times New Roman"/>
          <w:sz w:val="24"/>
          <w:szCs w:val="24"/>
        </w:rPr>
        <w:t>multiple-pass</w:t>
      </w:r>
      <w:proofErr w:type="spellEnd"/>
      <w:r w:rsidRPr="003064E1">
        <w:rPr>
          <w:rFonts w:ascii="Times New Roman" w:hAnsi="Times New Roman" w:cs="Times New Roman"/>
          <w:sz w:val="24"/>
          <w:szCs w:val="24"/>
        </w:rPr>
        <w:t xml:space="preserve"> </w:t>
      </w:r>
      <w:proofErr w:type="spellStart"/>
      <w:r w:rsidRPr="003064E1">
        <w:rPr>
          <w:rFonts w:ascii="Times New Roman" w:hAnsi="Times New Roman" w:cs="Times New Roman"/>
          <w:sz w:val="24"/>
          <w:szCs w:val="24"/>
        </w:rPr>
        <w:t>method</w:t>
      </w:r>
      <w:proofErr w:type="spellEnd"/>
      <w:r w:rsidRPr="003064E1">
        <w:rPr>
          <w:rFonts w:ascii="Times New Roman" w:hAnsi="Times New Roman" w:cs="Times New Roman"/>
          <w:sz w:val="24"/>
          <w:szCs w:val="24"/>
        </w:rPr>
        <w:t xml:space="preserve">). Los alimentos reportados (1103 en el primer período y 1593 en el segundo) se clasificaron en 123 alimentos o grupos de alimentos, agrupando variaciones de un mismo alimento (por ejemplo, todos los tipos de plátano se </w:t>
      </w:r>
      <w:r w:rsidRPr="003064E1">
        <w:rPr>
          <w:rFonts w:ascii="Times New Roman" w:hAnsi="Times New Roman" w:cs="Times New Roman"/>
          <w:sz w:val="24"/>
          <w:szCs w:val="24"/>
        </w:rPr>
        <w:lastRenderedPageBreak/>
        <w:t xml:space="preserve">clasificaron como plátano, o todos los cortes de carne de res como carne de res); no se consideraron bebidas alcohólicas, café ni té. La composición nutricional de cada alimento agrupado se obtuvo de la versión 7.0 de la </w:t>
      </w:r>
      <w:proofErr w:type="spellStart"/>
      <w:r w:rsidRPr="003064E1">
        <w:rPr>
          <w:rFonts w:ascii="Times New Roman" w:hAnsi="Times New Roman" w:cs="Times New Roman"/>
          <w:sz w:val="24"/>
          <w:szCs w:val="24"/>
        </w:rPr>
        <w:t>Tabela</w:t>
      </w:r>
      <w:proofErr w:type="spellEnd"/>
      <w:r w:rsidRPr="003064E1">
        <w:rPr>
          <w:rFonts w:ascii="Times New Roman" w:hAnsi="Times New Roman" w:cs="Times New Roman"/>
          <w:sz w:val="24"/>
          <w:szCs w:val="24"/>
        </w:rPr>
        <w:t xml:space="preserve"> Brasileira de </w:t>
      </w:r>
      <w:proofErr w:type="spellStart"/>
      <w:r w:rsidRPr="003064E1">
        <w:rPr>
          <w:rFonts w:ascii="Times New Roman" w:hAnsi="Times New Roman" w:cs="Times New Roman"/>
          <w:sz w:val="24"/>
          <w:szCs w:val="24"/>
        </w:rPr>
        <w:t>Composição</w:t>
      </w:r>
      <w:proofErr w:type="spellEnd"/>
      <w:r w:rsidRPr="003064E1">
        <w:rPr>
          <w:rFonts w:ascii="Times New Roman" w:hAnsi="Times New Roman" w:cs="Times New Roman"/>
          <w:sz w:val="24"/>
          <w:szCs w:val="24"/>
        </w:rPr>
        <w:t xml:space="preserve"> de Alimentos (TBCA) del Centro de Pesquisa em Alimentos (</w:t>
      </w:r>
      <w:proofErr w:type="spellStart"/>
      <w:r w:rsidRPr="003064E1">
        <w:rPr>
          <w:rFonts w:ascii="Times New Roman" w:hAnsi="Times New Roman" w:cs="Times New Roman"/>
          <w:sz w:val="24"/>
          <w:szCs w:val="24"/>
        </w:rPr>
        <w:t>FoRC</w:t>
      </w:r>
      <w:proofErr w:type="spellEnd"/>
      <w:r w:rsidRPr="003064E1">
        <w:rPr>
          <w:rFonts w:ascii="Times New Roman" w:hAnsi="Times New Roman" w:cs="Times New Roman"/>
          <w:sz w:val="24"/>
          <w:szCs w:val="24"/>
        </w:rPr>
        <w:t xml:space="preserve">) de la Universidad de São Paulo, calculada como el promedio de los subtipos de alimentos ponderado por su frecuencia de reporte en cada encuesta y en cada estrato. Los precios de los alimentos se extrajeron de las bases de datos de la libreta de gastos colectivos de la POF, considerando los registros de cantidad y precio de cada alimento comprado durante una semana, convertidos a precio por 100g de porción comestible mediante factores de cocción y corrección; el precio de cada grupo de alimentos correspondió al promedio de los precios ponderado por la frecuencia de reporte dentro de cada estrato y encuesta. Tanto los precios como el ingreso de los hogares, recolectados a lo largo de 12 meses, se ajustaron usando las tasas oficiales del Índice Nacional de </w:t>
      </w:r>
      <w:proofErr w:type="spellStart"/>
      <w:r w:rsidRPr="003064E1">
        <w:rPr>
          <w:rFonts w:ascii="Times New Roman" w:hAnsi="Times New Roman" w:cs="Times New Roman"/>
          <w:sz w:val="24"/>
          <w:szCs w:val="24"/>
        </w:rPr>
        <w:t>Preços</w:t>
      </w:r>
      <w:proofErr w:type="spellEnd"/>
      <w:r w:rsidRPr="003064E1">
        <w:rPr>
          <w:rFonts w:ascii="Times New Roman" w:hAnsi="Times New Roman" w:cs="Times New Roman"/>
          <w:sz w:val="24"/>
          <w:szCs w:val="24"/>
        </w:rPr>
        <w:t xml:space="preserve"> </w:t>
      </w:r>
      <w:proofErr w:type="spellStart"/>
      <w:r w:rsidRPr="003064E1">
        <w:rPr>
          <w:rFonts w:ascii="Times New Roman" w:hAnsi="Times New Roman" w:cs="Times New Roman"/>
          <w:sz w:val="24"/>
          <w:szCs w:val="24"/>
        </w:rPr>
        <w:t>ao</w:t>
      </w:r>
      <w:proofErr w:type="spellEnd"/>
      <w:r w:rsidRPr="003064E1">
        <w:rPr>
          <w:rFonts w:ascii="Times New Roman" w:hAnsi="Times New Roman" w:cs="Times New Roman"/>
          <w:sz w:val="24"/>
          <w:szCs w:val="24"/>
        </w:rPr>
        <w:t xml:space="preserve"> Consumidor (INPC) a un período de referencia único en cada encuesta (31 de enero de 2009 y 15 de enero de 2018), lo que indica que los costos reportados están expresados en términos reales dentro de cada período de encuesta, aunque no se deflactaron entre los dos períodos (2008-2009 y 2017-2018), por lo que la comparación directa entre ambos se realizó recalculando el costo de la dieta observada en 2008-2009 utilizando los precios de 2017-2018. La dieta optimizada se generó mediante modelos de programación lineal, cuya función objetivo minimizaba el costo total de la dieta, expresado como la suma de la cantidad de cada alimento en el menú optimizado multiplicada por su precio por kilogramo. Se aplicaron dos conjuntos de restricciones. Las restricciones de preferencia (o de aceptabilidad) delimitaron los límites máximo y mínimo en que la cantidad de cada alimento en la dieta optimizada podía desviarse del promedio de consumo observado en cada estrato: cada alimento podía desviarse progresivamente en incrementos de 5g respecto al promedio observado hasta que el modelo encontrara una solución factible, con las desviaciones censuradas en el percentil 5 (límite inferior) y percentil 95 (límite superior) de la distribución de consumo promedio de cada alimento calculada por región del país; se aplicaron restricciones equivalentes a nivel de grupos de alimentos, y dado el bajo consumo poblacional de frutas y verduras, se relajaron las restricciones máximas de este grupo (y de los alimentos que lo componen) hasta que el modelo encontrara una solución matemática posible, llegando a flexibilizarse hasta tres veces el valor del percentil 95 de la distribución de consumo. Las restricciones nutricionales se definieron en dos modelos: el modelo 1 exigió que la dieta contuviera al menos 400g de frutas y verduras, sin otras restricciones nutricionales; el modelo 2 exigió, además de las 400g de frutas y verduras, que la dieta cumpliera con las recomendaciones para la prevención de enfermedades crónicas no transmisibles (carbohidratos 55%-75% kcal, grasas 15%-30% kcal, grasa saturada &lt;10% kcal, grasa poliinsaturada 6%-10% kcal, grasa trans &lt;1% kcal, sodio ≤2300mg, razón sodio/potasio ≤0.9, calcio ≥500mg). En ambos modelos las dietas optimizadas fueron isocalóricas respecto a las dietas observadas, y los alimentos </w:t>
      </w:r>
      <w:proofErr w:type="spellStart"/>
      <w:r w:rsidRPr="003064E1">
        <w:rPr>
          <w:rFonts w:ascii="Times New Roman" w:hAnsi="Times New Roman" w:cs="Times New Roman"/>
          <w:sz w:val="24"/>
          <w:szCs w:val="24"/>
        </w:rPr>
        <w:t>ultraprocesados</w:t>
      </w:r>
      <w:proofErr w:type="spellEnd"/>
      <w:r w:rsidRPr="003064E1">
        <w:rPr>
          <w:rFonts w:ascii="Times New Roman" w:hAnsi="Times New Roman" w:cs="Times New Roman"/>
          <w:sz w:val="24"/>
          <w:szCs w:val="24"/>
        </w:rPr>
        <w:t xml:space="preserve"> (clasificados según el sistema NOVA) se restringieron a una cantidad igual o menor a la observada. Los modelos de optimización se ejecutaron en el software SAS.</w:t>
      </w:r>
    </w:p>
    <w:p w14:paraId="07C613CE" w14:textId="77777777" w:rsidR="00F25686" w:rsidRDefault="003064E1" w:rsidP="00F25686">
      <w:pPr>
        <w:jc w:val="both"/>
        <w:rPr>
          <w:rStyle w:val="Fuerte"/>
          <w:rFonts w:ascii="Times New Roman" w:hAnsi="Times New Roman" w:cs="Times New Roman"/>
          <w:sz w:val="24"/>
          <w:szCs w:val="24"/>
        </w:rPr>
      </w:pPr>
      <w:r w:rsidRPr="003064E1">
        <w:rPr>
          <w:rStyle w:val="Fuerte"/>
          <w:rFonts w:ascii="Times New Roman" w:hAnsi="Times New Roman" w:cs="Times New Roman"/>
          <w:sz w:val="24"/>
          <w:szCs w:val="24"/>
        </w:rPr>
        <w:t>Resultados</w:t>
      </w:r>
    </w:p>
    <w:p w14:paraId="3E8C374E" w14:textId="49E1F07B" w:rsidR="00BE2669" w:rsidRPr="003064E1" w:rsidRDefault="003064E1" w:rsidP="008D646B">
      <w:pPr>
        <w:jc w:val="both"/>
        <w:rPr>
          <w:rFonts w:ascii="Times New Roman" w:eastAsia="Times New Roman" w:hAnsi="Times New Roman" w:cs="Times New Roman"/>
          <w:b/>
          <w:bCs/>
          <w:sz w:val="24"/>
          <w:szCs w:val="24"/>
        </w:rPr>
      </w:pPr>
      <w:r w:rsidRPr="003064E1">
        <w:rPr>
          <w:rFonts w:ascii="Times New Roman" w:hAnsi="Times New Roman" w:cs="Times New Roman"/>
          <w:sz w:val="24"/>
          <w:szCs w:val="24"/>
        </w:rPr>
        <w:lastRenderedPageBreak/>
        <w:t>El costo promedio estimado de la dieta observada por persona por día en Brasil fue de R$4.96 en 2008-2009 (rango de R$3.80 a R$6.13 entre los estratos de menor y mayor ingreso) y de R$9.18 en 2017-2018 (rango de R$7.53 a R$11.46). El costo optimizado del modelo 1, que solo exige la adecuación de frutas y verduras, fue de R$4.62 en 2008-2009 (rango R$3.56 a R$5.56) y de R$8.69 en 2017-2018 (rango R$7.38 a R$10.42), lo que representó en promedio una reducción de 6.85% respecto al costo observado en 2008-2009 y de 5.34% en 2017-2018. Al incluir las restricciones nutricionales adicionales del modelo 2, el costo optimizado promedio aumentó a R$5.08 en 2008-2009 (rango R$4.05 a R$6.09) y a R$9.87 en 2017-2018 (rango R$8.65 a R$11.64), lo que significó un incremento promedio de 2.42% respecto al costo observado en 2008-2009 y de 7.52% en 2017-2018; los mayores incrementos porcentuales de costo se observaron en el modelo 2 durante 2017-2018, especialmente en los estratos con ingreso per cápita de hasta un salario mínimo y en la región nordeste, donde el incremento llegó hasta 34% en algunos estratos. El costo de la dieta observada fue sistemáticamente más bajo en las regiones norte y nordeste en comparación con las regiones sur y centro-oeste, en ambos períodos. Al recalcular el costo de la dieta de 2008-2009 con los precios de 2017-2018, este habría sido de R$9.61, es decir, R$0.43 (4.7%) más caro que el costo real estimado para la dieta de 2017-2018, lo que indica que la dieta observada en el segundo período requirió menos modificaciones para volverse adecuada. Las principales modificaciones dietéticas para alcanzar la adecuación de frutas y verduras en ambos períodos fueron similares: reducción en el consumo de productos lácteos, pollo, salsas, huevos, carnes rojas, comida lista para consumo (snacks) y bebidas azucaradas, junto con un aumento en arroz y harinas. Para cumplir además con las restricciones de prevención de enfermedades crónicas del modelo 2 se requirió un incremento más sustancial en frutas y verduras, alcanzando 535g en 2008-2009 y 486g en 2017-2018, además de incrementos en tubérculos, leguminosas y productos lácteos, con reducciones en margarina, mantequilla, pastas, panes, galletas y tortas. El aumento de frutas y verduras se tradujo en incrementos de al menos 10% en fibra, vitamina A, vitamina C y folato respecto a la ingesta observada en ambos períodos; al incorporar las restricciones nutricionales del modelo 2 se observaron incrementos adicionales en vitamina E, cobre, zinc, magnesio, calcio y potasio, junto con una reducción en sodio, todos ellos nutrientes con metas explícitas en ese modelo. Los modelos solo encontraron solución matemática factible en la mayoría de los estratos después de flexibilizar hasta tres veces el percentil 95 de consumo observado para las cantidades máximas de frutas y verduras, manteniendo las restricciones en los percentiles 5 y 95 para el resto de alimentos y grupos.</w:t>
      </w:r>
    </w:p>
    <w:p w14:paraId="185C2143" w14:textId="6BE71BF6" w:rsidR="006C5189" w:rsidRDefault="004A095F" w:rsidP="006C5189">
      <w:pPr>
        <w:pStyle w:val="Prrafodelista"/>
        <w:numPr>
          <w:ilvl w:val="0"/>
          <w:numId w:val="3"/>
        </w:numPr>
        <w:jc w:val="both"/>
        <w:rPr>
          <w:rFonts w:ascii="Times New Roman" w:eastAsia="Times New Roman" w:hAnsi="Times New Roman" w:cs="Times New Roman"/>
          <w:b/>
          <w:bCs/>
          <w:sz w:val="24"/>
          <w:szCs w:val="24"/>
        </w:rPr>
      </w:pPr>
      <w:r w:rsidRPr="003064E1">
        <w:rPr>
          <w:rFonts w:ascii="Times New Roman" w:eastAsia="Times New Roman" w:hAnsi="Times New Roman" w:cs="Times New Roman"/>
          <w:b/>
          <w:bCs/>
          <w:sz w:val="24"/>
          <w:szCs w:val="24"/>
        </w:rPr>
        <w:t>FAO et al.</w:t>
      </w:r>
      <w:r w:rsidR="00C5012C" w:rsidRPr="003064E1">
        <w:rPr>
          <w:rFonts w:ascii="Times New Roman" w:eastAsia="Times New Roman" w:hAnsi="Times New Roman" w:cs="Times New Roman"/>
          <w:b/>
          <w:bCs/>
          <w:sz w:val="24"/>
          <w:szCs w:val="24"/>
        </w:rPr>
        <w:t>,</w:t>
      </w:r>
      <w:r w:rsidRPr="003064E1">
        <w:rPr>
          <w:rFonts w:ascii="Times New Roman" w:eastAsia="Times New Roman" w:hAnsi="Times New Roman" w:cs="Times New Roman"/>
          <w:b/>
          <w:bCs/>
          <w:sz w:val="24"/>
          <w:szCs w:val="24"/>
        </w:rPr>
        <w:t xml:space="preserve"> (2022)</w:t>
      </w:r>
      <w:r w:rsidR="00E737AA">
        <w:rPr>
          <w:rFonts w:ascii="Times New Roman" w:eastAsia="Times New Roman" w:hAnsi="Times New Roman" w:cs="Times New Roman"/>
          <w:b/>
          <w:bCs/>
          <w:sz w:val="24"/>
          <w:szCs w:val="24"/>
        </w:rPr>
        <w:t xml:space="preserve"> </w:t>
      </w:r>
    </w:p>
    <w:p w14:paraId="02696DA9" w14:textId="77777777" w:rsidR="006C5189" w:rsidRDefault="00E737AA" w:rsidP="006C5189">
      <w:pPr>
        <w:jc w:val="both"/>
        <w:rPr>
          <w:rFonts w:ascii="Times New Roman" w:eastAsia="Times New Roman" w:hAnsi="Times New Roman" w:cs="Times New Roman"/>
          <w:b/>
          <w:bCs/>
          <w:sz w:val="24"/>
          <w:szCs w:val="24"/>
        </w:rPr>
      </w:pPr>
      <w:r w:rsidRPr="006C5189">
        <w:rPr>
          <w:rFonts w:ascii="Times New Roman" w:eastAsia="Times New Roman" w:hAnsi="Times New Roman" w:cs="Times New Roman"/>
          <w:b/>
          <w:bCs/>
          <w:sz w:val="24"/>
          <w:szCs w:val="24"/>
        </w:rPr>
        <w:t>Objetivo</w:t>
      </w:r>
    </w:p>
    <w:p w14:paraId="773D9A70" w14:textId="77777777" w:rsidR="006C5189" w:rsidRDefault="00E737AA" w:rsidP="006C5189">
      <w:pPr>
        <w:jc w:val="both"/>
        <w:rPr>
          <w:rFonts w:ascii="Times New Roman" w:eastAsia="Times New Roman" w:hAnsi="Times New Roman" w:cs="Times New Roman"/>
          <w:b/>
          <w:bCs/>
          <w:sz w:val="24"/>
          <w:szCs w:val="24"/>
        </w:rPr>
      </w:pPr>
      <w:r w:rsidRPr="006C5189">
        <w:rPr>
          <w:rFonts w:ascii="Times New Roman" w:eastAsia="Times New Roman" w:hAnsi="Times New Roman" w:cs="Times New Roman"/>
          <w:sz w:val="24"/>
          <w:szCs w:val="24"/>
        </w:rPr>
        <w:t xml:space="preserve">Actualizar, para América Latina y el Caribe, el seguimiento de los indicadores de seguridad alimentaria y nutrición y del costo y la asequibilidad de una dieta saludable, con el fin de analizar cómo los factores socioeconómicos (nivel de ingreso, pobreza y desigualdad) y los precios de los alimentos determinan dicho costo y asequibilidad en la región, examinar la asociación entre la </w:t>
      </w:r>
      <w:proofErr w:type="spellStart"/>
      <w:r w:rsidRPr="006C5189">
        <w:rPr>
          <w:rFonts w:ascii="Times New Roman" w:eastAsia="Times New Roman" w:hAnsi="Times New Roman" w:cs="Times New Roman"/>
          <w:sz w:val="24"/>
          <w:szCs w:val="24"/>
        </w:rPr>
        <w:t>inasequibilidad</w:t>
      </w:r>
      <w:proofErr w:type="spellEnd"/>
      <w:r w:rsidRPr="006C5189">
        <w:rPr>
          <w:rFonts w:ascii="Times New Roman" w:eastAsia="Times New Roman" w:hAnsi="Times New Roman" w:cs="Times New Roman"/>
          <w:sz w:val="24"/>
          <w:szCs w:val="24"/>
        </w:rPr>
        <w:t xml:space="preserve"> de una dieta saludable y distintos indicadores de hambre y malnutrición, y revisar políticas ya implementadas orientadas a la producción, el comercio </w:t>
      </w:r>
      <w:r w:rsidRPr="006C5189">
        <w:rPr>
          <w:rFonts w:ascii="Times New Roman" w:eastAsia="Times New Roman" w:hAnsi="Times New Roman" w:cs="Times New Roman"/>
          <w:sz w:val="24"/>
          <w:szCs w:val="24"/>
        </w:rPr>
        <w:lastRenderedPageBreak/>
        <w:t>y el consumo que puedan mejorar la asequibilidad de las dietas saludables para la población de la región.</w:t>
      </w:r>
    </w:p>
    <w:p w14:paraId="15A6214F" w14:textId="77777777" w:rsidR="006C5189" w:rsidRDefault="00E737AA" w:rsidP="006C5189">
      <w:pPr>
        <w:jc w:val="both"/>
        <w:rPr>
          <w:rFonts w:ascii="Times New Roman" w:eastAsia="Times New Roman" w:hAnsi="Times New Roman" w:cs="Times New Roman"/>
          <w:b/>
          <w:bCs/>
          <w:sz w:val="24"/>
          <w:szCs w:val="24"/>
        </w:rPr>
      </w:pPr>
      <w:r w:rsidRPr="006C5189">
        <w:rPr>
          <w:rFonts w:ascii="Times New Roman" w:eastAsia="Times New Roman" w:hAnsi="Times New Roman" w:cs="Times New Roman"/>
          <w:b/>
          <w:bCs/>
          <w:sz w:val="24"/>
          <w:szCs w:val="24"/>
        </w:rPr>
        <w:t>Metodología</w:t>
      </w:r>
    </w:p>
    <w:p w14:paraId="12D1E069" w14:textId="77777777" w:rsidR="006C5189" w:rsidRDefault="00E737AA" w:rsidP="006C5189">
      <w:pPr>
        <w:jc w:val="both"/>
        <w:rPr>
          <w:rFonts w:ascii="Times New Roman" w:eastAsia="Times New Roman" w:hAnsi="Times New Roman" w:cs="Times New Roman"/>
          <w:b/>
          <w:bCs/>
          <w:sz w:val="24"/>
          <w:szCs w:val="24"/>
        </w:rPr>
      </w:pPr>
      <w:r w:rsidRPr="006C5189">
        <w:rPr>
          <w:rFonts w:ascii="Times New Roman" w:eastAsia="Times New Roman" w:hAnsi="Times New Roman" w:cs="Times New Roman"/>
          <w:sz w:val="24"/>
          <w:szCs w:val="24"/>
        </w:rPr>
        <w:t xml:space="preserve">El reporte retoma y actualiza el indicador de costo y asequibilidad de una dieta saludable desarrollado por FAO desde El Estado de la Seguridad Alimentaria y la Nutrición en el Mundo (SOFI) 2020, dentro de un marco que distingue tres dietas de referencia de calidad creciente: una dieta suficiente en energía, que aporta las calorías diarias adecuadas respecto a las necesidades energéticas (fijadas en 2 330 kcal/día) y que ya no se sigue calculando por FAO, usada aquí solo como referencia comparativa; una dieta con adecuación de nutrientes, que además de las calorías adecuadas aporta cantidades suficientes de nutrientes esenciales en una mezcla balanceada de carbohidratos, proteínas, grasas y vitaminas y minerales esenciales, con ingestas de macronutrientes dentro del Rango Aceptable de Distribución de Macronutrientes (AMDR) fijado por el </w:t>
      </w:r>
      <w:proofErr w:type="spellStart"/>
      <w:r w:rsidRPr="006C5189">
        <w:rPr>
          <w:rFonts w:ascii="Times New Roman" w:eastAsia="Times New Roman" w:hAnsi="Times New Roman" w:cs="Times New Roman"/>
          <w:sz w:val="24"/>
          <w:szCs w:val="24"/>
        </w:rPr>
        <w:t>Institute</w:t>
      </w:r>
      <w:proofErr w:type="spellEnd"/>
      <w:r w:rsidRPr="006C5189">
        <w:rPr>
          <w:rFonts w:ascii="Times New Roman" w:eastAsia="Times New Roman" w:hAnsi="Times New Roman" w:cs="Times New Roman"/>
          <w:sz w:val="24"/>
          <w:szCs w:val="24"/>
        </w:rPr>
        <w:t xml:space="preserve"> </w:t>
      </w:r>
      <w:proofErr w:type="spellStart"/>
      <w:r w:rsidRPr="006C5189">
        <w:rPr>
          <w:rFonts w:ascii="Times New Roman" w:eastAsia="Times New Roman" w:hAnsi="Times New Roman" w:cs="Times New Roman"/>
          <w:sz w:val="24"/>
          <w:szCs w:val="24"/>
        </w:rPr>
        <w:t>of</w:t>
      </w:r>
      <w:proofErr w:type="spellEnd"/>
      <w:r w:rsidRPr="006C5189">
        <w:rPr>
          <w:rFonts w:ascii="Times New Roman" w:eastAsia="Times New Roman" w:hAnsi="Times New Roman" w:cs="Times New Roman"/>
          <w:sz w:val="24"/>
          <w:szCs w:val="24"/>
        </w:rPr>
        <w:t xml:space="preserve"> Medicine (IOM); y la dieta saludable propiamente dicha, que aporta calorías y nutrientes adecuados pero además incluye alimentos más diversificados de varios grupos alimentarios, siguiendo las guías alimentarias basadas en alimentos (FBDG) de cada país. El costo de la dieta saludable se define como el costo de los alimentos disponibles localmente más baratos que permiten cumplir tanto el requerimiento energético de 2 330 kcal/día como los requerimientos de nutrientes establecidos por las guías alimentarias nacionales, y se calcula en dólares de paridad de poder adquisitivo (PPA) por persona por día, lo que implica que se trata de un costo expresado en términos reales y comparables entre países, no de un valor nominal en moneda local ni en tipo de cambio de mercado. Para determinar la asequibilidad, medida como el porcentaje y el número de personas que no pueden costear la dieta saludable, este costo se compara con las distribuciones de ingreso específicas de cada país; una dieta saludable se considera inasequible cuando su costo supera el 52% del ingreso de la persona, umbral que representa la proporción de ingreso que puede reservarse de manera creíble para alimentación, con base en observaciones de que la población de los países de bajos ingresos destina, en promedio, el 52% de su ingreso a alimentos, según datos de gasto de las cuentas nacionales del Programa de Comparación Internacional (ICP) de 2017. Para analizar los determinantes del costo, el informe descompone la dieta saludable en seis grupos de alimentos (alimentos de origen animal, verduras, frutas, almidones/alimentos básicos, legumbres/frutos secos y semillas, y grasas) y examina, con datos de 2017 (los más recientes disponibles para el costo por grupo de alimentos, publicados en FAOSTAT bajo el indicador Cost and </w:t>
      </w:r>
      <w:proofErr w:type="spellStart"/>
      <w:r w:rsidRPr="006C5189">
        <w:rPr>
          <w:rFonts w:ascii="Times New Roman" w:eastAsia="Times New Roman" w:hAnsi="Times New Roman" w:cs="Times New Roman"/>
          <w:sz w:val="24"/>
          <w:szCs w:val="24"/>
        </w:rPr>
        <w:t>Affordability</w:t>
      </w:r>
      <w:proofErr w:type="spellEnd"/>
      <w:r w:rsidRPr="006C5189">
        <w:rPr>
          <w:rFonts w:ascii="Times New Roman" w:eastAsia="Times New Roman" w:hAnsi="Times New Roman" w:cs="Times New Roman"/>
          <w:sz w:val="24"/>
          <w:szCs w:val="24"/>
        </w:rPr>
        <w:t xml:space="preserve"> </w:t>
      </w:r>
      <w:proofErr w:type="spellStart"/>
      <w:r w:rsidRPr="006C5189">
        <w:rPr>
          <w:rFonts w:ascii="Times New Roman" w:eastAsia="Times New Roman" w:hAnsi="Times New Roman" w:cs="Times New Roman"/>
          <w:sz w:val="24"/>
          <w:szCs w:val="24"/>
        </w:rPr>
        <w:t>of</w:t>
      </w:r>
      <w:proofErr w:type="spellEnd"/>
      <w:r w:rsidRPr="006C5189">
        <w:rPr>
          <w:rFonts w:ascii="Times New Roman" w:eastAsia="Times New Roman" w:hAnsi="Times New Roman" w:cs="Times New Roman"/>
          <w:sz w:val="24"/>
          <w:szCs w:val="24"/>
        </w:rPr>
        <w:t xml:space="preserve"> a </w:t>
      </w:r>
      <w:proofErr w:type="spellStart"/>
      <w:r w:rsidRPr="006C5189">
        <w:rPr>
          <w:rFonts w:ascii="Times New Roman" w:eastAsia="Times New Roman" w:hAnsi="Times New Roman" w:cs="Times New Roman"/>
          <w:sz w:val="24"/>
          <w:szCs w:val="24"/>
        </w:rPr>
        <w:t>Healthy</w:t>
      </w:r>
      <w:proofErr w:type="spellEnd"/>
      <w:r w:rsidRPr="006C5189">
        <w:rPr>
          <w:rFonts w:ascii="Times New Roman" w:eastAsia="Times New Roman" w:hAnsi="Times New Roman" w:cs="Times New Roman"/>
          <w:sz w:val="24"/>
          <w:szCs w:val="24"/>
        </w:rPr>
        <w:t xml:space="preserve"> Diet, </w:t>
      </w:r>
      <w:proofErr w:type="spellStart"/>
      <w:r w:rsidRPr="006C5189">
        <w:rPr>
          <w:rFonts w:ascii="Times New Roman" w:eastAsia="Times New Roman" w:hAnsi="Times New Roman" w:cs="Times New Roman"/>
          <w:sz w:val="24"/>
          <w:szCs w:val="24"/>
        </w:rPr>
        <w:t>CoAHD</w:t>
      </w:r>
      <w:proofErr w:type="spellEnd"/>
      <w:r w:rsidRPr="006C5189">
        <w:rPr>
          <w:rFonts w:ascii="Times New Roman" w:eastAsia="Times New Roman" w:hAnsi="Times New Roman" w:cs="Times New Roman"/>
          <w:sz w:val="24"/>
          <w:szCs w:val="24"/>
        </w:rPr>
        <w:t xml:space="preserve">), la contribución porcentual y en dólares de cada grupo al costo total de la dieta, tanto por subregión como por nivel de ingreso de los países. Adicionalmente, el capítulo 5 presenta un análisis de regresión simple, con todas las variables expresadas en logaritmos, entre el nivel de </w:t>
      </w:r>
      <w:proofErr w:type="spellStart"/>
      <w:r w:rsidRPr="006C5189">
        <w:rPr>
          <w:rFonts w:ascii="Times New Roman" w:eastAsia="Times New Roman" w:hAnsi="Times New Roman" w:cs="Times New Roman"/>
          <w:sz w:val="24"/>
          <w:szCs w:val="24"/>
        </w:rPr>
        <w:t>inasequibilidad</w:t>
      </w:r>
      <w:proofErr w:type="spellEnd"/>
      <w:r w:rsidRPr="006C5189">
        <w:rPr>
          <w:rFonts w:ascii="Times New Roman" w:eastAsia="Times New Roman" w:hAnsi="Times New Roman" w:cs="Times New Roman"/>
          <w:sz w:val="24"/>
          <w:szCs w:val="24"/>
        </w:rPr>
        <w:t xml:space="preserve"> de una dieta saludable en 2020 (expresado como porcentaje del gasto medio en alimentos del país) y cinco indicadores de malnutrición a nivel mundial: la prevalencia de subalimentación (promedio trienal 2019-2021), la prevalencia de retraso en el crecimiento (talla para la edad) en menores de 5 años (2020), la prevalencia de anemia en mujeres de 15 a 49 años (2019), la prevalencia de sobrepeso en menores de 5 años (2020) y la prevalencia de obesidad en adultos (2016), ajustando una curva cuadrática para </w:t>
      </w:r>
      <w:r w:rsidRPr="006C5189">
        <w:rPr>
          <w:rFonts w:ascii="Times New Roman" w:eastAsia="Times New Roman" w:hAnsi="Times New Roman" w:cs="Times New Roman"/>
          <w:sz w:val="24"/>
          <w:szCs w:val="24"/>
        </w:rPr>
        <w:lastRenderedPageBreak/>
        <w:t xml:space="preserve">los tres primeros indicadores y una curva lineal para los dos últimos, con los países de América Latina y el Caribe diferenciados por color dentro del gráfico global. Las fuentes de datos incluyen FAOSTAT (índices de precios al consumidor, indicadores de seguridad alimentaria y el propio indicador </w:t>
      </w:r>
      <w:proofErr w:type="spellStart"/>
      <w:r w:rsidRPr="006C5189">
        <w:rPr>
          <w:rFonts w:ascii="Times New Roman" w:eastAsia="Times New Roman" w:hAnsi="Times New Roman" w:cs="Times New Roman"/>
          <w:sz w:val="24"/>
          <w:szCs w:val="24"/>
        </w:rPr>
        <w:t>CoAHD</w:t>
      </w:r>
      <w:proofErr w:type="spellEnd"/>
      <w:r w:rsidRPr="006C5189">
        <w:rPr>
          <w:rFonts w:ascii="Times New Roman" w:eastAsia="Times New Roman" w:hAnsi="Times New Roman" w:cs="Times New Roman"/>
          <w:sz w:val="24"/>
          <w:szCs w:val="24"/>
        </w:rPr>
        <w:t>), UNICEF/OMS/Banco Mundial (estimaciones conjuntas de malnutrición infantil), la OMS (anemia y obesidad), y bancos centrales e institutos de estadística nacionales para los datos de inflación de alimentos por quintil de ingreso en un subconjunto de nueve países de la región.</w:t>
      </w:r>
    </w:p>
    <w:p w14:paraId="54E423A6" w14:textId="77777777" w:rsidR="006C5189" w:rsidRDefault="00E737AA" w:rsidP="006C5189">
      <w:pPr>
        <w:jc w:val="both"/>
        <w:rPr>
          <w:rFonts w:ascii="Times New Roman" w:eastAsia="Times New Roman" w:hAnsi="Times New Roman" w:cs="Times New Roman"/>
          <w:b/>
          <w:bCs/>
          <w:sz w:val="24"/>
          <w:szCs w:val="24"/>
        </w:rPr>
      </w:pPr>
      <w:r w:rsidRPr="006C5189">
        <w:rPr>
          <w:rFonts w:ascii="Times New Roman" w:eastAsia="Times New Roman" w:hAnsi="Times New Roman" w:cs="Times New Roman"/>
          <w:b/>
          <w:bCs/>
          <w:sz w:val="24"/>
          <w:szCs w:val="24"/>
        </w:rPr>
        <w:t>Resultados</w:t>
      </w:r>
    </w:p>
    <w:p w14:paraId="5ECB94D2" w14:textId="77777777" w:rsidR="006C5189" w:rsidRDefault="00E737AA" w:rsidP="006C5189">
      <w:pPr>
        <w:jc w:val="both"/>
        <w:rPr>
          <w:rFonts w:ascii="Times New Roman" w:eastAsia="Times New Roman" w:hAnsi="Times New Roman" w:cs="Times New Roman"/>
          <w:b/>
          <w:bCs/>
          <w:sz w:val="24"/>
          <w:szCs w:val="24"/>
        </w:rPr>
      </w:pPr>
      <w:r w:rsidRPr="006C5189">
        <w:rPr>
          <w:rFonts w:ascii="Times New Roman" w:eastAsia="Times New Roman" w:hAnsi="Times New Roman" w:cs="Times New Roman"/>
          <w:sz w:val="24"/>
          <w:szCs w:val="24"/>
        </w:rPr>
        <w:t xml:space="preserve">En 2020, el costo promedio mundial de una dieta saludable fue de 3.54 dólares PPA por persona por día, un 3.3% más que en 2019 y un 6.7% más que en 2017; América Latina y el Caribe presentó el costo más alto entre todas las regiones del mundo, con 3.89 dólares por persona por día, por encima de Asia (3.46), Norteamérica y Europa (3.19) y Oceanía (3.07). Entre 2019 y 2020, el costo de la dieta saludable en la región aumentó 3.4%, con el mayor incremento en el Caribe (4.1%), seguido de Sudamérica (2.7%) y Mesoamérica (2.1%); a nivel subregional, el costo promedio alcanzó 4.23 dólares en el Caribe, 3.61 en Sudamérica y 3.47 en Mesoamérica, explicándose el mayor costo caribeño en parte por la alta dependencia histórica de importaciones de alimentos de esos países. Como resultado, en 2020, 131 millones de personas en la región no podían costear una dieta saludable (22.5% de la población), 8 millones más que en 2019; esta </w:t>
      </w:r>
      <w:proofErr w:type="spellStart"/>
      <w:r w:rsidRPr="006C5189">
        <w:rPr>
          <w:rFonts w:ascii="Times New Roman" w:eastAsia="Times New Roman" w:hAnsi="Times New Roman" w:cs="Times New Roman"/>
          <w:sz w:val="24"/>
          <w:szCs w:val="24"/>
        </w:rPr>
        <w:t>inasequibilidad</w:t>
      </w:r>
      <w:proofErr w:type="spellEnd"/>
      <w:r w:rsidRPr="006C5189">
        <w:rPr>
          <w:rFonts w:ascii="Times New Roman" w:eastAsia="Times New Roman" w:hAnsi="Times New Roman" w:cs="Times New Roman"/>
          <w:sz w:val="24"/>
          <w:szCs w:val="24"/>
        </w:rPr>
        <w:t xml:space="preserve"> afectó a más de la mitad de la población del Caribe (52%), 27.8% en Mesoamérica y 18.4% en Sudamérica, con casos extremos como Haití (85.9%) y Jamaica (66.2%) en el Caribe, Honduras (51.3%) en Mesoamérica, y Surinam (58.8%) y Guyana (43%) en Sudamérica, frente a menos del 4% en Chile y Uruguay. Respecto a la composición del costo por grupos de alimentos (datos de 2017), los alimentos de origen animal y las verduras fueron los grupos que más contribuyeron al costo de la dieta saludable en las tres subregiones, siendo el grupo de mayor peso en Sudamérica los alimentos de origen animal y en el Caribe y Mesoamérica las verduras; las grasas fueron el grupo con menor contribución al costo, especialmente en Sudamérica. Por nivel de ingreso de país, el costo de las frutas mostró la mayor variabilidad relativa: en países de ingreso alto representó en promedio 0.69 dólares (20% del costo total), frente a 0.38 dólares (10% del costo) en países de bajos ingresos, mientras que el patrón se invirtió para los alimentos de origen animal, cuyo costo promedio fue de 1.58 dólares (40% del costo total) en países de bajos ingresos frente a 0.77 dólares (22%) en países de ingreso alto.</w:t>
      </w:r>
    </w:p>
    <w:p w14:paraId="139E9EF7" w14:textId="002A8239" w:rsidR="004114DC" w:rsidRPr="006C5189" w:rsidRDefault="00E737AA" w:rsidP="006C5189">
      <w:pPr>
        <w:jc w:val="both"/>
        <w:rPr>
          <w:rFonts w:ascii="Times New Roman" w:eastAsia="Times New Roman" w:hAnsi="Times New Roman" w:cs="Times New Roman"/>
          <w:b/>
          <w:bCs/>
          <w:sz w:val="24"/>
          <w:szCs w:val="24"/>
        </w:rPr>
      </w:pPr>
      <w:r w:rsidRPr="006C5189">
        <w:rPr>
          <w:rFonts w:ascii="Times New Roman" w:eastAsia="Times New Roman" w:hAnsi="Times New Roman" w:cs="Times New Roman"/>
          <w:sz w:val="24"/>
          <w:szCs w:val="24"/>
        </w:rPr>
        <w:t xml:space="preserve">El análisis de correlación mostró que la </w:t>
      </w:r>
      <w:proofErr w:type="spellStart"/>
      <w:r w:rsidRPr="006C5189">
        <w:rPr>
          <w:rFonts w:ascii="Times New Roman" w:eastAsia="Times New Roman" w:hAnsi="Times New Roman" w:cs="Times New Roman"/>
          <w:sz w:val="24"/>
          <w:szCs w:val="24"/>
        </w:rPr>
        <w:t>inasequibilidad</w:t>
      </w:r>
      <w:proofErr w:type="spellEnd"/>
      <w:r w:rsidRPr="006C5189">
        <w:rPr>
          <w:rFonts w:ascii="Times New Roman" w:eastAsia="Times New Roman" w:hAnsi="Times New Roman" w:cs="Times New Roman"/>
          <w:sz w:val="24"/>
          <w:szCs w:val="24"/>
        </w:rPr>
        <w:t xml:space="preserve"> de una dieta saludable está asociada con el nivel de ingreso del país, la incidencia de pobreza y, en cierta medida, el nivel de desigualdad de ingresos, siendo los países más pobres y más desiguales los que presentan mayores niveles de </w:t>
      </w:r>
      <w:proofErr w:type="spellStart"/>
      <w:r w:rsidRPr="006C5189">
        <w:rPr>
          <w:rFonts w:ascii="Times New Roman" w:eastAsia="Times New Roman" w:hAnsi="Times New Roman" w:cs="Times New Roman"/>
          <w:sz w:val="24"/>
          <w:szCs w:val="24"/>
        </w:rPr>
        <w:t>inasequibilidad</w:t>
      </w:r>
      <w:proofErr w:type="spellEnd"/>
      <w:r w:rsidRPr="006C5189">
        <w:rPr>
          <w:rFonts w:ascii="Times New Roman" w:eastAsia="Times New Roman" w:hAnsi="Times New Roman" w:cs="Times New Roman"/>
          <w:sz w:val="24"/>
          <w:szCs w:val="24"/>
        </w:rPr>
        <w:t xml:space="preserve">; asimismo, se encontró una asociación positiva entre la </w:t>
      </w:r>
      <w:proofErr w:type="spellStart"/>
      <w:r w:rsidRPr="006C5189">
        <w:rPr>
          <w:rFonts w:ascii="Times New Roman" w:eastAsia="Times New Roman" w:hAnsi="Times New Roman" w:cs="Times New Roman"/>
          <w:sz w:val="24"/>
          <w:szCs w:val="24"/>
        </w:rPr>
        <w:t>inasequibilidad</w:t>
      </w:r>
      <w:proofErr w:type="spellEnd"/>
      <w:r w:rsidRPr="006C5189">
        <w:rPr>
          <w:rFonts w:ascii="Times New Roman" w:eastAsia="Times New Roman" w:hAnsi="Times New Roman" w:cs="Times New Roman"/>
          <w:sz w:val="24"/>
          <w:szCs w:val="24"/>
        </w:rPr>
        <w:t xml:space="preserve"> de la dieta saludable y la prevalencia de subalimentación, el retraso en el crecimiento en menores de 5 años y la anemia en mujeres de 15 a 49 años, mientras que la asociación con el sobrepeso infantil y la obesidad adulta resultó inversa, patrón atribuido a la "transición de la obesidad" asociada al desarrollo económico. El informe documenta explícitamente que la mayor carga del reciente incremento en los precios de los alimentos recae sobre poblaciones vulnerables como los pueblos indígenas, los habitantes de zonas </w:t>
      </w:r>
      <w:r w:rsidRPr="006C5189">
        <w:rPr>
          <w:rFonts w:ascii="Times New Roman" w:eastAsia="Times New Roman" w:hAnsi="Times New Roman" w:cs="Times New Roman"/>
          <w:sz w:val="24"/>
          <w:szCs w:val="24"/>
        </w:rPr>
        <w:lastRenderedPageBreak/>
        <w:t>rurales y las mujeres, y que la alta inflación alimentaria afecta desproporcionadamente a los hogares de menores ingresos: en los nueve países analizados para el periodo 2013-2020, los hogares de menor quintil de ingreso destinaron entre 22% (Brasil) y 49% (México) de su presupuesto a alimentos, frente a menos del 18% en los quintiles de mayor ingreso en ocho de los nueve países. El documento señala además que América Latina y el Caribe es la región con el mayor nivel promedio de desigualdad de ingresos del mundo (índice de Gini promedio de 45.97%, frente a 42% en África subsahariana y menos de 40% en el resto de regiones), y que las causas estructurales de la inseguridad alimentaria y la malnutrición, como la pobreza y la desigualdad, combinadas con la inflación alimentaria, limitan la capacidad de las personas para acceder a alimentos nutritivos suficientes, generando condiciones que profundizan el impacto de choques externos como la pandemia de COVID-19.</w:t>
      </w:r>
    </w:p>
    <w:p w14:paraId="5A714057" w14:textId="77777777" w:rsidR="00CB4805" w:rsidRDefault="004A095F" w:rsidP="00CB4805">
      <w:pPr>
        <w:pStyle w:val="Prrafodelista"/>
        <w:numPr>
          <w:ilvl w:val="0"/>
          <w:numId w:val="3"/>
        </w:numPr>
        <w:jc w:val="both"/>
        <w:rPr>
          <w:rFonts w:ascii="Times New Roman" w:eastAsia="Times New Roman" w:hAnsi="Times New Roman" w:cs="Times New Roman"/>
          <w:b/>
          <w:bCs/>
          <w:sz w:val="24"/>
          <w:szCs w:val="24"/>
        </w:rPr>
      </w:pPr>
      <w:r w:rsidRPr="003064E1">
        <w:rPr>
          <w:rFonts w:ascii="Times New Roman" w:eastAsia="Times New Roman" w:hAnsi="Times New Roman" w:cs="Times New Roman"/>
          <w:b/>
          <w:bCs/>
          <w:sz w:val="24"/>
          <w:szCs w:val="24"/>
        </w:rPr>
        <w:t>Rosero Moncayo et al.</w:t>
      </w:r>
      <w:r w:rsidR="00C5012C" w:rsidRPr="003064E1">
        <w:rPr>
          <w:rFonts w:ascii="Times New Roman" w:eastAsia="Times New Roman" w:hAnsi="Times New Roman" w:cs="Times New Roman"/>
          <w:b/>
          <w:bCs/>
          <w:sz w:val="24"/>
          <w:szCs w:val="24"/>
        </w:rPr>
        <w:t>,</w:t>
      </w:r>
      <w:r w:rsidRPr="003064E1">
        <w:rPr>
          <w:rFonts w:ascii="Times New Roman" w:eastAsia="Times New Roman" w:hAnsi="Times New Roman" w:cs="Times New Roman"/>
          <w:b/>
          <w:bCs/>
          <w:sz w:val="24"/>
          <w:szCs w:val="24"/>
        </w:rPr>
        <w:t xml:space="preserve"> (2023)</w:t>
      </w:r>
    </w:p>
    <w:p w14:paraId="47AB6BAC" w14:textId="77777777" w:rsidR="00CB4805" w:rsidRPr="00CB4805" w:rsidRDefault="00CB4805" w:rsidP="00CB4805">
      <w:pPr>
        <w:jc w:val="both"/>
        <w:rPr>
          <w:rFonts w:ascii="Times New Roman" w:eastAsia="Times New Roman" w:hAnsi="Times New Roman" w:cs="Times New Roman"/>
          <w:b/>
          <w:bCs/>
          <w:sz w:val="24"/>
          <w:szCs w:val="24"/>
        </w:rPr>
      </w:pPr>
      <w:r w:rsidRPr="00CB4805">
        <w:rPr>
          <w:rFonts w:ascii="Times New Roman" w:eastAsia="Times New Roman" w:hAnsi="Times New Roman" w:cs="Times New Roman"/>
          <w:b/>
          <w:bCs/>
          <w:sz w:val="24"/>
          <w:szCs w:val="24"/>
        </w:rPr>
        <w:t>Objetivo</w:t>
      </w:r>
    </w:p>
    <w:p w14:paraId="3A835C18" w14:textId="77777777" w:rsidR="00CB4805" w:rsidRPr="00CB4805" w:rsidRDefault="00CB4805" w:rsidP="00CB4805">
      <w:pPr>
        <w:jc w:val="both"/>
        <w:rPr>
          <w:rFonts w:ascii="Times New Roman" w:eastAsia="Times New Roman" w:hAnsi="Times New Roman" w:cs="Times New Roman"/>
          <w:b/>
          <w:bCs/>
          <w:sz w:val="24"/>
          <w:szCs w:val="24"/>
        </w:rPr>
      </w:pPr>
      <w:r w:rsidRPr="00CB4805">
        <w:rPr>
          <w:rFonts w:ascii="Times New Roman" w:eastAsia="Times New Roman" w:hAnsi="Times New Roman" w:cs="Times New Roman"/>
          <w:sz w:val="24"/>
          <w:szCs w:val="24"/>
        </w:rPr>
        <w:t>Actualizar y difundir conjuntamente, por parte de la Organización de las Naciones Unidas para la Alimentación y la Agricultura (FAO) y el Banco Mundial, los indicadores del Costo de una Dieta Saludable (</w:t>
      </w:r>
      <w:proofErr w:type="spellStart"/>
      <w:r w:rsidRPr="00CB4805">
        <w:rPr>
          <w:rFonts w:ascii="Times New Roman" w:eastAsia="Times New Roman" w:hAnsi="Times New Roman" w:cs="Times New Roman"/>
          <w:sz w:val="24"/>
          <w:szCs w:val="24"/>
        </w:rPr>
        <w:t>CoHD</w:t>
      </w:r>
      <w:proofErr w:type="spellEnd"/>
      <w:r w:rsidRPr="00CB4805">
        <w:rPr>
          <w:rFonts w:ascii="Times New Roman" w:eastAsia="Times New Roman" w:hAnsi="Times New Roman" w:cs="Times New Roman"/>
          <w:sz w:val="24"/>
          <w:szCs w:val="24"/>
        </w:rPr>
        <w:t xml:space="preserve">, por sus siglas en inglés), la Prevalencia de la </w:t>
      </w:r>
      <w:proofErr w:type="spellStart"/>
      <w:r w:rsidRPr="00CB4805">
        <w:rPr>
          <w:rFonts w:ascii="Times New Roman" w:eastAsia="Times New Roman" w:hAnsi="Times New Roman" w:cs="Times New Roman"/>
          <w:sz w:val="24"/>
          <w:szCs w:val="24"/>
        </w:rPr>
        <w:t>Inasequibilidad</w:t>
      </w:r>
      <w:proofErr w:type="spellEnd"/>
      <w:r w:rsidRPr="00CB4805">
        <w:rPr>
          <w:rFonts w:ascii="Times New Roman" w:eastAsia="Times New Roman" w:hAnsi="Times New Roman" w:cs="Times New Roman"/>
          <w:sz w:val="24"/>
          <w:szCs w:val="24"/>
        </w:rPr>
        <w:t xml:space="preserve"> (PUA) y el Número de personas que no pueden costear una dieta saludable (NUA), con el fin de dar seguimiento a la recuperación posterior a la pandemia de COVID-19 en materia de acceso económico a dietas saludables a nivel mundial, regional y por grupo de ingreso de los países, en el marco del informe insignia de las Naciones Unidas El Estado de la Seguridad Alimentaria y la Nutrición en el Mundo (SOFI) 2024, que monitorea el progreso hacia el fin del hambre y la malnutrición conforme al Objetivo de Desarrollo Sostenible 2.</w:t>
      </w:r>
    </w:p>
    <w:p w14:paraId="00EBA706" w14:textId="77777777" w:rsidR="00CB4805" w:rsidRPr="00CB4805" w:rsidRDefault="00CB4805" w:rsidP="00CB4805">
      <w:pPr>
        <w:jc w:val="both"/>
        <w:rPr>
          <w:rFonts w:ascii="Times New Roman" w:eastAsia="Times New Roman" w:hAnsi="Times New Roman" w:cs="Times New Roman"/>
          <w:b/>
          <w:bCs/>
          <w:sz w:val="24"/>
          <w:szCs w:val="24"/>
        </w:rPr>
      </w:pPr>
      <w:r w:rsidRPr="00CB4805">
        <w:rPr>
          <w:rFonts w:ascii="Times New Roman" w:eastAsia="Times New Roman" w:hAnsi="Times New Roman" w:cs="Times New Roman"/>
          <w:b/>
          <w:bCs/>
          <w:sz w:val="24"/>
          <w:szCs w:val="24"/>
        </w:rPr>
        <w:t>Metodología</w:t>
      </w:r>
    </w:p>
    <w:p w14:paraId="6B770934" w14:textId="77777777" w:rsidR="00CB4805" w:rsidRDefault="00CB4805" w:rsidP="00CB4805">
      <w:pPr>
        <w:jc w:val="both"/>
        <w:rPr>
          <w:rFonts w:ascii="Times New Roman" w:eastAsia="Times New Roman" w:hAnsi="Times New Roman" w:cs="Times New Roman"/>
          <w:b/>
          <w:bCs/>
          <w:sz w:val="24"/>
          <w:szCs w:val="24"/>
        </w:rPr>
      </w:pPr>
      <w:r w:rsidRPr="00CB4805">
        <w:rPr>
          <w:rFonts w:ascii="Times New Roman" w:eastAsia="Times New Roman" w:hAnsi="Times New Roman" w:cs="Times New Roman"/>
          <w:sz w:val="24"/>
          <w:szCs w:val="24"/>
        </w:rPr>
        <w:t>Una dieta saludable se define como aquella que cumple con los requerimientos de energía y con las guías alimentarias basadas en alimentos de cada país. El costo de esta dieta (</w:t>
      </w:r>
      <w:proofErr w:type="spellStart"/>
      <w:r w:rsidRPr="00CB4805">
        <w:rPr>
          <w:rFonts w:ascii="Times New Roman" w:eastAsia="Times New Roman" w:hAnsi="Times New Roman" w:cs="Times New Roman"/>
          <w:sz w:val="24"/>
          <w:szCs w:val="24"/>
        </w:rPr>
        <w:t>CoHD</w:t>
      </w:r>
      <w:proofErr w:type="spellEnd"/>
      <w:r w:rsidRPr="00CB4805">
        <w:rPr>
          <w:rFonts w:ascii="Times New Roman" w:eastAsia="Times New Roman" w:hAnsi="Times New Roman" w:cs="Times New Roman"/>
          <w:sz w:val="24"/>
          <w:szCs w:val="24"/>
        </w:rPr>
        <w:t xml:space="preserve">) se estima utilizando los alimentos localmente disponibles de menor costo que permiten cumplir dichos requerimientos, y se expresa en dólares convertidos mediante paridades de poder adquisitivo (PPP) corrientes derivadas del Programa de Comparación Internacional (ICP) del Banco Mundial; el texto no especifica un proceso de </w:t>
      </w:r>
      <w:proofErr w:type="spellStart"/>
      <w:r w:rsidRPr="00CB4805">
        <w:rPr>
          <w:rFonts w:ascii="Times New Roman" w:eastAsia="Times New Roman" w:hAnsi="Times New Roman" w:cs="Times New Roman"/>
          <w:sz w:val="24"/>
          <w:szCs w:val="24"/>
        </w:rPr>
        <w:t>deflactación</w:t>
      </w:r>
      <w:proofErr w:type="spellEnd"/>
      <w:r w:rsidRPr="00CB4805">
        <w:rPr>
          <w:rFonts w:ascii="Times New Roman" w:eastAsia="Times New Roman" w:hAnsi="Times New Roman" w:cs="Times New Roman"/>
          <w:sz w:val="24"/>
          <w:szCs w:val="24"/>
        </w:rPr>
        <w:t xml:space="preserve"> adicional sobre estos valores, por lo que corresponden a costos en dólares PPP corrientes para cada año de referencia entre 2017 y 2022. La Prevalencia de la </w:t>
      </w:r>
      <w:proofErr w:type="spellStart"/>
      <w:r w:rsidRPr="00CB4805">
        <w:rPr>
          <w:rFonts w:ascii="Times New Roman" w:eastAsia="Times New Roman" w:hAnsi="Times New Roman" w:cs="Times New Roman"/>
          <w:sz w:val="24"/>
          <w:szCs w:val="24"/>
        </w:rPr>
        <w:t>Inasequibilidad</w:t>
      </w:r>
      <w:proofErr w:type="spellEnd"/>
      <w:r w:rsidRPr="00CB4805">
        <w:rPr>
          <w:rFonts w:ascii="Times New Roman" w:eastAsia="Times New Roman" w:hAnsi="Times New Roman" w:cs="Times New Roman"/>
          <w:sz w:val="24"/>
          <w:szCs w:val="24"/>
        </w:rPr>
        <w:t xml:space="preserve"> (PUA), es decir, la proporción de la población que no puede costear dicha dieta, se calcula considerando no solo el costo de la dieta saludable, sino también los gastos esenciales no alimentarios de los consumidores de bajos ingresos, identificados como proporciones de las líneas internacionales de pobreza. El Número de personas sin acceso económico a la dieta (NUA) se obtiene aplicando esa prevalencia a la población total de cada país o grupo de países.</w:t>
      </w:r>
      <w:r>
        <w:rPr>
          <w:rFonts w:ascii="Times New Roman" w:eastAsia="Times New Roman" w:hAnsi="Times New Roman" w:cs="Times New Roman"/>
          <w:b/>
          <w:bCs/>
          <w:sz w:val="24"/>
          <w:szCs w:val="24"/>
        </w:rPr>
        <w:t xml:space="preserve"> </w:t>
      </w:r>
      <w:r w:rsidRPr="00CB4805">
        <w:rPr>
          <w:rFonts w:ascii="Times New Roman" w:eastAsia="Times New Roman" w:hAnsi="Times New Roman" w:cs="Times New Roman"/>
          <w:sz w:val="24"/>
          <w:szCs w:val="24"/>
        </w:rPr>
        <w:t xml:space="preserve">En 2024 la serie completa de estos indicadores fue revisada mediante tres actualizaciones metodológicas principales. En primer lugar, se incorporaron nuevos datos de precios de alimentos: el indicador de costo de la dieta saludable para el período 2017 a 2022 fue recalculado usando los precios minoristas globales de 2021 provenientes del ciclo más reciente del ICP, en reemplazo de los datos de 2017 utilizados en ediciones previas, lo que además incorporó información de precios de nuevos alimentos nutritivos disponibles </w:t>
      </w:r>
      <w:r w:rsidRPr="00CB4805">
        <w:rPr>
          <w:rFonts w:ascii="Times New Roman" w:eastAsia="Times New Roman" w:hAnsi="Times New Roman" w:cs="Times New Roman"/>
          <w:sz w:val="24"/>
          <w:szCs w:val="24"/>
        </w:rPr>
        <w:lastRenderedPageBreak/>
        <w:t xml:space="preserve">localmente y permitió revisar la composición de la canasta de dieta saludable en cada país. En segundo lugar, se aplicaron métodos de cálculo revisados con base en los datos más recientes del Banco Mundial sobre precios y pobreza, mediante un nuevo método que toma en cuenta el costo de las necesidades básicas no alimentarias a partir de las líneas internacionales de pobreza y de las proporciones de gasto no alimentario de los consumidores de bajos ingresos en cada país, lo que permite reflejar de manera más precisa los costos entre países de distintos grupos de ingreso y generó una recalibración tanto de la prevalencia de </w:t>
      </w:r>
      <w:proofErr w:type="spellStart"/>
      <w:r w:rsidRPr="00CB4805">
        <w:rPr>
          <w:rFonts w:ascii="Times New Roman" w:eastAsia="Times New Roman" w:hAnsi="Times New Roman" w:cs="Times New Roman"/>
          <w:sz w:val="24"/>
          <w:szCs w:val="24"/>
        </w:rPr>
        <w:t>inasequibilidad</w:t>
      </w:r>
      <w:proofErr w:type="spellEnd"/>
      <w:r w:rsidRPr="00CB4805">
        <w:rPr>
          <w:rFonts w:ascii="Times New Roman" w:eastAsia="Times New Roman" w:hAnsi="Times New Roman" w:cs="Times New Roman"/>
          <w:sz w:val="24"/>
          <w:szCs w:val="24"/>
        </w:rPr>
        <w:t xml:space="preserve"> como del número de personas afectadas. En tercer lugar, y por primera vez, se imputaron estimaciones de prevalencia y número de personas sin acceso a una dieta saludable para las economías con información faltante, utilizando su clasificación regional y de grupo de ingreso, con el fin de ofrecer un panorama global más completo. Los datos resultantes se publican en FAOSTAT y en el </w:t>
      </w:r>
      <w:proofErr w:type="spellStart"/>
      <w:r w:rsidRPr="00CB4805">
        <w:rPr>
          <w:rFonts w:ascii="Times New Roman" w:eastAsia="Times New Roman" w:hAnsi="Times New Roman" w:cs="Times New Roman"/>
          <w:sz w:val="24"/>
          <w:szCs w:val="24"/>
        </w:rPr>
        <w:t>Food</w:t>
      </w:r>
      <w:proofErr w:type="spellEnd"/>
      <w:r w:rsidRPr="00CB4805">
        <w:rPr>
          <w:rFonts w:ascii="Times New Roman" w:eastAsia="Times New Roman" w:hAnsi="Times New Roman" w:cs="Times New Roman"/>
          <w:sz w:val="24"/>
          <w:szCs w:val="24"/>
        </w:rPr>
        <w:t xml:space="preserve"> </w:t>
      </w:r>
      <w:proofErr w:type="spellStart"/>
      <w:r w:rsidRPr="00CB4805">
        <w:rPr>
          <w:rFonts w:ascii="Times New Roman" w:eastAsia="Times New Roman" w:hAnsi="Times New Roman" w:cs="Times New Roman"/>
          <w:sz w:val="24"/>
          <w:szCs w:val="24"/>
        </w:rPr>
        <w:t>Prices</w:t>
      </w:r>
      <w:proofErr w:type="spellEnd"/>
      <w:r w:rsidRPr="00CB4805">
        <w:rPr>
          <w:rFonts w:ascii="Times New Roman" w:eastAsia="Times New Roman" w:hAnsi="Times New Roman" w:cs="Times New Roman"/>
          <w:sz w:val="24"/>
          <w:szCs w:val="24"/>
        </w:rPr>
        <w:t xml:space="preserve"> </w:t>
      </w:r>
      <w:proofErr w:type="spellStart"/>
      <w:r w:rsidRPr="00CB4805">
        <w:rPr>
          <w:rFonts w:ascii="Times New Roman" w:eastAsia="Times New Roman" w:hAnsi="Times New Roman" w:cs="Times New Roman"/>
          <w:sz w:val="24"/>
          <w:szCs w:val="24"/>
        </w:rPr>
        <w:t>for</w:t>
      </w:r>
      <w:proofErr w:type="spellEnd"/>
      <w:r w:rsidRPr="00CB4805">
        <w:rPr>
          <w:rFonts w:ascii="Times New Roman" w:eastAsia="Times New Roman" w:hAnsi="Times New Roman" w:cs="Times New Roman"/>
          <w:sz w:val="24"/>
          <w:szCs w:val="24"/>
        </w:rPr>
        <w:t xml:space="preserve"> </w:t>
      </w:r>
      <w:proofErr w:type="spellStart"/>
      <w:r w:rsidRPr="00CB4805">
        <w:rPr>
          <w:rFonts w:ascii="Times New Roman" w:eastAsia="Times New Roman" w:hAnsi="Times New Roman" w:cs="Times New Roman"/>
          <w:sz w:val="24"/>
          <w:szCs w:val="24"/>
        </w:rPr>
        <w:t>Nutrition</w:t>
      </w:r>
      <w:proofErr w:type="spellEnd"/>
      <w:r w:rsidRPr="00CB4805">
        <w:rPr>
          <w:rFonts w:ascii="Times New Roman" w:eastAsia="Times New Roman" w:hAnsi="Times New Roman" w:cs="Times New Roman"/>
          <w:sz w:val="24"/>
          <w:szCs w:val="24"/>
        </w:rPr>
        <w:t xml:space="preserve"> </w:t>
      </w:r>
      <w:proofErr w:type="spellStart"/>
      <w:r w:rsidRPr="00CB4805">
        <w:rPr>
          <w:rFonts w:ascii="Times New Roman" w:eastAsia="Times New Roman" w:hAnsi="Times New Roman" w:cs="Times New Roman"/>
          <w:sz w:val="24"/>
          <w:szCs w:val="24"/>
        </w:rPr>
        <w:t>DataHub</w:t>
      </w:r>
      <w:proofErr w:type="spellEnd"/>
      <w:r w:rsidRPr="00CB4805">
        <w:rPr>
          <w:rFonts w:ascii="Times New Roman" w:eastAsia="Times New Roman" w:hAnsi="Times New Roman" w:cs="Times New Roman"/>
          <w:sz w:val="24"/>
          <w:szCs w:val="24"/>
        </w:rPr>
        <w:t xml:space="preserve"> y </w:t>
      </w:r>
      <w:proofErr w:type="spellStart"/>
      <w:r w:rsidRPr="00CB4805">
        <w:rPr>
          <w:rFonts w:ascii="Times New Roman" w:eastAsia="Times New Roman" w:hAnsi="Times New Roman" w:cs="Times New Roman"/>
          <w:sz w:val="24"/>
          <w:szCs w:val="24"/>
        </w:rPr>
        <w:t>DataBank</w:t>
      </w:r>
      <w:proofErr w:type="spellEnd"/>
      <w:r w:rsidRPr="00CB4805">
        <w:rPr>
          <w:rFonts w:ascii="Times New Roman" w:eastAsia="Times New Roman" w:hAnsi="Times New Roman" w:cs="Times New Roman"/>
          <w:sz w:val="24"/>
          <w:szCs w:val="24"/>
        </w:rPr>
        <w:t xml:space="preserve"> del Banco Mundial, y la metodología detallada de cálculo de los indicadores está disponible en los Anexos y Materiales Suplementarios del informe SOFI 2024.</w:t>
      </w:r>
    </w:p>
    <w:p w14:paraId="50ED630E" w14:textId="77777777" w:rsidR="00CB4805" w:rsidRDefault="00CB4805" w:rsidP="00CB4805">
      <w:pPr>
        <w:jc w:val="both"/>
        <w:rPr>
          <w:rFonts w:ascii="Times New Roman" w:eastAsia="Times New Roman" w:hAnsi="Times New Roman" w:cs="Times New Roman"/>
          <w:b/>
          <w:bCs/>
          <w:sz w:val="24"/>
          <w:szCs w:val="24"/>
        </w:rPr>
      </w:pPr>
      <w:r w:rsidRPr="00CB4805">
        <w:rPr>
          <w:rFonts w:ascii="Times New Roman" w:eastAsia="Times New Roman" w:hAnsi="Times New Roman" w:cs="Times New Roman"/>
          <w:b/>
          <w:bCs/>
          <w:sz w:val="24"/>
          <w:szCs w:val="24"/>
        </w:rPr>
        <w:t>Resultados</w:t>
      </w:r>
    </w:p>
    <w:p w14:paraId="50024C97" w14:textId="71B0ECB9" w:rsidR="00BE2669" w:rsidRPr="00CB4805" w:rsidRDefault="00CB4805" w:rsidP="00CB4805">
      <w:pPr>
        <w:jc w:val="both"/>
        <w:rPr>
          <w:rFonts w:ascii="Times New Roman" w:eastAsia="Times New Roman" w:hAnsi="Times New Roman" w:cs="Times New Roman"/>
          <w:b/>
          <w:bCs/>
          <w:sz w:val="24"/>
          <w:szCs w:val="24"/>
        </w:rPr>
      </w:pPr>
      <w:r w:rsidRPr="00CB4805">
        <w:rPr>
          <w:rFonts w:ascii="Times New Roman" w:eastAsia="Times New Roman" w:hAnsi="Times New Roman" w:cs="Times New Roman"/>
          <w:sz w:val="24"/>
          <w:szCs w:val="24"/>
        </w:rPr>
        <w:t>A nivel global, el costo promedio de una dieta saludable fue de 3.96 dólares por persona por día en 2022. Por grupo de ingreso, este costo fue más alto en las economías de ingreso mediano, con alrededor de 4.20 dólares diarios, mientras que en las economías de ingreso bajo fue de 3.48 dólares y en las de ingreso alto de 3.78 dólares. Por región, tanto América Latina y el Caribe como Asia Oriental y el Pacífico registraron un costo promedio de alrededor de 4.50 dólares, mientras que América del Norte presentó el costo más bajo de todas las regiones en 2022, con 2.96 dólares. El costo de la dieta saludable, medido en dólares PPP corrientes, ha aumentado desde 2017, primer año con datos disponibles, en línea con el incremento de los precios globales de los alimentos y la inflación general de los últimos años, impulsados en gran parte por las disrupciones causadas por la pandemia de COVID-19 y la guerra en Ucrania.</w:t>
      </w:r>
      <w:r w:rsidRPr="00CB4805">
        <w:rPr>
          <w:rFonts w:ascii="Times New Roman" w:eastAsia="Times New Roman" w:hAnsi="Times New Roman" w:cs="Times New Roman"/>
          <w:sz w:val="24"/>
          <w:szCs w:val="24"/>
        </w:rPr>
        <w:t xml:space="preserve"> </w:t>
      </w:r>
      <w:r w:rsidRPr="00CB4805">
        <w:rPr>
          <w:rFonts w:ascii="Times New Roman" w:eastAsia="Times New Roman" w:hAnsi="Times New Roman" w:cs="Times New Roman"/>
          <w:sz w:val="24"/>
          <w:szCs w:val="24"/>
        </w:rPr>
        <w:t xml:space="preserve">En cuanto a la </w:t>
      </w:r>
      <w:proofErr w:type="spellStart"/>
      <w:r w:rsidRPr="00CB4805">
        <w:rPr>
          <w:rFonts w:ascii="Times New Roman" w:eastAsia="Times New Roman" w:hAnsi="Times New Roman" w:cs="Times New Roman"/>
          <w:sz w:val="24"/>
          <w:szCs w:val="24"/>
        </w:rPr>
        <w:t>inasequibilidad</w:t>
      </w:r>
      <w:proofErr w:type="spellEnd"/>
      <w:r w:rsidRPr="00CB4805">
        <w:rPr>
          <w:rFonts w:ascii="Times New Roman" w:eastAsia="Times New Roman" w:hAnsi="Times New Roman" w:cs="Times New Roman"/>
          <w:sz w:val="24"/>
          <w:szCs w:val="24"/>
        </w:rPr>
        <w:t xml:space="preserve">, 35% de la población mundial no pudo costear una dieta saludable en 2022, una disminución frente al 38% registrado en el pico de la pandemia en 2020. De los 2.8 mil millones de personas que no pudieron costear una dieta saludable en 2022, la gran mayoría, cerca de 1.7 mil millones, vivía en economías de ingreso mediano bajo, donde la prevalencia de </w:t>
      </w:r>
      <w:proofErr w:type="spellStart"/>
      <w:r w:rsidRPr="00CB4805">
        <w:rPr>
          <w:rFonts w:ascii="Times New Roman" w:eastAsia="Times New Roman" w:hAnsi="Times New Roman" w:cs="Times New Roman"/>
          <w:sz w:val="24"/>
          <w:szCs w:val="24"/>
        </w:rPr>
        <w:t>inasequibilidad</w:t>
      </w:r>
      <w:proofErr w:type="spellEnd"/>
      <w:r w:rsidRPr="00CB4805">
        <w:rPr>
          <w:rFonts w:ascii="Times New Roman" w:eastAsia="Times New Roman" w:hAnsi="Times New Roman" w:cs="Times New Roman"/>
          <w:sz w:val="24"/>
          <w:szCs w:val="24"/>
        </w:rPr>
        <w:t xml:space="preserve"> fue de 53%. Las economías de ingreso bajo registraron la mayor prevalencia, de 72%, equivalente a 503 millones de personas; en estas economías, donde la población creció un 6% en el período, 16 millones de personas adicionales no pudieron costear una dieta saludable en 2022 en comparación con 2020, y la prevalencia solo se redujo marginalmente, en un punto porcentual, en ese </w:t>
      </w:r>
      <w:proofErr w:type="spellStart"/>
      <w:r w:rsidRPr="00CB4805">
        <w:rPr>
          <w:rFonts w:ascii="Times New Roman" w:eastAsia="Times New Roman" w:hAnsi="Times New Roman" w:cs="Times New Roman"/>
          <w:sz w:val="24"/>
          <w:szCs w:val="24"/>
        </w:rPr>
        <w:t>lapso.Respecto</w:t>
      </w:r>
      <w:proofErr w:type="spellEnd"/>
      <w:r w:rsidRPr="00CB4805">
        <w:rPr>
          <w:rFonts w:ascii="Times New Roman" w:eastAsia="Times New Roman" w:hAnsi="Times New Roman" w:cs="Times New Roman"/>
          <w:sz w:val="24"/>
          <w:szCs w:val="24"/>
        </w:rPr>
        <w:t xml:space="preserve"> a la recuperación por grupo de ingreso, el reporte señala específicamente que entre 2020 y 2022 la prevalencia de </w:t>
      </w:r>
      <w:proofErr w:type="spellStart"/>
      <w:r w:rsidRPr="00CB4805">
        <w:rPr>
          <w:rFonts w:ascii="Times New Roman" w:eastAsia="Times New Roman" w:hAnsi="Times New Roman" w:cs="Times New Roman"/>
          <w:sz w:val="24"/>
          <w:szCs w:val="24"/>
        </w:rPr>
        <w:t>inasequibilidad</w:t>
      </w:r>
      <w:proofErr w:type="spellEnd"/>
      <w:r w:rsidRPr="00CB4805">
        <w:rPr>
          <w:rFonts w:ascii="Times New Roman" w:eastAsia="Times New Roman" w:hAnsi="Times New Roman" w:cs="Times New Roman"/>
          <w:sz w:val="24"/>
          <w:szCs w:val="24"/>
        </w:rPr>
        <w:t xml:space="preserve"> bajó de 25% a 22% en las economías de ingreso mediano alto, y de 56% a 53% en las economías de ingreso mediano bajo, mientras que en las economías de ingreso bajo la reducción fue de apenas un punto porcentual en el mismo período, lo que evidencia una recuperación desigual incluso entre países del mismo grupo de ingreso, limitada además por la reducida capacidad fiscal de los estados de bajos ingresos para cerrar la persistente brecha de asequibilidad. A nivel regional, la recuperación también fue desigual: África Subsahariana y Medio Oriente y Norte de África permanecieron en </w:t>
      </w:r>
      <w:r w:rsidRPr="00CB4805">
        <w:rPr>
          <w:rFonts w:ascii="Times New Roman" w:eastAsia="Times New Roman" w:hAnsi="Times New Roman" w:cs="Times New Roman"/>
          <w:sz w:val="24"/>
          <w:szCs w:val="24"/>
        </w:rPr>
        <w:lastRenderedPageBreak/>
        <w:t xml:space="preserve">niveles de prevalencia de </w:t>
      </w:r>
      <w:proofErr w:type="spellStart"/>
      <w:r w:rsidRPr="00CB4805">
        <w:rPr>
          <w:rFonts w:ascii="Times New Roman" w:eastAsia="Times New Roman" w:hAnsi="Times New Roman" w:cs="Times New Roman"/>
          <w:sz w:val="24"/>
          <w:szCs w:val="24"/>
        </w:rPr>
        <w:t>inasequibilidad</w:t>
      </w:r>
      <w:proofErr w:type="spellEnd"/>
      <w:r w:rsidRPr="00CB4805">
        <w:rPr>
          <w:rFonts w:ascii="Times New Roman" w:eastAsia="Times New Roman" w:hAnsi="Times New Roman" w:cs="Times New Roman"/>
          <w:sz w:val="24"/>
          <w:szCs w:val="24"/>
        </w:rPr>
        <w:t xml:space="preserve"> similares a los observados en 2020, mientras que otras regiones registraron descensos, siendo notable la recuperación de Asia Meridional, con una caída de cinco puntos porcentuales en la prevalencia.</w:t>
      </w:r>
    </w:p>
    <w:p w14:paraId="4423649C" w14:textId="77777777" w:rsidR="00E104C9" w:rsidRDefault="004A095F" w:rsidP="00E104C9">
      <w:pPr>
        <w:pStyle w:val="Prrafodelista"/>
        <w:numPr>
          <w:ilvl w:val="0"/>
          <w:numId w:val="3"/>
        </w:numPr>
        <w:jc w:val="both"/>
        <w:rPr>
          <w:rFonts w:ascii="Times New Roman" w:eastAsia="Times New Roman" w:hAnsi="Times New Roman" w:cs="Times New Roman"/>
          <w:b/>
          <w:bCs/>
          <w:sz w:val="24"/>
          <w:szCs w:val="24"/>
        </w:rPr>
      </w:pPr>
      <w:r w:rsidRPr="00CB4805">
        <w:rPr>
          <w:rFonts w:ascii="Times New Roman" w:eastAsia="Times New Roman" w:hAnsi="Times New Roman" w:cs="Times New Roman"/>
          <w:b/>
          <w:bCs/>
          <w:sz w:val="24"/>
          <w:szCs w:val="24"/>
        </w:rPr>
        <w:t>FAO et al.</w:t>
      </w:r>
      <w:r w:rsidR="00C5012C" w:rsidRPr="00CB4805">
        <w:rPr>
          <w:rFonts w:ascii="Times New Roman" w:eastAsia="Times New Roman" w:hAnsi="Times New Roman" w:cs="Times New Roman"/>
          <w:b/>
          <w:bCs/>
          <w:sz w:val="24"/>
          <w:szCs w:val="24"/>
        </w:rPr>
        <w:t>,</w:t>
      </w:r>
      <w:r w:rsidRPr="00CB4805">
        <w:rPr>
          <w:rFonts w:ascii="Times New Roman" w:eastAsia="Times New Roman" w:hAnsi="Times New Roman" w:cs="Times New Roman"/>
          <w:b/>
          <w:bCs/>
          <w:sz w:val="24"/>
          <w:szCs w:val="24"/>
        </w:rPr>
        <w:t xml:space="preserve"> (2025) </w:t>
      </w:r>
    </w:p>
    <w:p w14:paraId="7B653834" w14:textId="77777777" w:rsidR="00E104C9" w:rsidRDefault="00E104C9" w:rsidP="00E104C9">
      <w:pPr>
        <w:jc w:val="both"/>
        <w:rPr>
          <w:rFonts w:ascii="Times New Roman" w:eastAsia="Times New Roman" w:hAnsi="Times New Roman" w:cs="Times New Roman"/>
          <w:b/>
          <w:bCs/>
          <w:sz w:val="24"/>
          <w:szCs w:val="24"/>
        </w:rPr>
      </w:pPr>
      <w:r w:rsidRPr="00E104C9">
        <w:rPr>
          <w:rFonts w:ascii="Times New Roman" w:eastAsia="Times New Roman" w:hAnsi="Times New Roman" w:cs="Times New Roman"/>
          <w:b/>
          <w:bCs/>
          <w:sz w:val="24"/>
          <w:szCs w:val="24"/>
        </w:rPr>
        <w:t>Objetivo</w:t>
      </w:r>
    </w:p>
    <w:p w14:paraId="00D92879" w14:textId="77777777" w:rsidR="00E104C9" w:rsidRDefault="00E104C9" w:rsidP="00E104C9">
      <w:pPr>
        <w:jc w:val="both"/>
        <w:rPr>
          <w:rFonts w:ascii="Times New Roman" w:eastAsia="Times New Roman" w:hAnsi="Times New Roman" w:cs="Times New Roman"/>
          <w:b/>
          <w:bCs/>
          <w:sz w:val="24"/>
          <w:szCs w:val="24"/>
        </w:rPr>
      </w:pPr>
      <w:r w:rsidRPr="00E104C9">
        <w:rPr>
          <w:rFonts w:ascii="Times New Roman" w:eastAsia="Times New Roman" w:hAnsi="Times New Roman" w:cs="Times New Roman"/>
          <w:sz w:val="24"/>
          <w:szCs w:val="24"/>
        </w:rPr>
        <w:t>Determinar si los precios de los alimentos y las primas de precio de los grupos alimentarios recomendados varían sistemáticamente según distintos atributos nutricionales de los alimentos, y si estos patrones de precios se han modificado en el tiempo, con el fin de establecer si los alimentos más saludables cuestan sistemáticamente más que los menos saludables y si los precios elevados constituyen la principal barrera para el consumo de dietas saludables. Para ello, este documento de trabajo de la FAO (Working Paper 25-07, preparado como insumo para el informe SOFI 2025) realiza un análisis global de corte transversal y un análisis a nivel de país con series de tiempo, comparando los precios promedio de cada grupo de alimentos, nivel de procesamiento y perfil nutricional frente al precio promedio de los almidones básicos (</w:t>
      </w:r>
      <w:proofErr w:type="spellStart"/>
      <w:r w:rsidRPr="00E104C9">
        <w:rPr>
          <w:rFonts w:ascii="Times New Roman" w:eastAsia="Times New Roman" w:hAnsi="Times New Roman" w:cs="Times New Roman"/>
          <w:sz w:val="24"/>
          <w:szCs w:val="24"/>
        </w:rPr>
        <w:t>basic</w:t>
      </w:r>
      <w:proofErr w:type="spellEnd"/>
      <w:r w:rsidRPr="00E104C9">
        <w:rPr>
          <w:rFonts w:ascii="Times New Roman" w:eastAsia="Times New Roman" w:hAnsi="Times New Roman" w:cs="Times New Roman"/>
          <w:sz w:val="24"/>
          <w:szCs w:val="24"/>
        </w:rPr>
        <w:t xml:space="preserve"> </w:t>
      </w:r>
      <w:proofErr w:type="spellStart"/>
      <w:r w:rsidRPr="00E104C9">
        <w:rPr>
          <w:rFonts w:ascii="Times New Roman" w:eastAsia="Times New Roman" w:hAnsi="Times New Roman" w:cs="Times New Roman"/>
          <w:sz w:val="24"/>
          <w:szCs w:val="24"/>
        </w:rPr>
        <w:t>starchy</w:t>
      </w:r>
      <w:proofErr w:type="spellEnd"/>
      <w:r w:rsidRPr="00E104C9">
        <w:rPr>
          <w:rFonts w:ascii="Times New Roman" w:eastAsia="Times New Roman" w:hAnsi="Times New Roman" w:cs="Times New Roman"/>
          <w:sz w:val="24"/>
          <w:szCs w:val="24"/>
        </w:rPr>
        <w:t xml:space="preserve"> </w:t>
      </w:r>
      <w:proofErr w:type="spellStart"/>
      <w:r w:rsidRPr="00E104C9">
        <w:rPr>
          <w:rFonts w:ascii="Times New Roman" w:eastAsia="Times New Roman" w:hAnsi="Times New Roman" w:cs="Times New Roman"/>
          <w:sz w:val="24"/>
          <w:szCs w:val="24"/>
        </w:rPr>
        <w:t>staples</w:t>
      </w:r>
      <w:proofErr w:type="spellEnd"/>
      <w:r w:rsidRPr="00E104C9">
        <w:rPr>
          <w:rFonts w:ascii="Times New Roman" w:eastAsia="Times New Roman" w:hAnsi="Times New Roman" w:cs="Times New Roman"/>
          <w:sz w:val="24"/>
          <w:szCs w:val="24"/>
        </w:rPr>
        <w:t>), definidos como alimentos no procesados o mínimamente procesados de la categoría NOVA 1, que incluyen arroz, trigo, harina, fideos y tubérculos con almidón.</w:t>
      </w:r>
    </w:p>
    <w:p w14:paraId="30656EA1" w14:textId="77777777" w:rsidR="00E104C9" w:rsidRDefault="00E104C9" w:rsidP="00E104C9">
      <w:pPr>
        <w:jc w:val="both"/>
        <w:rPr>
          <w:rFonts w:ascii="Times New Roman" w:eastAsia="Times New Roman" w:hAnsi="Times New Roman" w:cs="Times New Roman"/>
          <w:b/>
          <w:bCs/>
          <w:sz w:val="24"/>
          <w:szCs w:val="24"/>
        </w:rPr>
      </w:pPr>
      <w:r w:rsidRPr="00E104C9">
        <w:rPr>
          <w:rFonts w:ascii="Times New Roman" w:eastAsia="Times New Roman" w:hAnsi="Times New Roman" w:cs="Times New Roman"/>
          <w:b/>
          <w:bCs/>
          <w:sz w:val="24"/>
          <w:szCs w:val="24"/>
        </w:rPr>
        <w:t>Metodología</w:t>
      </w:r>
    </w:p>
    <w:p w14:paraId="6486DC84" w14:textId="77777777" w:rsidR="00E104C9" w:rsidRDefault="00E104C9" w:rsidP="00E104C9">
      <w:pPr>
        <w:jc w:val="both"/>
        <w:rPr>
          <w:rFonts w:ascii="Times New Roman" w:eastAsia="Times New Roman" w:hAnsi="Times New Roman" w:cs="Times New Roman"/>
          <w:b/>
          <w:bCs/>
          <w:sz w:val="24"/>
          <w:szCs w:val="24"/>
        </w:rPr>
      </w:pPr>
      <w:r w:rsidRPr="00E104C9">
        <w:rPr>
          <w:rFonts w:ascii="Times New Roman" w:eastAsia="Times New Roman" w:hAnsi="Times New Roman" w:cs="Times New Roman"/>
          <w:sz w:val="24"/>
          <w:szCs w:val="24"/>
        </w:rPr>
        <w:t>El análisis global utiliza precios minoristas nacionales promedio y datos de disponibilidad del Programa de Comparación Internacional (ICP) del Banco Mundial para los años 2011 (893 productos), 2017 (852 productos) y 2021 (735 productos), reportados por las oficinas nacionales de estadística en moneda local por unidad de referencia tal como se vende al detal; estos datos no son estrictamente comparables entre años porque el ICP puede ajustar la inclusión de productos entre ciclos, aunque esto no afecta la exactitud de las estimaciones de paridad de poder adquisitivo (PPP), ya que su cálculo no requiere una matriz de precios armonizada en el tiempo.</w:t>
      </w:r>
      <w:r>
        <w:rPr>
          <w:rFonts w:ascii="Times New Roman" w:eastAsia="Times New Roman" w:hAnsi="Times New Roman" w:cs="Times New Roman"/>
          <w:b/>
          <w:bCs/>
          <w:sz w:val="24"/>
          <w:szCs w:val="24"/>
        </w:rPr>
        <w:t xml:space="preserve"> </w:t>
      </w:r>
      <w:r w:rsidRPr="00E104C9">
        <w:rPr>
          <w:rFonts w:ascii="Times New Roman" w:eastAsia="Times New Roman" w:hAnsi="Times New Roman" w:cs="Times New Roman"/>
          <w:sz w:val="24"/>
          <w:szCs w:val="24"/>
        </w:rPr>
        <w:t>El análisis a nivel de país usa datos de precios recolectados por organismos estadísticos nacionales de México (30.030 observaciones, mensual, julio 2019 a julio 2024, a nivel municipal), Nigeria (236 observaciones, mensual, mismo período, a nivel estatal rural) y Pakistán (101 observaciones, mensual, mismo período, a nivel distrital rural). Estos precios se deflactaron usando el índice de precios al consumidor (IPC) general (para Nigeria el IPC estatal, para Pakistán el promedio del IPC nacional urbano-rural, y para México el IPC nacional) para asegurar que las comparaciones dentro y entre grupos alimentarios no reflejaran la inflación general de la economía, convirtiendo todos los precios a valores constantes de julio de 2019 (primer mes disponible) y a medias móviles de tres meses para reducir el error aleatorio. Es decir, los precios del análisis por país son costos reales o deflactados, mientras que el análisis global en moneda local del ICP no se deflacta y se reporta en valores nominales de cada año de referencia (2011, 2017, 2021).</w:t>
      </w:r>
    </w:p>
    <w:p w14:paraId="0C8D161C" w14:textId="77777777" w:rsidR="00E104C9" w:rsidRDefault="00E104C9" w:rsidP="00E104C9">
      <w:pPr>
        <w:jc w:val="both"/>
        <w:rPr>
          <w:rFonts w:ascii="Times New Roman" w:eastAsia="Times New Roman" w:hAnsi="Times New Roman" w:cs="Times New Roman"/>
          <w:b/>
          <w:bCs/>
          <w:sz w:val="24"/>
          <w:szCs w:val="24"/>
        </w:rPr>
      </w:pPr>
      <w:r w:rsidRPr="00E104C9">
        <w:rPr>
          <w:rFonts w:ascii="Times New Roman" w:eastAsia="Times New Roman" w:hAnsi="Times New Roman" w:cs="Times New Roman"/>
          <w:sz w:val="24"/>
          <w:szCs w:val="24"/>
        </w:rPr>
        <w:t xml:space="preserve">En ambos análisis, los precios por unidad vendida (pieza o paquete) se convirtieron a precio por kilogramo de materia comestible y luego a precio por kilocaloría, usando tablas de composición de alimentos. Para el análisis global se usaron el USDA Standard Reference 28, la Tabla de Composición de Alimentos FAO/INFOODS para África Occidental, la base de datos USDA FNDDS 2019-2020 y tablas nacionales de Bangladesh, India, Japón y Reino </w:t>
      </w:r>
      <w:r w:rsidRPr="00E104C9">
        <w:rPr>
          <w:rFonts w:ascii="Times New Roman" w:eastAsia="Times New Roman" w:hAnsi="Times New Roman" w:cs="Times New Roman"/>
          <w:sz w:val="24"/>
          <w:szCs w:val="24"/>
        </w:rPr>
        <w:lastRenderedPageBreak/>
        <w:t xml:space="preserve">Unido. Para el análisis por país se usó principalmente el USDA SR-28, complementado con la Tabla de Composición de Alimentos para África Occidental, la Tabla de Composición de Alimentos para Pakistán y la base de datos USDA Global </w:t>
      </w:r>
      <w:proofErr w:type="spellStart"/>
      <w:r w:rsidRPr="00E104C9">
        <w:rPr>
          <w:rFonts w:ascii="Times New Roman" w:eastAsia="Times New Roman" w:hAnsi="Times New Roman" w:cs="Times New Roman"/>
          <w:sz w:val="24"/>
          <w:szCs w:val="24"/>
        </w:rPr>
        <w:t>Branded</w:t>
      </w:r>
      <w:proofErr w:type="spellEnd"/>
      <w:r w:rsidRPr="00E104C9">
        <w:rPr>
          <w:rFonts w:ascii="Times New Roman" w:eastAsia="Times New Roman" w:hAnsi="Times New Roman" w:cs="Times New Roman"/>
          <w:sz w:val="24"/>
          <w:szCs w:val="24"/>
        </w:rPr>
        <w:t xml:space="preserve"> </w:t>
      </w:r>
      <w:proofErr w:type="spellStart"/>
      <w:r w:rsidRPr="00E104C9">
        <w:rPr>
          <w:rFonts w:ascii="Times New Roman" w:eastAsia="Times New Roman" w:hAnsi="Times New Roman" w:cs="Times New Roman"/>
          <w:sz w:val="24"/>
          <w:szCs w:val="24"/>
        </w:rPr>
        <w:t>Foods.</w:t>
      </w:r>
      <w:proofErr w:type="spellEnd"/>
    </w:p>
    <w:p w14:paraId="40EBEB41" w14:textId="77777777" w:rsidR="00E104C9" w:rsidRDefault="00E104C9" w:rsidP="00E104C9">
      <w:pPr>
        <w:jc w:val="both"/>
        <w:rPr>
          <w:rFonts w:ascii="Times New Roman" w:eastAsia="Times New Roman" w:hAnsi="Times New Roman" w:cs="Times New Roman"/>
          <w:b/>
          <w:bCs/>
          <w:sz w:val="24"/>
          <w:szCs w:val="24"/>
        </w:rPr>
      </w:pPr>
      <w:r w:rsidRPr="00E104C9">
        <w:rPr>
          <w:rFonts w:ascii="Times New Roman" w:eastAsia="Times New Roman" w:hAnsi="Times New Roman" w:cs="Times New Roman"/>
          <w:sz w:val="24"/>
          <w:szCs w:val="24"/>
        </w:rPr>
        <w:t>Para establecer las categorías y cantidades de referencia de una dieta saludable se usó el enfoque de la Canasta de Dieta Saludable (</w:t>
      </w:r>
      <w:proofErr w:type="spellStart"/>
      <w:r w:rsidRPr="00E104C9">
        <w:rPr>
          <w:rFonts w:ascii="Times New Roman" w:eastAsia="Times New Roman" w:hAnsi="Times New Roman" w:cs="Times New Roman"/>
          <w:sz w:val="24"/>
          <w:szCs w:val="24"/>
        </w:rPr>
        <w:t>Healthy</w:t>
      </w:r>
      <w:proofErr w:type="spellEnd"/>
      <w:r w:rsidRPr="00E104C9">
        <w:rPr>
          <w:rFonts w:ascii="Times New Roman" w:eastAsia="Times New Roman" w:hAnsi="Times New Roman" w:cs="Times New Roman"/>
          <w:sz w:val="24"/>
          <w:szCs w:val="24"/>
        </w:rPr>
        <w:t xml:space="preserve"> </w:t>
      </w:r>
      <w:proofErr w:type="spellStart"/>
      <w:r w:rsidRPr="00E104C9">
        <w:rPr>
          <w:rFonts w:ascii="Times New Roman" w:eastAsia="Times New Roman" w:hAnsi="Times New Roman" w:cs="Times New Roman"/>
          <w:sz w:val="24"/>
          <w:szCs w:val="24"/>
        </w:rPr>
        <w:t>Diet</w:t>
      </w:r>
      <w:proofErr w:type="spellEnd"/>
      <w:r w:rsidRPr="00E104C9">
        <w:rPr>
          <w:rFonts w:ascii="Times New Roman" w:eastAsia="Times New Roman" w:hAnsi="Times New Roman" w:cs="Times New Roman"/>
          <w:sz w:val="24"/>
          <w:szCs w:val="24"/>
        </w:rPr>
        <w:t xml:space="preserve"> Basket, HDB) adoptado por la FAO y el Banco Mundial para el monitoreo del costo de una dieta saludable (</w:t>
      </w:r>
      <w:proofErr w:type="spellStart"/>
      <w:r w:rsidRPr="00E104C9">
        <w:rPr>
          <w:rFonts w:ascii="Times New Roman" w:eastAsia="Times New Roman" w:hAnsi="Times New Roman" w:cs="Times New Roman"/>
          <w:sz w:val="24"/>
          <w:szCs w:val="24"/>
        </w:rPr>
        <w:t>CoHD</w:t>
      </w:r>
      <w:proofErr w:type="spellEnd"/>
      <w:r w:rsidRPr="00E104C9">
        <w:rPr>
          <w:rFonts w:ascii="Times New Roman" w:eastAsia="Times New Roman" w:hAnsi="Times New Roman" w:cs="Times New Roman"/>
          <w:sz w:val="24"/>
          <w:szCs w:val="24"/>
        </w:rPr>
        <w:t xml:space="preserve">), desarrollado originalmente para el SOFI 2020 y revisado para el SOFI 2022, y validado posteriormente contra requerimientos de macro y micronutrientes. Este marco incluye seis grupos de alimentos (almidones básicos, aceites y grasas, frutas, verduras, alimentos de origen animal, y legumbres, frutos secos y semillas), a los que el estudio añadió un séptimo grupo de azúcares, dulces y golosinas (no recomendado en una dieta saludable) e incorporó también algunos alimentos excluidos del </w:t>
      </w:r>
      <w:proofErr w:type="spellStart"/>
      <w:r w:rsidRPr="00E104C9">
        <w:rPr>
          <w:rFonts w:ascii="Times New Roman" w:eastAsia="Times New Roman" w:hAnsi="Times New Roman" w:cs="Times New Roman"/>
          <w:sz w:val="24"/>
          <w:szCs w:val="24"/>
        </w:rPr>
        <w:t>CoHD</w:t>
      </w:r>
      <w:proofErr w:type="spellEnd"/>
      <w:r w:rsidRPr="00E104C9">
        <w:rPr>
          <w:rFonts w:ascii="Times New Roman" w:eastAsia="Times New Roman" w:hAnsi="Times New Roman" w:cs="Times New Roman"/>
          <w:sz w:val="24"/>
          <w:szCs w:val="24"/>
        </w:rPr>
        <w:t xml:space="preserve"> (como carnes curadas y </w:t>
      </w:r>
      <w:proofErr w:type="spellStart"/>
      <w:r w:rsidRPr="00E104C9">
        <w:rPr>
          <w:rFonts w:ascii="Times New Roman" w:eastAsia="Times New Roman" w:hAnsi="Times New Roman" w:cs="Times New Roman"/>
          <w:sz w:val="24"/>
          <w:szCs w:val="24"/>
        </w:rPr>
        <w:t>nuggets</w:t>
      </w:r>
      <w:proofErr w:type="spellEnd"/>
      <w:r w:rsidRPr="00E104C9">
        <w:rPr>
          <w:rFonts w:ascii="Times New Roman" w:eastAsia="Times New Roman" w:hAnsi="Times New Roman" w:cs="Times New Roman"/>
          <w:sz w:val="24"/>
          <w:szCs w:val="24"/>
        </w:rPr>
        <w:t xml:space="preserve"> de pollo) para poder comparar opciones más y menos nutritivas dentro de cada grupo, excluyendo alimentos infantiles, platos mixtos, condimentos, ingredientes culinarios y bebidas alcohólicas o no calóricas.</w:t>
      </w:r>
      <w:r>
        <w:rPr>
          <w:rFonts w:ascii="Times New Roman" w:eastAsia="Times New Roman" w:hAnsi="Times New Roman" w:cs="Times New Roman"/>
          <w:b/>
          <w:bCs/>
          <w:sz w:val="24"/>
          <w:szCs w:val="24"/>
        </w:rPr>
        <w:t xml:space="preserve"> </w:t>
      </w:r>
      <w:r w:rsidRPr="00E104C9">
        <w:rPr>
          <w:rFonts w:ascii="Times New Roman" w:eastAsia="Times New Roman" w:hAnsi="Times New Roman" w:cs="Times New Roman"/>
          <w:sz w:val="24"/>
          <w:szCs w:val="24"/>
        </w:rPr>
        <w:t xml:space="preserve">Para clasificar el nivel de procesamiento se usó el sistema NOVA, que distingue entre alimentos no procesados o mínimamente procesados, ingredientes culinarios procesados, alimentos procesados y alimentos </w:t>
      </w:r>
      <w:proofErr w:type="spellStart"/>
      <w:r w:rsidRPr="00E104C9">
        <w:rPr>
          <w:rFonts w:ascii="Times New Roman" w:eastAsia="Times New Roman" w:hAnsi="Times New Roman" w:cs="Times New Roman"/>
          <w:sz w:val="24"/>
          <w:szCs w:val="24"/>
        </w:rPr>
        <w:t>ultraprocesados</w:t>
      </w:r>
      <w:proofErr w:type="spellEnd"/>
      <w:r w:rsidRPr="00E104C9">
        <w:rPr>
          <w:rFonts w:ascii="Times New Roman" w:eastAsia="Times New Roman" w:hAnsi="Times New Roman" w:cs="Times New Roman"/>
          <w:sz w:val="24"/>
          <w:szCs w:val="24"/>
        </w:rPr>
        <w:t xml:space="preserve">. Para cuantificar la calidad nutricional se usó el </w:t>
      </w:r>
      <w:proofErr w:type="spellStart"/>
      <w:r w:rsidRPr="00E104C9">
        <w:rPr>
          <w:rFonts w:ascii="Times New Roman" w:eastAsia="Times New Roman" w:hAnsi="Times New Roman" w:cs="Times New Roman"/>
          <w:sz w:val="24"/>
          <w:szCs w:val="24"/>
        </w:rPr>
        <w:t>Food</w:t>
      </w:r>
      <w:proofErr w:type="spellEnd"/>
      <w:r w:rsidRPr="00E104C9">
        <w:rPr>
          <w:rFonts w:ascii="Times New Roman" w:eastAsia="Times New Roman" w:hAnsi="Times New Roman" w:cs="Times New Roman"/>
          <w:sz w:val="24"/>
          <w:szCs w:val="24"/>
        </w:rPr>
        <w:t xml:space="preserve"> Compass Score actualizado (FCS 2.0), que califica los alimentos en una escala de 0 a 100 con base en nueve dominios asociados a resultados de salud: proporciones de nutrientes, vitaminas, minerales, ingredientes de base alimentaria, aditivos, procesamiento, lípidos específicos, fibra y proteína, y fitoquímicos, excluyendo de este componente del análisis los ingredientes culinarios procesados (NOVA 2) por no consumirse generalmente solos.</w:t>
      </w:r>
    </w:p>
    <w:p w14:paraId="61E5753F" w14:textId="77777777" w:rsidR="00E104C9" w:rsidRDefault="00E104C9" w:rsidP="00E104C9">
      <w:pPr>
        <w:jc w:val="both"/>
        <w:rPr>
          <w:rFonts w:ascii="Times New Roman" w:eastAsia="Times New Roman" w:hAnsi="Times New Roman" w:cs="Times New Roman"/>
          <w:b/>
          <w:bCs/>
          <w:sz w:val="24"/>
          <w:szCs w:val="24"/>
        </w:rPr>
      </w:pPr>
      <w:r w:rsidRPr="00E104C9">
        <w:rPr>
          <w:rFonts w:ascii="Times New Roman" w:eastAsia="Times New Roman" w:hAnsi="Times New Roman" w:cs="Times New Roman"/>
          <w:b/>
          <w:bCs/>
          <w:sz w:val="24"/>
          <w:szCs w:val="24"/>
        </w:rPr>
        <w:t>Resultados</w:t>
      </w:r>
    </w:p>
    <w:p w14:paraId="7DEED440" w14:textId="77777777" w:rsidR="009D7D9F" w:rsidRDefault="00E104C9" w:rsidP="009D7D9F">
      <w:pPr>
        <w:jc w:val="both"/>
        <w:rPr>
          <w:rFonts w:ascii="Times New Roman" w:eastAsia="Times New Roman" w:hAnsi="Times New Roman" w:cs="Times New Roman"/>
          <w:b/>
          <w:bCs/>
          <w:sz w:val="24"/>
          <w:szCs w:val="24"/>
        </w:rPr>
      </w:pPr>
      <w:r w:rsidRPr="00E104C9">
        <w:rPr>
          <w:rFonts w:ascii="Times New Roman" w:eastAsia="Times New Roman" w:hAnsi="Times New Roman" w:cs="Times New Roman"/>
          <w:b/>
          <w:bCs/>
          <w:sz w:val="24"/>
          <w:szCs w:val="24"/>
        </w:rPr>
        <w:t>Resultados globales</w:t>
      </w:r>
      <w:r w:rsidR="009D7D9F">
        <w:rPr>
          <w:rFonts w:ascii="Times New Roman" w:eastAsia="Times New Roman" w:hAnsi="Times New Roman" w:cs="Times New Roman"/>
          <w:b/>
          <w:bCs/>
          <w:sz w:val="24"/>
          <w:szCs w:val="24"/>
        </w:rPr>
        <w:t xml:space="preserve">: </w:t>
      </w:r>
      <w:r w:rsidRPr="009D7D9F">
        <w:rPr>
          <w:rFonts w:ascii="Times New Roman" w:eastAsia="Times New Roman" w:hAnsi="Times New Roman" w:cs="Times New Roman"/>
          <w:sz w:val="24"/>
          <w:szCs w:val="24"/>
        </w:rPr>
        <w:t>Los almidones básicos fueron consistentemente la fuente de energía dietética menos costosa en el mundo en los tres años analizados y en todos los niveles de ingreso de los países. En 2021, las verduras fueron en promedio 11,9 veces más caras que los almidones básicos por kilocaloría, los alimentos de origen animal 9,1 veces más caros, las frutas 7,2 veces más caras, los dulces 3,7 veces más caros y las legumbres, frutos secos y semillas 3,1 veces más caras. Estas diferencias variaron según el nivel de ingreso del país: las verduras fueron menos costosas en los países de ingreso bajo (8,9 veces el precio de los almidones básicos) frente a los países de ingreso mediano-bajo (12,4 veces), mediano-alto (12,3 veces) y alto (12,3 veces), mientras que los dulces fueron menos costosos en los países de ingreso alto (3,0 veces) frente a los de ingreso mediano-alto (3,9 veces), mediano-bajo (4,1 veces) y bajo (4,0 veces).</w:t>
      </w:r>
      <w:r w:rsidR="009D7D9F">
        <w:rPr>
          <w:rFonts w:ascii="Times New Roman" w:eastAsia="Times New Roman" w:hAnsi="Times New Roman" w:cs="Times New Roman"/>
          <w:b/>
          <w:bCs/>
          <w:sz w:val="24"/>
          <w:szCs w:val="24"/>
        </w:rPr>
        <w:t xml:space="preserve"> </w:t>
      </w:r>
      <w:r w:rsidRPr="009D7D9F">
        <w:rPr>
          <w:rFonts w:ascii="Times New Roman" w:eastAsia="Times New Roman" w:hAnsi="Times New Roman" w:cs="Times New Roman"/>
          <w:sz w:val="24"/>
          <w:szCs w:val="24"/>
        </w:rPr>
        <w:t xml:space="preserve">En promedio, los alimentos </w:t>
      </w:r>
      <w:proofErr w:type="spellStart"/>
      <w:r w:rsidRPr="009D7D9F">
        <w:rPr>
          <w:rFonts w:ascii="Times New Roman" w:eastAsia="Times New Roman" w:hAnsi="Times New Roman" w:cs="Times New Roman"/>
          <w:sz w:val="24"/>
          <w:szCs w:val="24"/>
        </w:rPr>
        <w:t>ultraprocesados</w:t>
      </w:r>
      <w:proofErr w:type="spellEnd"/>
      <w:r w:rsidRPr="009D7D9F">
        <w:rPr>
          <w:rFonts w:ascii="Times New Roman" w:eastAsia="Times New Roman" w:hAnsi="Times New Roman" w:cs="Times New Roman"/>
          <w:sz w:val="24"/>
          <w:szCs w:val="24"/>
        </w:rPr>
        <w:t xml:space="preserve"> fueron menos costosos por kilocaloría que los alimentos procesados y que los no procesados o mínimamente procesados (en 2021, 3,8 veces el precio de los almidones básicos, frente a 7,5 veces para los procesados y 7,2 veces para los no procesados), pero este patrón no se mantuvo al interior de cada grupo alimentario: entre los propios almidones básicos, las opciones </w:t>
      </w:r>
      <w:proofErr w:type="spellStart"/>
      <w:r w:rsidRPr="009D7D9F">
        <w:rPr>
          <w:rFonts w:ascii="Times New Roman" w:eastAsia="Times New Roman" w:hAnsi="Times New Roman" w:cs="Times New Roman"/>
          <w:sz w:val="24"/>
          <w:szCs w:val="24"/>
        </w:rPr>
        <w:t>ultraprocesadas</w:t>
      </w:r>
      <w:proofErr w:type="spellEnd"/>
      <w:r w:rsidRPr="009D7D9F">
        <w:rPr>
          <w:rFonts w:ascii="Times New Roman" w:eastAsia="Times New Roman" w:hAnsi="Times New Roman" w:cs="Times New Roman"/>
          <w:sz w:val="24"/>
          <w:szCs w:val="24"/>
        </w:rPr>
        <w:t xml:space="preserve"> fueron 2,2 veces más caras que las no procesadas en 2021, y entre los dulces, las </w:t>
      </w:r>
      <w:proofErr w:type="spellStart"/>
      <w:r w:rsidRPr="009D7D9F">
        <w:rPr>
          <w:rFonts w:ascii="Times New Roman" w:eastAsia="Times New Roman" w:hAnsi="Times New Roman" w:cs="Times New Roman"/>
          <w:sz w:val="24"/>
          <w:szCs w:val="24"/>
        </w:rPr>
        <w:t>ultraprocesadas</w:t>
      </w:r>
      <w:proofErr w:type="spellEnd"/>
      <w:r w:rsidRPr="009D7D9F">
        <w:rPr>
          <w:rFonts w:ascii="Times New Roman" w:eastAsia="Times New Roman" w:hAnsi="Times New Roman" w:cs="Times New Roman"/>
          <w:sz w:val="24"/>
          <w:szCs w:val="24"/>
        </w:rPr>
        <w:t xml:space="preserve"> fueron 4,2 veces más caras que los almidones básicos frente a 3,5 veces para los dulces procesados. El hallazgo de que los </w:t>
      </w:r>
      <w:proofErr w:type="spellStart"/>
      <w:r w:rsidRPr="009D7D9F">
        <w:rPr>
          <w:rFonts w:ascii="Times New Roman" w:eastAsia="Times New Roman" w:hAnsi="Times New Roman" w:cs="Times New Roman"/>
          <w:sz w:val="24"/>
          <w:szCs w:val="24"/>
        </w:rPr>
        <w:t>ultraprocesados</w:t>
      </w:r>
      <w:proofErr w:type="spellEnd"/>
      <w:r w:rsidRPr="009D7D9F">
        <w:rPr>
          <w:rFonts w:ascii="Times New Roman" w:eastAsia="Times New Roman" w:hAnsi="Times New Roman" w:cs="Times New Roman"/>
          <w:sz w:val="24"/>
          <w:szCs w:val="24"/>
        </w:rPr>
        <w:t xml:space="preserve"> son en promedio más </w:t>
      </w:r>
      <w:r w:rsidRPr="009D7D9F">
        <w:rPr>
          <w:rFonts w:ascii="Times New Roman" w:eastAsia="Times New Roman" w:hAnsi="Times New Roman" w:cs="Times New Roman"/>
          <w:sz w:val="24"/>
          <w:szCs w:val="24"/>
        </w:rPr>
        <w:lastRenderedPageBreak/>
        <w:t xml:space="preserve">baratos se explica porque la mayoría de los alimentos </w:t>
      </w:r>
      <w:proofErr w:type="spellStart"/>
      <w:r w:rsidRPr="009D7D9F">
        <w:rPr>
          <w:rFonts w:ascii="Times New Roman" w:eastAsia="Times New Roman" w:hAnsi="Times New Roman" w:cs="Times New Roman"/>
          <w:sz w:val="24"/>
          <w:szCs w:val="24"/>
        </w:rPr>
        <w:t>ultraprocesados</w:t>
      </w:r>
      <w:proofErr w:type="spellEnd"/>
      <w:r w:rsidRPr="009D7D9F">
        <w:rPr>
          <w:rFonts w:ascii="Times New Roman" w:eastAsia="Times New Roman" w:hAnsi="Times New Roman" w:cs="Times New Roman"/>
          <w:sz w:val="24"/>
          <w:szCs w:val="24"/>
        </w:rPr>
        <w:t xml:space="preserve"> observados pertenecen a los grupos de menor costo (36,4% eran almidones básicos y 41,7% dulces), mientras que solo 15,9% eran de origen animal, 2,7% frutas y ninguno era verdura.</w:t>
      </w:r>
      <w:r w:rsidR="009D7D9F">
        <w:rPr>
          <w:rFonts w:ascii="Times New Roman" w:eastAsia="Times New Roman" w:hAnsi="Times New Roman" w:cs="Times New Roman"/>
          <w:b/>
          <w:bCs/>
          <w:sz w:val="24"/>
          <w:szCs w:val="24"/>
        </w:rPr>
        <w:t xml:space="preserve"> </w:t>
      </w:r>
      <w:r w:rsidRPr="009D7D9F">
        <w:rPr>
          <w:rFonts w:ascii="Times New Roman" w:eastAsia="Times New Roman" w:hAnsi="Times New Roman" w:cs="Times New Roman"/>
          <w:sz w:val="24"/>
          <w:szCs w:val="24"/>
        </w:rPr>
        <w:t>En cuanto a calidad nutricional, los alimentos con el puntaje FCS más alto (80-100) fueron en promedio 7,5 veces más caros que los de puntaje más bajo (</w:t>
      </w:r>
      <w:r w:rsidR="009D7D9F">
        <w:rPr>
          <w:rFonts w:ascii="Times New Roman" w:eastAsia="Times New Roman" w:hAnsi="Times New Roman" w:cs="Times New Roman"/>
          <w:sz w:val="24"/>
          <w:szCs w:val="24"/>
        </w:rPr>
        <w:t>≤</w:t>
      </w:r>
      <w:r w:rsidRPr="009D7D9F">
        <w:rPr>
          <w:rFonts w:ascii="Times New Roman" w:eastAsia="Times New Roman" w:hAnsi="Times New Roman" w:cs="Times New Roman"/>
          <w:sz w:val="24"/>
          <w:szCs w:val="24"/>
        </w:rPr>
        <w:t>20) en 2021, pero esta relación no fue lineal ni consistente dentro de cada grupo: en alimentos de origen animal y verduras, las opciones más nutritivas fueron considerablemente más caras que las menos nutritivas, mientras que en almidones básicos, aceites y grasas, legumbres/frutos secos/semillas y dulces el precio varió muy poco según la calidad nutricional, y entre las frutas, las opciones más costosas (como frutas enlatadas en almíbar) tuvieron de hecho un perfil nutricional menor que otras frutas.</w:t>
      </w:r>
    </w:p>
    <w:p w14:paraId="202BD2F7" w14:textId="0A609EA1" w:rsidR="00BE2669" w:rsidRPr="00CB4805" w:rsidRDefault="00E104C9" w:rsidP="00CB4805">
      <w:pPr>
        <w:jc w:val="both"/>
        <w:rPr>
          <w:rFonts w:ascii="Times New Roman" w:eastAsia="Times New Roman" w:hAnsi="Times New Roman" w:cs="Times New Roman"/>
          <w:b/>
          <w:bCs/>
          <w:sz w:val="24"/>
          <w:szCs w:val="24"/>
        </w:rPr>
      </w:pPr>
      <w:r w:rsidRPr="009D7D9F">
        <w:rPr>
          <w:rFonts w:ascii="Times New Roman" w:eastAsia="Times New Roman" w:hAnsi="Times New Roman" w:cs="Times New Roman"/>
          <w:b/>
          <w:bCs/>
          <w:sz w:val="24"/>
          <w:szCs w:val="24"/>
        </w:rPr>
        <w:t>Resultados a nivel de país</w:t>
      </w:r>
      <w:r w:rsidR="009D7D9F">
        <w:rPr>
          <w:rFonts w:ascii="Times New Roman" w:eastAsia="Times New Roman" w:hAnsi="Times New Roman" w:cs="Times New Roman"/>
          <w:b/>
          <w:bCs/>
          <w:sz w:val="24"/>
          <w:szCs w:val="24"/>
        </w:rPr>
        <w:t>:</w:t>
      </w:r>
      <w:r w:rsidR="004F0A5A">
        <w:rPr>
          <w:rFonts w:ascii="Times New Roman" w:eastAsia="Times New Roman" w:hAnsi="Times New Roman" w:cs="Times New Roman"/>
          <w:b/>
          <w:bCs/>
          <w:sz w:val="24"/>
          <w:szCs w:val="24"/>
        </w:rPr>
        <w:t xml:space="preserve"> </w:t>
      </w:r>
      <w:r w:rsidRPr="004F0A5A">
        <w:rPr>
          <w:rFonts w:ascii="Times New Roman" w:eastAsia="Times New Roman" w:hAnsi="Times New Roman" w:cs="Times New Roman"/>
          <w:sz w:val="24"/>
          <w:szCs w:val="24"/>
        </w:rPr>
        <w:t>Entre 2019 y 2024 la inflación de alimentos fue superior a la inflación general en los tres países estudiados, con aumentos de precios particularmente altos en Nigeria y Pakistán y con incrementos inusualmente grandes en aceites y grasas en los tres países durante 2021 y 2022 (los precios de aceites y grasas permanecieron elevados por encima de todos los demás grupos en Pakistán hasta bien entrado 2023, y en México hasta mediados de 2024). Los precios de los almidones básicos subieron más rápido que la inflación general de alimentos en distintos momentos en los tres países: en Nigeria entre 2021 y 2022, en Pakistán entre 2022 y 2023, y en México entre 2020 y 2021, y de nuevo en 2022 y 2023.</w:t>
      </w:r>
      <w:r w:rsidR="004F0A5A">
        <w:rPr>
          <w:rFonts w:ascii="Times New Roman" w:eastAsia="Times New Roman" w:hAnsi="Times New Roman" w:cs="Times New Roman"/>
          <w:b/>
          <w:bCs/>
          <w:sz w:val="24"/>
          <w:szCs w:val="24"/>
        </w:rPr>
        <w:t xml:space="preserve"> </w:t>
      </w:r>
      <w:r w:rsidRPr="004F0A5A">
        <w:rPr>
          <w:rFonts w:ascii="Times New Roman" w:eastAsia="Times New Roman" w:hAnsi="Times New Roman" w:cs="Times New Roman"/>
          <w:sz w:val="24"/>
          <w:szCs w:val="24"/>
        </w:rPr>
        <w:t xml:space="preserve">En términos de primas de precio reales (deflactadas) relativas a los almidones básicos, las verduras mantuvieron consistentemente la prima más alta en los tres países, seguidas de frutas y alimentos de origen animal, con mayor volatilidad estacional que los grupos menos perecederos; esta prima disminuyó sustancialmente en Nigeria durante el período inflacionario </w:t>
      </w:r>
      <w:proofErr w:type="spellStart"/>
      <w:r w:rsidRPr="004F0A5A">
        <w:rPr>
          <w:rFonts w:ascii="Times New Roman" w:eastAsia="Times New Roman" w:hAnsi="Times New Roman" w:cs="Times New Roman"/>
          <w:sz w:val="24"/>
          <w:szCs w:val="24"/>
        </w:rPr>
        <w:t>post-pandemia</w:t>
      </w:r>
      <w:proofErr w:type="spellEnd"/>
      <w:r w:rsidRPr="004F0A5A">
        <w:rPr>
          <w:rFonts w:ascii="Times New Roman" w:eastAsia="Times New Roman" w:hAnsi="Times New Roman" w:cs="Times New Roman"/>
          <w:sz w:val="24"/>
          <w:szCs w:val="24"/>
        </w:rPr>
        <w:t xml:space="preserve"> y bajó modestamente en México para frutas y alimentos de origen animal. Respecto al nivel de procesamiento, en Nigeria los alimentos procesados fueron los más caros en relación con los almidones básicos (prima mediana de 6,9 frente a solo 3,9 para los </w:t>
      </w:r>
      <w:proofErr w:type="spellStart"/>
      <w:r w:rsidRPr="004F0A5A">
        <w:rPr>
          <w:rFonts w:ascii="Times New Roman" w:eastAsia="Times New Roman" w:hAnsi="Times New Roman" w:cs="Times New Roman"/>
          <w:sz w:val="24"/>
          <w:szCs w:val="24"/>
        </w:rPr>
        <w:t>ultraprocesados</w:t>
      </w:r>
      <w:proofErr w:type="spellEnd"/>
      <w:r w:rsidRPr="004F0A5A">
        <w:rPr>
          <w:rFonts w:ascii="Times New Roman" w:eastAsia="Times New Roman" w:hAnsi="Times New Roman" w:cs="Times New Roman"/>
          <w:sz w:val="24"/>
          <w:szCs w:val="24"/>
        </w:rPr>
        <w:t xml:space="preserve"> a lo largo de todo el período), mientras que en México y Pakistán los alimentos no procesados o mínimamente procesados fueron consistentemente los más costosos durante todo el período (en Pakistán la prima de los no procesados fue de 7,4, casi el doble que la de procesados y </w:t>
      </w:r>
      <w:proofErr w:type="spellStart"/>
      <w:r w:rsidRPr="004F0A5A">
        <w:rPr>
          <w:rFonts w:ascii="Times New Roman" w:eastAsia="Times New Roman" w:hAnsi="Times New Roman" w:cs="Times New Roman"/>
          <w:sz w:val="24"/>
          <w:szCs w:val="24"/>
        </w:rPr>
        <w:t>ultraprocesados</w:t>
      </w:r>
      <w:proofErr w:type="spellEnd"/>
      <w:r w:rsidRPr="004F0A5A">
        <w:rPr>
          <w:rFonts w:ascii="Times New Roman" w:eastAsia="Times New Roman" w:hAnsi="Times New Roman" w:cs="Times New Roman"/>
          <w:sz w:val="24"/>
          <w:szCs w:val="24"/>
        </w:rPr>
        <w:t xml:space="preserve">; en México la prima promedio fue de aproximadamente 9,0 para no procesados, 5,3 para procesados y 2,7 para </w:t>
      </w:r>
      <w:proofErr w:type="spellStart"/>
      <w:r w:rsidRPr="004F0A5A">
        <w:rPr>
          <w:rFonts w:ascii="Times New Roman" w:eastAsia="Times New Roman" w:hAnsi="Times New Roman" w:cs="Times New Roman"/>
          <w:sz w:val="24"/>
          <w:szCs w:val="24"/>
        </w:rPr>
        <w:t>ultraprocesados</w:t>
      </w:r>
      <w:proofErr w:type="spellEnd"/>
      <w:r w:rsidRPr="004F0A5A">
        <w:rPr>
          <w:rFonts w:ascii="Times New Roman" w:eastAsia="Times New Roman" w:hAnsi="Times New Roman" w:cs="Times New Roman"/>
          <w:sz w:val="24"/>
          <w:szCs w:val="24"/>
        </w:rPr>
        <w:t>).</w:t>
      </w:r>
      <w:r w:rsidR="004F0A5A">
        <w:rPr>
          <w:rFonts w:ascii="Times New Roman" w:eastAsia="Times New Roman" w:hAnsi="Times New Roman" w:cs="Times New Roman"/>
          <w:b/>
          <w:bCs/>
          <w:sz w:val="24"/>
          <w:szCs w:val="24"/>
        </w:rPr>
        <w:t xml:space="preserve"> </w:t>
      </w:r>
      <w:r w:rsidRPr="004F0A5A">
        <w:rPr>
          <w:rFonts w:ascii="Times New Roman" w:eastAsia="Times New Roman" w:hAnsi="Times New Roman" w:cs="Times New Roman"/>
          <w:sz w:val="24"/>
          <w:szCs w:val="24"/>
        </w:rPr>
        <w:t>Finalmente, al construir un índice de precios reales ponderado por la frecuencia de inclusión de los alimentos en las dietas saludables de menor costo (</w:t>
      </w:r>
      <w:proofErr w:type="spellStart"/>
      <w:r w:rsidRPr="004F0A5A">
        <w:rPr>
          <w:rFonts w:ascii="Times New Roman" w:eastAsia="Times New Roman" w:hAnsi="Times New Roman" w:cs="Times New Roman"/>
          <w:sz w:val="24"/>
          <w:szCs w:val="24"/>
        </w:rPr>
        <w:t>least-cost</w:t>
      </w:r>
      <w:proofErr w:type="spellEnd"/>
      <w:r w:rsidRPr="004F0A5A">
        <w:rPr>
          <w:rFonts w:ascii="Times New Roman" w:eastAsia="Times New Roman" w:hAnsi="Times New Roman" w:cs="Times New Roman"/>
          <w:sz w:val="24"/>
          <w:szCs w:val="24"/>
        </w:rPr>
        <w:t xml:space="preserve"> </w:t>
      </w:r>
      <w:proofErr w:type="spellStart"/>
      <w:r w:rsidRPr="004F0A5A">
        <w:rPr>
          <w:rFonts w:ascii="Times New Roman" w:eastAsia="Times New Roman" w:hAnsi="Times New Roman" w:cs="Times New Roman"/>
          <w:sz w:val="24"/>
          <w:szCs w:val="24"/>
        </w:rPr>
        <w:t>healthy</w:t>
      </w:r>
      <w:proofErr w:type="spellEnd"/>
      <w:r w:rsidRPr="004F0A5A">
        <w:rPr>
          <w:rFonts w:ascii="Times New Roman" w:eastAsia="Times New Roman" w:hAnsi="Times New Roman" w:cs="Times New Roman"/>
          <w:sz w:val="24"/>
          <w:szCs w:val="24"/>
        </w:rPr>
        <w:t xml:space="preserve"> </w:t>
      </w:r>
      <w:proofErr w:type="spellStart"/>
      <w:r w:rsidRPr="004F0A5A">
        <w:rPr>
          <w:rFonts w:ascii="Times New Roman" w:eastAsia="Times New Roman" w:hAnsi="Times New Roman" w:cs="Times New Roman"/>
          <w:sz w:val="24"/>
          <w:szCs w:val="24"/>
        </w:rPr>
        <w:t>diets</w:t>
      </w:r>
      <w:proofErr w:type="spellEnd"/>
      <w:r w:rsidRPr="004F0A5A">
        <w:rPr>
          <w:rFonts w:ascii="Times New Roman" w:eastAsia="Times New Roman" w:hAnsi="Times New Roman" w:cs="Times New Roman"/>
          <w:sz w:val="24"/>
          <w:szCs w:val="24"/>
        </w:rPr>
        <w:t>), se encontró que en Nigeria el precio promedio de estos artículos se mantuvo en el valor de referencia o por debajo de él hasta inicios de 2024, en Pakistán osciló con volatilidad alrededor del valor de referencia durante todo el período, y en México aumentó de manera constante hasta alcanzar un nivel 41,6% superior a la línea base para julio de 2024, lo que indica que, aunque los aumentos de precios dentro de cada grupo alimentario fueron severos en general, el precio promedio de los alimentos saludables de menor costo específico subió más lentamente (México y Nigeria) o no subió en absoluto (Pakistán).</w:t>
      </w:r>
    </w:p>
    <w:p w14:paraId="6956733B" w14:textId="77777777" w:rsidR="00EB272E" w:rsidRDefault="004A095F" w:rsidP="00EB272E">
      <w:pPr>
        <w:pStyle w:val="Prrafodelista"/>
        <w:numPr>
          <w:ilvl w:val="0"/>
          <w:numId w:val="3"/>
        </w:numPr>
        <w:jc w:val="both"/>
        <w:rPr>
          <w:rFonts w:ascii="Times New Roman" w:eastAsia="Times New Roman" w:hAnsi="Times New Roman" w:cs="Times New Roman"/>
          <w:b/>
          <w:bCs/>
          <w:sz w:val="24"/>
          <w:szCs w:val="24"/>
        </w:rPr>
      </w:pPr>
      <w:r w:rsidRPr="008D646B">
        <w:rPr>
          <w:rFonts w:ascii="Times New Roman" w:eastAsia="Times New Roman" w:hAnsi="Times New Roman" w:cs="Times New Roman"/>
          <w:b/>
          <w:bCs/>
          <w:sz w:val="24"/>
          <w:szCs w:val="24"/>
        </w:rPr>
        <w:t>Temple et al.</w:t>
      </w:r>
      <w:r w:rsidR="00C5012C">
        <w:rPr>
          <w:rFonts w:ascii="Times New Roman" w:eastAsia="Times New Roman" w:hAnsi="Times New Roman" w:cs="Times New Roman"/>
          <w:b/>
          <w:bCs/>
          <w:sz w:val="24"/>
          <w:szCs w:val="24"/>
        </w:rPr>
        <w:t>,</w:t>
      </w:r>
      <w:r w:rsidRPr="008D646B">
        <w:rPr>
          <w:rFonts w:ascii="Times New Roman" w:eastAsia="Times New Roman" w:hAnsi="Times New Roman" w:cs="Times New Roman"/>
          <w:b/>
          <w:bCs/>
          <w:sz w:val="24"/>
          <w:szCs w:val="24"/>
        </w:rPr>
        <w:t xml:space="preserve"> (2016)</w:t>
      </w:r>
    </w:p>
    <w:p w14:paraId="369CBEAD" w14:textId="77777777" w:rsidR="00EB272E" w:rsidRPr="00EB272E" w:rsidRDefault="00EB272E" w:rsidP="00EB272E">
      <w:pPr>
        <w:jc w:val="both"/>
        <w:rPr>
          <w:rFonts w:ascii="Times New Roman" w:eastAsia="Times New Roman" w:hAnsi="Times New Roman" w:cs="Times New Roman"/>
          <w:b/>
          <w:bCs/>
          <w:sz w:val="24"/>
          <w:szCs w:val="24"/>
        </w:rPr>
      </w:pPr>
      <w:r w:rsidRPr="00EB272E">
        <w:rPr>
          <w:rFonts w:ascii="Times New Roman" w:eastAsia="Times New Roman" w:hAnsi="Times New Roman" w:cs="Times New Roman"/>
          <w:b/>
          <w:bCs/>
          <w:sz w:val="24"/>
          <w:szCs w:val="24"/>
        </w:rPr>
        <w:t>Objetivo</w:t>
      </w:r>
    </w:p>
    <w:p w14:paraId="72C6A92E" w14:textId="77777777" w:rsidR="00EB272E" w:rsidRDefault="00EB272E" w:rsidP="00EB272E">
      <w:pPr>
        <w:jc w:val="both"/>
        <w:rPr>
          <w:rFonts w:ascii="Times New Roman" w:eastAsia="Times New Roman" w:hAnsi="Times New Roman" w:cs="Times New Roman"/>
          <w:b/>
          <w:bCs/>
          <w:sz w:val="24"/>
          <w:szCs w:val="24"/>
        </w:rPr>
      </w:pPr>
      <w:r w:rsidRPr="00EB272E">
        <w:rPr>
          <w:rFonts w:ascii="Times New Roman" w:eastAsia="Times New Roman" w:hAnsi="Times New Roman" w:cs="Times New Roman"/>
          <w:sz w:val="24"/>
          <w:szCs w:val="24"/>
        </w:rPr>
        <w:lastRenderedPageBreak/>
        <w:t>Sintetizar los resultados sobre el conocimiento del subsistema de abastecimiento y de producción de alimentos de Cali, con el fin de mejorar la comprensión de los problemas mayores que encuentra la población vulnerable en el acceso a una alimentación suficiente y saludable, dentro del marco del proyecto "Cali Come Mejor". Este reporte n°4 se apoya en los reportes previos del proyecto (el cuadro metodológico del reporte 1, la revisión de literatura científica del reporte 2 y la encuesta participativa con actores públicos y privados del reporte 3) y busca específicamente caracterizar la estructura de las cadenas de abastecimiento (zonas de producción, actores involucrados y flujos de productos entre ellos) y analizar el funcionamiento de dicho sistema para identificar las debilidades que afectan tanto a los consumidores vulnerables como a los pequeños y medianos productores de las zonas rurales cercanas a Cali.</w:t>
      </w:r>
    </w:p>
    <w:p w14:paraId="29662531" w14:textId="77777777" w:rsidR="00EB272E" w:rsidRDefault="00EB272E" w:rsidP="00EB272E">
      <w:pPr>
        <w:jc w:val="both"/>
        <w:rPr>
          <w:rFonts w:ascii="Times New Roman" w:eastAsia="Times New Roman" w:hAnsi="Times New Roman" w:cs="Times New Roman"/>
          <w:b/>
          <w:bCs/>
          <w:sz w:val="24"/>
          <w:szCs w:val="24"/>
        </w:rPr>
      </w:pPr>
      <w:r w:rsidRPr="00EB272E">
        <w:rPr>
          <w:rFonts w:ascii="Times New Roman" w:eastAsia="Times New Roman" w:hAnsi="Times New Roman" w:cs="Times New Roman"/>
          <w:b/>
          <w:bCs/>
          <w:sz w:val="24"/>
          <w:szCs w:val="24"/>
        </w:rPr>
        <w:t>Metodología</w:t>
      </w:r>
    </w:p>
    <w:p w14:paraId="6A8CD5F8" w14:textId="77777777" w:rsidR="00EB272E" w:rsidRDefault="00EB272E" w:rsidP="00EB272E">
      <w:pPr>
        <w:jc w:val="both"/>
        <w:rPr>
          <w:rFonts w:ascii="Times New Roman" w:eastAsia="Times New Roman" w:hAnsi="Times New Roman" w:cs="Times New Roman"/>
          <w:b/>
          <w:bCs/>
          <w:sz w:val="24"/>
          <w:szCs w:val="24"/>
        </w:rPr>
      </w:pPr>
      <w:r w:rsidRPr="00EB272E">
        <w:rPr>
          <w:rFonts w:ascii="Times New Roman" w:eastAsia="Times New Roman" w:hAnsi="Times New Roman" w:cs="Times New Roman"/>
          <w:sz w:val="24"/>
          <w:szCs w:val="24"/>
        </w:rPr>
        <w:t>La metodología combina un componente descriptivo y un componente analítico. En la parte descriptiva, los autores caracterizan las zonas de producción e importación agrícola del Valle del Cauca a partir de datos de AGRONET (2015a y 2015b, período 2003-2013) y del listado de orígenes de CAVASA 2015, que permite trazar el origen departamental o internacional de productos básicos como papa, arroz, plátano, yuca, tomate y cebolla. Para los actores del sistema de abastecimiento, se utiliza la base de datos de la Cámara de Comercio de Cali (2015) sobre 5486 a 5684 empresas formales del sector de comercialización de alimentos, clasificadas en micro, pequeña, mediana y grande según número de empleados, y analizadas mediante dos indicadores de concentración: el porcentaje de activos y el porcentaje de empleo generado por cada categoría de empresa.</w:t>
      </w:r>
      <w:r>
        <w:rPr>
          <w:rFonts w:ascii="Times New Roman" w:eastAsia="Times New Roman" w:hAnsi="Times New Roman" w:cs="Times New Roman"/>
          <w:b/>
          <w:bCs/>
          <w:sz w:val="24"/>
          <w:szCs w:val="24"/>
        </w:rPr>
        <w:t xml:space="preserve"> T</w:t>
      </w:r>
      <w:r w:rsidRPr="00EB272E">
        <w:rPr>
          <w:rFonts w:ascii="Times New Roman" w:eastAsia="Times New Roman" w:hAnsi="Times New Roman" w:cs="Times New Roman"/>
          <w:sz w:val="24"/>
          <w:szCs w:val="24"/>
        </w:rPr>
        <w:t>ambién se usan datos de localización geográfica de supermercados y plazas de mercado (Secretaría Municipal de Planeación de Cali 2014, Cali en Cifras 2013) para calcular la relación habitante por mercado y habitante por supermercado en las comunas clasificadas como vulnerables (13, 14, 15, 18, 21) frente a las comunas de mayor estrato. Para los hábitos de compra según nivel de ingresos se recurre a una encuesta de OXFAM (2011) con base de 489 personas, que reporta el lugar de compra (tienda de barrio, supermercado de cadena, supermercado de barrio, plaza de mercado, tienda especialista, panadería, mercado móvil) desagregado por estrato socioeconómico del 1 al 6</w:t>
      </w:r>
      <w:r>
        <w:rPr>
          <w:rFonts w:ascii="Times New Roman" w:eastAsia="Times New Roman" w:hAnsi="Times New Roman" w:cs="Times New Roman"/>
          <w:sz w:val="24"/>
          <w:szCs w:val="24"/>
        </w:rPr>
        <w:t xml:space="preserve">. </w:t>
      </w:r>
      <w:r w:rsidRPr="00EB272E">
        <w:rPr>
          <w:rFonts w:ascii="Times New Roman" w:eastAsia="Times New Roman" w:hAnsi="Times New Roman" w:cs="Times New Roman"/>
          <w:sz w:val="24"/>
          <w:szCs w:val="24"/>
        </w:rPr>
        <w:t xml:space="preserve">Para el análisis de precios se movilizan dos fuentes: los datos del DANE sobre el índice de precios al consumidor de alimentos en Cali comparado con el promedio nacional (años 2010 a 2012, con indicios de 2013 y 2014), y datos del DAM que permiten comparar los precios de Cali con el promedio de ocho a nueve ciudades colombianas (Barranquilla, Bogotá, Bucaramanga, Cartagena, Cúcuta, Manizales, Medellín, Montería, Neiva, Pasto, Pereira y Villavicencio) para productos específicos como jugos naturales, un promedio de 20 productos de frutas y verduras, plátano, gaseosas y tomate, expresados en precio por 500 gramos entre 2012 y 2015. El documento no explicita un procedimiento de </w:t>
      </w:r>
      <w:proofErr w:type="spellStart"/>
      <w:r w:rsidRPr="00EB272E">
        <w:rPr>
          <w:rFonts w:ascii="Times New Roman" w:eastAsia="Times New Roman" w:hAnsi="Times New Roman" w:cs="Times New Roman"/>
          <w:sz w:val="24"/>
          <w:szCs w:val="24"/>
        </w:rPr>
        <w:t>deflactación</w:t>
      </w:r>
      <w:proofErr w:type="spellEnd"/>
      <w:r w:rsidRPr="00EB272E">
        <w:rPr>
          <w:rFonts w:ascii="Times New Roman" w:eastAsia="Times New Roman" w:hAnsi="Times New Roman" w:cs="Times New Roman"/>
          <w:sz w:val="24"/>
          <w:szCs w:val="24"/>
        </w:rPr>
        <w:t xml:space="preserve"> ni distingue entre precios reales y nominales, por lo que las comparaciones presentadas corresponden a valores corrientes tal como fueron reportados por las fuentes DANE y DAM. Adicionalmente, se realizó una encuesta directa sobre algunos productos para comparar precios entre supermercado grande, supermercado pequeño, galería Santa Elena y tiendas del Distrito de Agua Blanca.</w:t>
      </w:r>
    </w:p>
    <w:p w14:paraId="79557297" w14:textId="77777777" w:rsidR="00EB272E" w:rsidRDefault="00EB272E" w:rsidP="00EB272E">
      <w:pPr>
        <w:jc w:val="both"/>
        <w:rPr>
          <w:rFonts w:ascii="Times New Roman" w:eastAsia="Times New Roman" w:hAnsi="Times New Roman" w:cs="Times New Roman"/>
          <w:b/>
          <w:bCs/>
          <w:sz w:val="24"/>
          <w:szCs w:val="24"/>
        </w:rPr>
      </w:pPr>
      <w:r w:rsidRPr="00EB272E">
        <w:rPr>
          <w:rFonts w:ascii="Times New Roman" w:eastAsia="Times New Roman" w:hAnsi="Times New Roman" w:cs="Times New Roman"/>
          <w:b/>
          <w:bCs/>
          <w:sz w:val="24"/>
          <w:szCs w:val="24"/>
        </w:rPr>
        <w:lastRenderedPageBreak/>
        <w:t>Resultados</w:t>
      </w:r>
    </w:p>
    <w:p w14:paraId="63FDC892" w14:textId="2FAD9C9E" w:rsidR="00EB272E" w:rsidRPr="00EB272E" w:rsidRDefault="00EB272E" w:rsidP="00EB272E">
      <w:pPr>
        <w:jc w:val="both"/>
        <w:rPr>
          <w:rFonts w:ascii="Times New Roman" w:eastAsia="Times New Roman" w:hAnsi="Times New Roman" w:cs="Times New Roman"/>
          <w:b/>
          <w:bCs/>
          <w:sz w:val="24"/>
          <w:szCs w:val="24"/>
        </w:rPr>
      </w:pPr>
      <w:r w:rsidRPr="00EB272E">
        <w:rPr>
          <w:rFonts w:ascii="Times New Roman" w:eastAsia="Times New Roman" w:hAnsi="Times New Roman" w:cs="Times New Roman"/>
          <w:sz w:val="24"/>
          <w:szCs w:val="24"/>
        </w:rPr>
        <w:t>El Valle del Cauca produce solo entre el 20% y el 35% de los alimentos consumidos en Cali, siendo el resto importado de otros departamentos o del exterior; la caña de azúcar ocupa el 46% del área cosechada departamental y genera el 91% de la producción en toneladas, lo que según el reporte bloquea el desarrollo de la agricultura urbana y periurbana, cuya contribución al abastecimiento de los mercados de la ciudad se estima en apenas 3%.</w:t>
      </w:r>
      <w:r>
        <w:rPr>
          <w:rFonts w:ascii="Times New Roman" w:eastAsia="Times New Roman" w:hAnsi="Times New Roman" w:cs="Times New Roman"/>
          <w:b/>
          <w:bCs/>
          <w:sz w:val="24"/>
          <w:szCs w:val="24"/>
        </w:rPr>
        <w:t xml:space="preserve"> </w:t>
      </w:r>
      <w:r w:rsidRPr="00EB272E">
        <w:rPr>
          <w:rFonts w:ascii="Times New Roman" w:eastAsia="Times New Roman" w:hAnsi="Times New Roman" w:cs="Times New Roman"/>
          <w:sz w:val="24"/>
          <w:szCs w:val="24"/>
        </w:rPr>
        <w:t>En cuanto a los canales de compra de la población vulnerable, la tienda de barrio es la fuente principal con 45% de las compras, seguida por los supermercados con 35% y los mercados móviles o galerías con 10% cada uno. La estructura empresarial muestra una fuerte concentración: 11 empresas grandes (menos del 1% del total de empresas del sector) manejan el 85% de los activos y el 41% del empleo, mientras que 5486 microempresas (96% del total, principalmente tiendas de barrio) generan el 43% del empleo pero solo el 2% de los activos, lo que lleva a los autores a plantear la hipótesis de que las cadenas de supermercados manejan entre el 60% y el 70% de la distribución de alimentos a la población vulnerable, configurando una estructura de oligopolio. Las comunas vulnerables (13, 14, 15, 18, 21) tienen, por habitante, tres veces menos plazas de mercado y siete veces menos supermercados que las comunas de mayor estrato.</w:t>
      </w:r>
      <w:r>
        <w:rPr>
          <w:rFonts w:ascii="Times New Roman" w:eastAsia="Times New Roman" w:hAnsi="Times New Roman" w:cs="Times New Roman"/>
          <w:b/>
          <w:bCs/>
          <w:sz w:val="24"/>
          <w:szCs w:val="24"/>
        </w:rPr>
        <w:t xml:space="preserve"> </w:t>
      </w:r>
      <w:r w:rsidRPr="00EB272E">
        <w:rPr>
          <w:rFonts w:ascii="Times New Roman" w:eastAsia="Times New Roman" w:hAnsi="Times New Roman" w:cs="Times New Roman"/>
          <w:sz w:val="24"/>
          <w:szCs w:val="24"/>
        </w:rPr>
        <w:t>Respecto a precios, el índice de precios al consumidor de alimentos fue más elevado en Cali que el promedio nacional entre 2010 y 2012, con una brecha que según los datos disponibles de 2013 y 2014 continuó ampliándose; los jugos naturales resultaron 7% más caros en Cali que en el promedio de las otras ciudades (2012-2015) y el conjunto de 20 productos de frutas y verduras fue 9% más caro en 2015. Sin embargo, se identificaron dos excepciones favorables: el plátano fue 19-20% más barato en Cali que en el promedio de las otras ciudades, mientras que las gaseosas fueron 20-21% más caras en Cali pese a que la industria de producción de gaseosas de Colombia está concentrada en esa ciudad. Finalmente, la comparación interna de precios mostró que el supermercado grande cobra 60% más que la galería de Santa Elena por un conjunto de siete productos de frutas y verduras, el supermercado pequeño 8% más y las tiendas del Distrito de Agua Blanca 10% más, evidenciando que Santa Elena ofrece los precios más bajos dentro del sistema de abastecimiento de Cali.</w:t>
      </w:r>
    </w:p>
    <w:p w14:paraId="4BBD5192" w14:textId="2488A1B8" w:rsidR="004114DC" w:rsidRPr="00875AD1" w:rsidRDefault="004A095F" w:rsidP="00875AD1">
      <w:pPr>
        <w:jc w:val="both"/>
        <w:rPr>
          <w:rFonts w:ascii="Times New Roman" w:eastAsia="Times New Roman" w:hAnsi="Times New Roman" w:cs="Times New Roman"/>
          <w:b/>
          <w:bCs/>
          <w:sz w:val="24"/>
          <w:szCs w:val="24"/>
        </w:rPr>
      </w:pPr>
      <w:r w:rsidRPr="00EB272E">
        <w:rPr>
          <w:rFonts w:ascii="Times New Roman" w:eastAsia="Times New Roman" w:hAnsi="Times New Roman" w:cs="Times New Roman"/>
          <w:b/>
          <w:bCs/>
          <w:sz w:val="24"/>
          <w:szCs w:val="24"/>
        </w:rPr>
        <w:t xml:space="preserve"> </w:t>
      </w:r>
    </w:p>
    <w:p w14:paraId="3890A10D" w14:textId="77777777" w:rsidR="00AD5F0E" w:rsidRPr="00AD5F0E" w:rsidRDefault="004A095F" w:rsidP="00AD5F0E">
      <w:pPr>
        <w:pStyle w:val="Prrafodelista"/>
        <w:numPr>
          <w:ilvl w:val="0"/>
          <w:numId w:val="3"/>
        </w:numPr>
        <w:jc w:val="both"/>
        <w:rPr>
          <w:rFonts w:ascii="Times New Roman" w:eastAsia="Times New Roman" w:hAnsi="Times New Roman" w:cs="Times New Roman"/>
          <w:b/>
          <w:bCs/>
          <w:sz w:val="24"/>
          <w:szCs w:val="24"/>
        </w:rPr>
      </w:pPr>
      <w:r w:rsidRPr="00EB272E">
        <w:rPr>
          <w:rFonts w:ascii="Times New Roman" w:eastAsia="Times New Roman" w:hAnsi="Times New Roman" w:cs="Times New Roman"/>
          <w:b/>
          <w:bCs/>
          <w:sz w:val="24"/>
          <w:szCs w:val="24"/>
          <w:lang w:val="en-US"/>
        </w:rPr>
        <w:t>Rankin et al.</w:t>
      </w:r>
      <w:r w:rsidR="00C5012C" w:rsidRPr="00EB272E">
        <w:rPr>
          <w:rFonts w:ascii="Times New Roman" w:eastAsia="Times New Roman" w:hAnsi="Times New Roman" w:cs="Times New Roman"/>
          <w:b/>
          <w:bCs/>
          <w:sz w:val="24"/>
          <w:szCs w:val="24"/>
          <w:lang w:val="en-US"/>
        </w:rPr>
        <w:t>,</w:t>
      </w:r>
      <w:r w:rsidRPr="00EB272E">
        <w:rPr>
          <w:rFonts w:ascii="Times New Roman" w:eastAsia="Times New Roman" w:hAnsi="Times New Roman" w:cs="Times New Roman"/>
          <w:b/>
          <w:bCs/>
          <w:sz w:val="24"/>
          <w:szCs w:val="24"/>
          <w:lang w:val="en-US"/>
        </w:rPr>
        <w:t xml:space="preserve"> (2021) </w:t>
      </w:r>
    </w:p>
    <w:p w14:paraId="26D719F9" w14:textId="77777777" w:rsidR="004F7260" w:rsidRDefault="00E6040E" w:rsidP="004F7260">
      <w:pPr>
        <w:jc w:val="both"/>
        <w:rPr>
          <w:rFonts w:ascii="Times New Roman" w:hAnsi="Times New Roman" w:cs="Times New Roman"/>
          <w:b/>
          <w:bCs/>
          <w:sz w:val="24"/>
          <w:szCs w:val="24"/>
        </w:rPr>
      </w:pPr>
      <w:r w:rsidRPr="00AD5F0E">
        <w:rPr>
          <w:rFonts w:ascii="Times New Roman" w:hAnsi="Times New Roman" w:cs="Times New Roman"/>
          <w:b/>
          <w:bCs/>
          <w:sz w:val="24"/>
          <w:szCs w:val="24"/>
        </w:rPr>
        <w:t>Objetivo</w:t>
      </w:r>
    </w:p>
    <w:p w14:paraId="75C83186" w14:textId="77777777" w:rsidR="004F7260" w:rsidRDefault="004F7260" w:rsidP="004F7260">
      <w:pPr>
        <w:jc w:val="both"/>
        <w:rPr>
          <w:rFonts w:ascii="Times New Roman" w:hAnsi="Times New Roman" w:cs="Times New Roman"/>
          <w:sz w:val="24"/>
          <w:szCs w:val="24"/>
        </w:rPr>
      </w:pPr>
      <w:r w:rsidRPr="004F7260">
        <w:rPr>
          <w:rFonts w:ascii="Times New Roman" w:hAnsi="Times New Roman" w:cs="Times New Roman"/>
          <w:sz w:val="24"/>
          <w:szCs w:val="24"/>
        </w:rPr>
        <w:t>Describir todos los componentes del sistema alimentario de Cali como ciudad-región, con el fin de entender sus características, dinámicas y vulnerabilidades, e identificar oportunidades de fortalecimiento y acción desde diferentes perspectivas de los actores del sistema. El estudio se enfoca en el municipio de Cali como polo de consumo, pero busca evidenciar también su relación tanto con las zonas productoras vecinas como con otras localidades receptoras que se abastecen del flujo de alimentos que transita y se redistribuye por la ciudad, con el fin de construir un diagnóstico que sirva de herramienta para la toma de decisiones y ayude a los actores del sistema a construir una visión común y una hoja de ruta hacia su transformación sostenible.</w:t>
      </w:r>
    </w:p>
    <w:p w14:paraId="010085AA" w14:textId="77777777" w:rsidR="004F7260" w:rsidRDefault="004F7260" w:rsidP="004F7260">
      <w:pPr>
        <w:jc w:val="both"/>
        <w:rPr>
          <w:rFonts w:ascii="Times New Roman" w:hAnsi="Times New Roman" w:cs="Times New Roman"/>
          <w:b/>
          <w:bCs/>
          <w:sz w:val="24"/>
          <w:szCs w:val="24"/>
        </w:rPr>
      </w:pPr>
      <w:r w:rsidRPr="004F7260">
        <w:rPr>
          <w:rFonts w:ascii="Times New Roman" w:hAnsi="Times New Roman" w:cs="Times New Roman"/>
          <w:b/>
          <w:bCs/>
          <w:sz w:val="24"/>
          <w:szCs w:val="24"/>
        </w:rPr>
        <w:t>Metodologí</w:t>
      </w:r>
      <w:r>
        <w:rPr>
          <w:rFonts w:ascii="Times New Roman" w:hAnsi="Times New Roman" w:cs="Times New Roman"/>
          <w:b/>
          <w:bCs/>
          <w:sz w:val="24"/>
          <w:szCs w:val="24"/>
        </w:rPr>
        <w:t>a</w:t>
      </w:r>
    </w:p>
    <w:p w14:paraId="1B57FB75" w14:textId="77777777" w:rsidR="004F7260" w:rsidRDefault="004F7260" w:rsidP="004F7260">
      <w:pPr>
        <w:jc w:val="both"/>
        <w:rPr>
          <w:rFonts w:ascii="Times New Roman" w:hAnsi="Times New Roman" w:cs="Times New Roman"/>
          <w:sz w:val="24"/>
          <w:szCs w:val="24"/>
        </w:rPr>
      </w:pPr>
      <w:r w:rsidRPr="004F7260">
        <w:rPr>
          <w:rFonts w:ascii="Times New Roman" w:hAnsi="Times New Roman" w:cs="Times New Roman"/>
          <w:sz w:val="24"/>
          <w:szCs w:val="24"/>
        </w:rPr>
        <w:lastRenderedPageBreak/>
        <w:t xml:space="preserve">El estudio no aplica una metodología de costeo de dietas (no emplea </w:t>
      </w:r>
      <w:proofErr w:type="spellStart"/>
      <w:r w:rsidRPr="004F7260">
        <w:rPr>
          <w:rFonts w:ascii="Times New Roman" w:hAnsi="Times New Roman" w:cs="Times New Roman"/>
          <w:sz w:val="24"/>
          <w:szCs w:val="24"/>
        </w:rPr>
        <w:t>CoHD</w:t>
      </w:r>
      <w:proofErr w:type="spellEnd"/>
      <w:r w:rsidRPr="004F7260">
        <w:rPr>
          <w:rFonts w:ascii="Times New Roman" w:hAnsi="Times New Roman" w:cs="Times New Roman"/>
          <w:sz w:val="24"/>
          <w:szCs w:val="24"/>
        </w:rPr>
        <w:t xml:space="preserve">, </w:t>
      </w:r>
      <w:proofErr w:type="spellStart"/>
      <w:r w:rsidRPr="004F7260">
        <w:rPr>
          <w:rFonts w:ascii="Times New Roman" w:hAnsi="Times New Roman" w:cs="Times New Roman"/>
          <w:sz w:val="24"/>
          <w:szCs w:val="24"/>
        </w:rPr>
        <w:t>CoNA</w:t>
      </w:r>
      <w:proofErr w:type="spellEnd"/>
      <w:r w:rsidRPr="004F7260">
        <w:rPr>
          <w:rFonts w:ascii="Times New Roman" w:hAnsi="Times New Roman" w:cs="Times New Roman"/>
          <w:sz w:val="24"/>
          <w:szCs w:val="24"/>
        </w:rPr>
        <w:t xml:space="preserve"> ni CoCA), sino que es un diagnóstico documental construido mediante compilación y triangulación de datos secundarios, organizado bajo el marco analítico de </w:t>
      </w:r>
      <w:proofErr w:type="spellStart"/>
      <w:r w:rsidRPr="004F7260">
        <w:rPr>
          <w:rFonts w:ascii="Times New Roman" w:hAnsi="Times New Roman" w:cs="Times New Roman"/>
          <w:sz w:val="24"/>
          <w:szCs w:val="24"/>
        </w:rPr>
        <w:t>De</w:t>
      </w:r>
      <w:proofErr w:type="spellEnd"/>
      <w:r w:rsidRPr="004F7260">
        <w:rPr>
          <w:rFonts w:ascii="Times New Roman" w:hAnsi="Times New Roman" w:cs="Times New Roman"/>
          <w:sz w:val="24"/>
          <w:szCs w:val="24"/>
        </w:rPr>
        <w:t xml:space="preserve"> </w:t>
      </w:r>
      <w:proofErr w:type="spellStart"/>
      <w:r w:rsidRPr="004F7260">
        <w:rPr>
          <w:rFonts w:ascii="Times New Roman" w:hAnsi="Times New Roman" w:cs="Times New Roman"/>
          <w:sz w:val="24"/>
          <w:szCs w:val="24"/>
        </w:rPr>
        <w:t>Brauw</w:t>
      </w:r>
      <w:proofErr w:type="spellEnd"/>
      <w:r w:rsidRPr="004F7260">
        <w:rPr>
          <w:rFonts w:ascii="Times New Roman" w:hAnsi="Times New Roman" w:cs="Times New Roman"/>
          <w:sz w:val="24"/>
          <w:szCs w:val="24"/>
        </w:rPr>
        <w:t xml:space="preserve"> et al. (2019, adaptado de HLPE 2017), que divide la información en determinantes del sistema (ambientales, demográficos, de innovación/tecnología/infraestructura, políticos y económicos, socioculturales), componentes del sistema (suministro de alimentos, entorno alimentario, comportamiento del consumidor, dietas) y resultados (nutrición y salud, seguridad alimentaria, socioeconómicos y de bienestar, ambientales). Entre las fuentes utilizadas están el DANE (censo agropecuario 2014, censo de población 2018, encuesta de presupuestos de los hogares 2017, encuesta de calidad de vida 2018, sistema de precios SIPSA), el ICBF (ENSIN 2015, base de las cifras de prácticas de alimentación, frecuencia de consumo, inseguridad alimentaria, anemia, micronutrientes, sobrepeso, obesidad y adecuación de la dieta infantil), la Cámara de Comercio de Cali, varias secretarías de la Alcaldía consultadas por comunicación personal, los planes de cambio climático de CVC-CIAT-DAGMA, el estudio nacional de pérdida y desperdicio de alimentos del DNP (2016), un estudio de caracterización de residuos residenciales de la Universidad del Valle y la UAO (2015), el estudio de factibilidad de central de abastecimiento del Instituto de Prospectiva y la Alcaldía (2018), el boletín epidemiológico municipal de brotes de ETA (2019), y estudios puntuales como Arciniegas y Peña (2017), Melchor y Lerma (2016) y </w:t>
      </w:r>
      <w:proofErr w:type="spellStart"/>
      <w:r w:rsidRPr="004F7260">
        <w:rPr>
          <w:rFonts w:ascii="Times New Roman" w:hAnsi="Times New Roman" w:cs="Times New Roman"/>
          <w:sz w:val="24"/>
          <w:szCs w:val="24"/>
        </w:rPr>
        <w:t>Gerbal</w:t>
      </w:r>
      <w:proofErr w:type="spellEnd"/>
      <w:r w:rsidRPr="004F7260">
        <w:rPr>
          <w:rFonts w:ascii="Times New Roman" w:hAnsi="Times New Roman" w:cs="Times New Roman"/>
          <w:sz w:val="24"/>
          <w:szCs w:val="24"/>
        </w:rPr>
        <w:t xml:space="preserve"> (2019). No se describe procedimiento de muestreo ni fórmulas de cálculo propias: las cifras se reportan tal como fueron publicadas por cada fuente original. El documento tampoco indica si las cifras monetarias están en términos reales o nominales; todas corresponden a valores puntuales de un año específico (por ejemplo, gasto en alimentos de 15,11 billones de pesos en 2019, pérdidas agrícolas de 5.336 millones en 2018, gasto mensual en supermercado de 401.978 pesos frente a 80.854 en tiendas de barrio en 2016) sin mención de </w:t>
      </w:r>
      <w:proofErr w:type="spellStart"/>
      <w:r w:rsidRPr="004F7260">
        <w:rPr>
          <w:rFonts w:ascii="Times New Roman" w:hAnsi="Times New Roman" w:cs="Times New Roman"/>
          <w:sz w:val="24"/>
          <w:szCs w:val="24"/>
        </w:rPr>
        <w:t>deflactación</w:t>
      </w:r>
      <w:proofErr w:type="spellEnd"/>
      <w:r w:rsidRPr="004F7260">
        <w:rPr>
          <w:rFonts w:ascii="Times New Roman" w:hAnsi="Times New Roman" w:cs="Times New Roman"/>
          <w:sz w:val="24"/>
          <w:szCs w:val="24"/>
        </w:rPr>
        <w:t xml:space="preserve"> ni año base, por lo que deben interpretarse como valores nominales del año reportado.</w:t>
      </w:r>
    </w:p>
    <w:p w14:paraId="1DE27241" w14:textId="77777777" w:rsidR="004F7260" w:rsidRPr="004F7260" w:rsidRDefault="004F7260" w:rsidP="004F7260">
      <w:pPr>
        <w:jc w:val="both"/>
        <w:rPr>
          <w:rFonts w:ascii="Times New Roman" w:hAnsi="Times New Roman" w:cs="Times New Roman"/>
          <w:b/>
          <w:bCs/>
          <w:sz w:val="24"/>
          <w:szCs w:val="24"/>
        </w:rPr>
      </w:pPr>
      <w:r w:rsidRPr="004F7260">
        <w:rPr>
          <w:rFonts w:ascii="Times New Roman" w:hAnsi="Times New Roman" w:cs="Times New Roman"/>
          <w:b/>
          <w:bCs/>
          <w:sz w:val="24"/>
          <w:szCs w:val="24"/>
        </w:rPr>
        <w:t>Resultados</w:t>
      </w:r>
    </w:p>
    <w:p w14:paraId="74392A35" w14:textId="19BA5F30" w:rsidR="004F7260" w:rsidRPr="004F7260" w:rsidRDefault="004F7260" w:rsidP="004F7260">
      <w:pPr>
        <w:jc w:val="both"/>
        <w:rPr>
          <w:rFonts w:ascii="Times New Roman" w:hAnsi="Times New Roman" w:cs="Times New Roman"/>
          <w:b/>
          <w:bCs/>
          <w:sz w:val="24"/>
          <w:szCs w:val="24"/>
        </w:rPr>
      </w:pPr>
      <w:r w:rsidRPr="004F7260">
        <w:rPr>
          <w:rFonts w:ascii="Times New Roman" w:hAnsi="Times New Roman" w:cs="Times New Roman"/>
          <w:sz w:val="24"/>
          <w:szCs w:val="24"/>
        </w:rPr>
        <w:t xml:space="preserve">Cali tiene 2.227.642 habitantes (97,5% urbanos), con un índice de Gini de 0,52 y una composición étnica de 73% mestizos, 26% afrodescendientes y 0,5% indígenas; los estratos 1, 2 y 3 concentran el 80% de la población. El 70% del territorio municipal es rural, pero está compuesto en un 89% por laderas y en un 72% por áreas protegidas, por lo que el municipio no tiene vocación agrícola y depende de Cauca, Nariño, Huila y Tolima, además de importaciones internacionales, para su abastecimiento: alrededor del 65% de la carga comercializada en CAVASA es importada. La ciudad cuenta con dos centrales mayoristas (CAVASA y Santa Elena), que en 2017 cubrieron en conjunto el 54% de los </w:t>
      </w:r>
      <w:proofErr w:type="spellStart"/>
      <w:r w:rsidRPr="004F7260">
        <w:rPr>
          <w:rFonts w:ascii="Times New Roman" w:hAnsi="Times New Roman" w:cs="Times New Roman"/>
          <w:sz w:val="24"/>
          <w:szCs w:val="24"/>
        </w:rPr>
        <w:t>agroalimentos</w:t>
      </w:r>
      <w:proofErr w:type="spellEnd"/>
      <w:r w:rsidRPr="004F7260">
        <w:rPr>
          <w:rFonts w:ascii="Times New Roman" w:hAnsi="Times New Roman" w:cs="Times New Roman"/>
          <w:sz w:val="24"/>
          <w:szCs w:val="24"/>
        </w:rPr>
        <w:t xml:space="preserve"> distribuidos, además de 5 plazas de mercado, 41 mercados móviles y 11 mercados campesinos. Existen entre 10.000 y 15.000 tiendas, fruterías, supermercados pequeños y grandes superficies, siendo las tiendas de barrio el principal punto de compra diaria (más del 60% de las compras de alimentos), aunque se cerraron entre 4.000 y 5.000 tiendas en los cuatro años previos a 2020 por la entrada de supermercados de descuento. En 2019 se reportaron 95 brotes de enfermedades transmitidas por alimentos que afectaron a 881 personas, ocurridos principalmente en el hogar (41,1%) y en restaurantes (40,5%). El gasto </w:t>
      </w:r>
      <w:r w:rsidRPr="004F7260">
        <w:rPr>
          <w:rFonts w:ascii="Times New Roman" w:hAnsi="Times New Roman" w:cs="Times New Roman"/>
          <w:sz w:val="24"/>
          <w:szCs w:val="24"/>
        </w:rPr>
        <w:lastRenderedPageBreak/>
        <w:t>de los hogares en alimentos creció 6,63% en 2019 frente a 2018, y en Colombia se pierden 9,76 millones de toneladas de alimentos al año (34% del total disponible); en Cali, la zona urbana desperdició al menos 10.219 toneladas de comida cocinada consumible en 2015, y la ciudad genera 1.800 toneladas diarias de residuos sólidos, de las cuales el 70% (1.260 toneladas) es aprovechable. En cuanto a las dietas, más del 90% de los hogares reporta consumir arroz, granos secos, huevos, pollo, papa y jugos de fruta, con una dieta alta en carbohidratos y baja en verduras; solo el 34% de los niños entre 6 meses y 2 años tiene una dieta mínima aceptable, el 55% de los niños menores de 1 año y el 35% de las mujeres en edad fértil tienen anemia. Como resultado, una de cada dos personas en la ciudad tiene sobrepeso u obesidad, las enfermedades crónicas no transmisibles representan el 74,5% de las consultas médicas (2017), y el 51,3% de los hogares presenta inseguridad alimentaria según la ENSIN 2015 (34,3% leve, 10% moderada, 7% severa), cifra que se duplicó entre 2005 y 2010 y siguió aumentando hasta 2015. Entre el 30% y el 35% de los empleos de la ciudad son generados por el sector alimentario, y en los rellenos sanitarios se emiten 25 toneladas de CO2 por cada tonelada de comida desperdiciada.</w:t>
      </w:r>
    </w:p>
    <w:p w14:paraId="14018BDC" w14:textId="77777777" w:rsidR="00AC624C" w:rsidRPr="00AC624C" w:rsidRDefault="004A095F" w:rsidP="00AC624C">
      <w:pPr>
        <w:pStyle w:val="Prrafodelista"/>
        <w:numPr>
          <w:ilvl w:val="0"/>
          <w:numId w:val="3"/>
        </w:numPr>
        <w:jc w:val="both"/>
        <w:rPr>
          <w:rFonts w:ascii="Times New Roman" w:eastAsia="Times New Roman" w:hAnsi="Times New Roman" w:cs="Times New Roman"/>
          <w:b/>
          <w:bCs/>
          <w:sz w:val="24"/>
          <w:szCs w:val="24"/>
        </w:rPr>
      </w:pPr>
      <w:r w:rsidRPr="00AD5F0E">
        <w:rPr>
          <w:rFonts w:ascii="Times New Roman" w:eastAsia="Times New Roman" w:hAnsi="Times New Roman" w:cs="Times New Roman"/>
          <w:b/>
          <w:bCs/>
          <w:sz w:val="24"/>
          <w:szCs w:val="24"/>
          <w:lang w:val="en-US"/>
        </w:rPr>
        <w:t xml:space="preserve">World Bank (2020) </w:t>
      </w:r>
    </w:p>
    <w:p w14:paraId="5947E93C" w14:textId="77777777" w:rsidR="00AC624C" w:rsidRPr="00AC624C" w:rsidRDefault="00AC624C" w:rsidP="00AC624C">
      <w:pPr>
        <w:jc w:val="both"/>
        <w:rPr>
          <w:rStyle w:val="Fuerte"/>
          <w:rFonts w:ascii="Times New Roman" w:hAnsi="Times New Roman" w:cs="Times New Roman"/>
          <w:sz w:val="24"/>
          <w:szCs w:val="24"/>
        </w:rPr>
      </w:pPr>
      <w:r w:rsidRPr="00AC624C">
        <w:rPr>
          <w:rStyle w:val="Fuerte"/>
          <w:rFonts w:ascii="Times New Roman" w:hAnsi="Times New Roman" w:cs="Times New Roman"/>
          <w:sz w:val="24"/>
          <w:szCs w:val="24"/>
        </w:rPr>
        <w:t>Objetivo</w:t>
      </w:r>
    </w:p>
    <w:p w14:paraId="69EB702C" w14:textId="77777777" w:rsidR="00AC624C" w:rsidRDefault="00AC624C" w:rsidP="00AC624C">
      <w:pPr>
        <w:jc w:val="both"/>
        <w:rPr>
          <w:rFonts w:ascii="Times New Roman" w:hAnsi="Times New Roman" w:cs="Times New Roman"/>
          <w:sz w:val="24"/>
          <w:szCs w:val="24"/>
        </w:rPr>
      </w:pPr>
      <w:r w:rsidRPr="00AC624C">
        <w:rPr>
          <w:rFonts w:ascii="Times New Roman" w:hAnsi="Times New Roman" w:cs="Times New Roman"/>
          <w:sz w:val="24"/>
          <w:szCs w:val="24"/>
        </w:rPr>
        <w:t xml:space="preserve">Calcular y comparar el costo mínimo de una dieta recomendada (Cost </w:t>
      </w:r>
      <w:proofErr w:type="spellStart"/>
      <w:r w:rsidRPr="00AC624C">
        <w:rPr>
          <w:rFonts w:ascii="Times New Roman" w:hAnsi="Times New Roman" w:cs="Times New Roman"/>
          <w:sz w:val="24"/>
          <w:szCs w:val="24"/>
        </w:rPr>
        <w:t>of</w:t>
      </w:r>
      <w:proofErr w:type="spellEnd"/>
      <w:r w:rsidRPr="00AC624C">
        <w:rPr>
          <w:rFonts w:ascii="Times New Roman" w:hAnsi="Times New Roman" w:cs="Times New Roman"/>
          <w:sz w:val="24"/>
          <w:szCs w:val="24"/>
        </w:rPr>
        <w:t xml:space="preserve"> a </w:t>
      </w:r>
      <w:proofErr w:type="spellStart"/>
      <w:r w:rsidRPr="00AC624C">
        <w:rPr>
          <w:rFonts w:ascii="Times New Roman" w:hAnsi="Times New Roman" w:cs="Times New Roman"/>
          <w:sz w:val="24"/>
          <w:szCs w:val="24"/>
        </w:rPr>
        <w:t>Recommended</w:t>
      </w:r>
      <w:proofErr w:type="spellEnd"/>
      <w:r w:rsidRPr="00AC624C">
        <w:rPr>
          <w:rFonts w:ascii="Times New Roman" w:hAnsi="Times New Roman" w:cs="Times New Roman"/>
          <w:sz w:val="24"/>
          <w:szCs w:val="24"/>
        </w:rPr>
        <w:t xml:space="preserve"> </w:t>
      </w:r>
      <w:proofErr w:type="spellStart"/>
      <w:r w:rsidRPr="00AC624C">
        <w:rPr>
          <w:rFonts w:ascii="Times New Roman" w:hAnsi="Times New Roman" w:cs="Times New Roman"/>
          <w:sz w:val="24"/>
          <w:szCs w:val="24"/>
        </w:rPr>
        <w:t>Diet</w:t>
      </w:r>
      <w:proofErr w:type="spellEnd"/>
      <w:r w:rsidRPr="00AC624C">
        <w:rPr>
          <w:rFonts w:ascii="Times New Roman" w:hAnsi="Times New Roman" w:cs="Times New Roman"/>
          <w:sz w:val="24"/>
          <w:szCs w:val="24"/>
        </w:rPr>
        <w:t xml:space="preserve">, </w:t>
      </w:r>
      <w:proofErr w:type="spellStart"/>
      <w:r w:rsidRPr="00AC624C">
        <w:rPr>
          <w:rFonts w:ascii="Times New Roman" w:hAnsi="Times New Roman" w:cs="Times New Roman"/>
          <w:sz w:val="24"/>
          <w:szCs w:val="24"/>
        </w:rPr>
        <w:t>CoRD</w:t>
      </w:r>
      <w:proofErr w:type="spellEnd"/>
      <w:r w:rsidRPr="00AC624C">
        <w:rPr>
          <w:rFonts w:ascii="Times New Roman" w:hAnsi="Times New Roman" w:cs="Times New Roman"/>
          <w:sz w:val="24"/>
          <w:szCs w:val="24"/>
        </w:rPr>
        <w:t xml:space="preserve">) en cuatro países del sur de Asia (Bangladesh, Bután, India y Nepal), evaluar la asequibilidad de dicha dieta comparando el </w:t>
      </w:r>
      <w:proofErr w:type="spellStart"/>
      <w:r w:rsidRPr="00AC624C">
        <w:rPr>
          <w:rFonts w:ascii="Times New Roman" w:hAnsi="Times New Roman" w:cs="Times New Roman"/>
          <w:sz w:val="24"/>
          <w:szCs w:val="24"/>
        </w:rPr>
        <w:t>CoRD</w:t>
      </w:r>
      <w:proofErr w:type="spellEnd"/>
      <w:r w:rsidRPr="00AC624C">
        <w:rPr>
          <w:rFonts w:ascii="Times New Roman" w:hAnsi="Times New Roman" w:cs="Times New Roman"/>
          <w:sz w:val="24"/>
          <w:szCs w:val="24"/>
        </w:rPr>
        <w:t xml:space="preserve"> contra el gasto real en alimentos de los hogares, y analizar cómo varían tanto el costo como la asequibilidad entre zonas urbanas y rurales, entre áreas subnacionales (distritos en Bangladesh y Bután, estados en India, zonas administrativas en Nepal) y entre las distintas estaciones del año. El estudio busca además identificar, en cada contexto subnacional, si la restricción más determinante para acceder a una dieta nutritiva es el precio de los alimentos o el nivel de ingreso de los hogares, con el fin de aportar evidencia para la priorización de inversiones en transporte y almacenamiento de alimentos perecederos y para un replanteamiento de las políticas alimentarias, tradicionalmente enfocadas en el control de precios de granos y cereales. El </w:t>
      </w:r>
      <w:proofErr w:type="spellStart"/>
      <w:r w:rsidRPr="00AC624C">
        <w:rPr>
          <w:rFonts w:ascii="Times New Roman" w:hAnsi="Times New Roman" w:cs="Times New Roman"/>
          <w:sz w:val="24"/>
          <w:szCs w:val="24"/>
        </w:rPr>
        <w:t>paper</w:t>
      </w:r>
      <w:proofErr w:type="spellEnd"/>
      <w:r w:rsidRPr="00AC624C">
        <w:rPr>
          <w:rFonts w:ascii="Times New Roman" w:hAnsi="Times New Roman" w:cs="Times New Roman"/>
          <w:sz w:val="24"/>
          <w:szCs w:val="24"/>
        </w:rPr>
        <w:t xml:space="preserve"> se presenta como una extensión de un trabajo previo de Dizon, Herforth y Wang (2019), que había cubierto Afganistán, Pakistán, Sri Lanka y Bangladesh; en conjunto, ambos estudios cubren siete de los ocho países de la región del sur de Asia, con la única excepción de Maldivas.</w:t>
      </w:r>
    </w:p>
    <w:p w14:paraId="08292337" w14:textId="77777777" w:rsidR="00AC624C" w:rsidRDefault="00AC624C" w:rsidP="00AC624C">
      <w:pPr>
        <w:jc w:val="both"/>
        <w:rPr>
          <w:rStyle w:val="Fuerte"/>
          <w:rFonts w:ascii="Times New Roman" w:hAnsi="Times New Roman" w:cs="Times New Roman"/>
          <w:sz w:val="24"/>
          <w:szCs w:val="24"/>
        </w:rPr>
      </w:pPr>
      <w:r w:rsidRPr="00AC624C">
        <w:rPr>
          <w:rStyle w:val="Fuerte"/>
          <w:rFonts w:ascii="Times New Roman" w:hAnsi="Times New Roman" w:cs="Times New Roman"/>
          <w:sz w:val="24"/>
          <w:szCs w:val="24"/>
        </w:rPr>
        <w:t>Metodología</w:t>
      </w:r>
    </w:p>
    <w:p w14:paraId="1A7C62A2" w14:textId="77777777" w:rsidR="00AC624C" w:rsidRDefault="00AC624C" w:rsidP="00AC624C">
      <w:pPr>
        <w:jc w:val="both"/>
        <w:rPr>
          <w:rFonts w:ascii="Times New Roman" w:hAnsi="Times New Roman" w:cs="Times New Roman"/>
          <w:sz w:val="24"/>
          <w:szCs w:val="24"/>
        </w:rPr>
      </w:pPr>
      <w:r w:rsidRPr="00AC624C">
        <w:rPr>
          <w:rFonts w:ascii="Times New Roman" w:hAnsi="Times New Roman" w:cs="Times New Roman"/>
          <w:sz w:val="24"/>
          <w:szCs w:val="24"/>
        </w:rPr>
        <w:t xml:space="preserve">Para calcular el </w:t>
      </w:r>
      <w:proofErr w:type="spellStart"/>
      <w:r w:rsidRPr="00AC624C">
        <w:rPr>
          <w:rFonts w:ascii="Times New Roman" w:hAnsi="Times New Roman" w:cs="Times New Roman"/>
          <w:sz w:val="24"/>
          <w:szCs w:val="24"/>
        </w:rPr>
        <w:t>CoRD</w:t>
      </w:r>
      <w:proofErr w:type="spellEnd"/>
      <w:r w:rsidRPr="00AC624C">
        <w:rPr>
          <w:rFonts w:ascii="Times New Roman" w:hAnsi="Times New Roman" w:cs="Times New Roman"/>
          <w:sz w:val="24"/>
          <w:szCs w:val="24"/>
        </w:rPr>
        <w:t xml:space="preserve"> se requieren dos insumos: el precio de cada alimento y las cantidades recomendadas de consumo según las guías alimentarias basadas en alimentos (</w:t>
      </w:r>
      <w:proofErr w:type="spellStart"/>
      <w:r w:rsidRPr="00AC624C">
        <w:rPr>
          <w:rFonts w:ascii="Times New Roman" w:hAnsi="Times New Roman" w:cs="Times New Roman"/>
          <w:sz w:val="24"/>
          <w:szCs w:val="24"/>
        </w:rPr>
        <w:t>Food</w:t>
      </w:r>
      <w:proofErr w:type="spellEnd"/>
      <w:r w:rsidRPr="00AC624C">
        <w:rPr>
          <w:rFonts w:ascii="Times New Roman" w:hAnsi="Times New Roman" w:cs="Times New Roman"/>
          <w:sz w:val="24"/>
          <w:szCs w:val="24"/>
        </w:rPr>
        <w:t xml:space="preserve"> </w:t>
      </w:r>
      <w:proofErr w:type="spellStart"/>
      <w:r w:rsidRPr="00AC624C">
        <w:rPr>
          <w:rFonts w:ascii="Times New Roman" w:hAnsi="Times New Roman" w:cs="Times New Roman"/>
          <w:sz w:val="24"/>
          <w:szCs w:val="24"/>
        </w:rPr>
        <w:t>Based</w:t>
      </w:r>
      <w:proofErr w:type="spellEnd"/>
      <w:r w:rsidRPr="00AC624C">
        <w:rPr>
          <w:rFonts w:ascii="Times New Roman" w:hAnsi="Times New Roman" w:cs="Times New Roman"/>
          <w:sz w:val="24"/>
          <w:szCs w:val="24"/>
        </w:rPr>
        <w:t xml:space="preserve"> </w:t>
      </w:r>
      <w:proofErr w:type="spellStart"/>
      <w:r w:rsidRPr="00AC624C">
        <w:rPr>
          <w:rFonts w:ascii="Times New Roman" w:hAnsi="Times New Roman" w:cs="Times New Roman"/>
          <w:sz w:val="24"/>
          <w:szCs w:val="24"/>
        </w:rPr>
        <w:t>Dietary</w:t>
      </w:r>
      <w:proofErr w:type="spellEnd"/>
      <w:r w:rsidRPr="00AC624C">
        <w:rPr>
          <w:rFonts w:ascii="Times New Roman" w:hAnsi="Times New Roman" w:cs="Times New Roman"/>
          <w:sz w:val="24"/>
          <w:szCs w:val="24"/>
        </w:rPr>
        <w:t xml:space="preserve"> </w:t>
      </w:r>
      <w:proofErr w:type="spellStart"/>
      <w:r w:rsidRPr="00AC624C">
        <w:rPr>
          <w:rFonts w:ascii="Times New Roman" w:hAnsi="Times New Roman" w:cs="Times New Roman"/>
          <w:sz w:val="24"/>
          <w:szCs w:val="24"/>
        </w:rPr>
        <w:t>Guidelines</w:t>
      </w:r>
      <w:proofErr w:type="spellEnd"/>
      <w:r w:rsidRPr="00AC624C">
        <w:rPr>
          <w:rFonts w:ascii="Times New Roman" w:hAnsi="Times New Roman" w:cs="Times New Roman"/>
          <w:sz w:val="24"/>
          <w:szCs w:val="24"/>
        </w:rPr>
        <w:t xml:space="preserve">, FBDG) de cada país. Los datos de consumo y precios provienen de encuestas de hogares nacionalmente representativas: la </w:t>
      </w:r>
      <w:proofErr w:type="spellStart"/>
      <w:r w:rsidRPr="00AC624C">
        <w:rPr>
          <w:rFonts w:ascii="Times New Roman" w:hAnsi="Times New Roman" w:cs="Times New Roman"/>
          <w:sz w:val="24"/>
          <w:szCs w:val="24"/>
        </w:rPr>
        <w:t>Household</w:t>
      </w:r>
      <w:proofErr w:type="spellEnd"/>
      <w:r w:rsidRPr="00AC624C">
        <w:rPr>
          <w:rFonts w:ascii="Times New Roman" w:hAnsi="Times New Roman" w:cs="Times New Roman"/>
          <w:sz w:val="24"/>
          <w:szCs w:val="24"/>
        </w:rPr>
        <w:t xml:space="preserve"> </w:t>
      </w:r>
      <w:proofErr w:type="spellStart"/>
      <w:r w:rsidRPr="00AC624C">
        <w:rPr>
          <w:rFonts w:ascii="Times New Roman" w:hAnsi="Times New Roman" w:cs="Times New Roman"/>
          <w:sz w:val="24"/>
          <w:szCs w:val="24"/>
        </w:rPr>
        <w:t>Income</w:t>
      </w:r>
      <w:proofErr w:type="spellEnd"/>
      <w:r w:rsidRPr="00AC624C">
        <w:rPr>
          <w:rFonts w:ascii="Times New Roman" w:hAnsi="Times New Roman" w:cs="Times New Roman"/>
          <w:sz w:val="24"/>
          <w:szCs w:val="24"/>
        </w:rPr>
        <w:t xml:space="preserve"> and </w:t>
      </w:r>
      <w:proofErr w:type="spellStart"/>
      <w:r w:rsidRPr="00AC624C">
        <w:rPr>
          <w:rFonts w:ascii="Times New Roman" w:hAnsi="Times New Roman" w:cs="Times New Roman"/>
          <w:sz w:val="24"/>
          <w:szCs w:val="24"/>
        </w:rPr>
        <w:t>Expenditure</w:t>
      </w:r>
      <w:proofErr w:type="spellEnd"/>
      <w:r w:rsidRPr="00AC624C">
        <w:rPr>
          <w:rFonts w:ascii="Times New Roman" w:hAnsi="Times New Roman" w:cs="Times New Roman"/>
          <w:sz w:val="24"/>
          <w:szCs w:val="24"/>
        </w:rPr>
        <w:t xml:space="preserve"> </w:t>
      </w:r>
      <w:proofErr w:type="spellStart"/>
      <w:r w:rsidRPr="00AC624C">
        <w:rPr>
          <w:rFonts w:ascii="Times New Roman" w:hAnsi="Times New Roman" w:cs="Times New Roman"/>
          <w:sz w:val="24"/>
          <w:szCs w:val="24"/>
        </w:rPr>
        <w:t>Survey</w:t>
      </w:r>
      <w:proofErr w:type="spellEnd"/>
      <w:r w:rsidRPr="00AC624C">
        <w:rPr>
          <w:rFonts w:ascii="Times New Roman" w:hAnsi="Times New Roman" w:cs="Times New Roman"/>
          <w:sz w:val="24"/>
          <w:szCs w:val="24"/>
        </w:rPr>
        <w:t xml:space="preserve"> (HIES) 2016 de Bangladesh (82 alimentos, 45.814 hogares, 64 distritos, cuatro periodos del año), la </w:t>
      </w:r>
      <w:proofErr w:type="spellStart"/>
      <w:r w:rsidRPr="00AC624C">
        <w:rPr>
          <w:rFonts w:ascii="Times New Roman" w:hAnsi="Times New Roman" w:cs="Times New Roman"/>
          <w:sz w:val="24"/>
          <w:szCs w:val="24"/>
        </w:rPr>
        <w:t>Bhutan</w:t>
      </w:r>
      <w:proofErr w:type="spellEnd"/>
      <w:r w:rsidRPr="00AC624C">
        <w:rPr>
          <w:rFonts w:ascii="Times New Roman" w:hAnsi="Times New Roman" w:cs="Times New Roman"/>
          <w:sz w:val="24"/>
          <w:szCs w:val="24"/>
        </w:rPr>
        <w:t xml:space="preserve"> Living </w:t>
      </w:r>
      <w:proofErr w:type="spellStart"/>
      <w:r w:rsidRPr="00AC624C">
        <w:rPr>
          <w:rFonts w:ascii="Times New Roman" w:hAnsi="Times New Roman" w:cs="Times New Roman"/>
          <w:sz w:val="24"/>
          <w:szCs w:val="24"/>
        </w:rPr>
        <w:t>Standards</w:t>
      </w:r>
      <w:proofErr w:type="spellEnd"/>
      <w:r w:rsidRPr="00AC624C">
        <w:rPr>
          <w:rFonts w:ascii="Times New Roman" w:hAnsi="Times New Roman" w:cs="Times New Roman"/>
          <w:sz w:val="24"/>
          <w:szCs w:val="24"/>
        </w:rPr>
        <w:t xml:space="preserve"> </w:t>
      </w:r>
      <w:proofErr w:type="spellStart"/>
      <w:r w:rsidRPr="00AC624C">
        <w:rPr>
          <w:rFonts w:ascii="Times New Roman" w:hAnsi="Times New Roman" w:cs="Times New Roman"/>
          <w:sz w:val="24"/>
          <w:szCs w:val="24"/>
        </w:rPr>
        <w:t>Survey</w:t>
      </w:r>
      <w:proofErr w:type="spellEnd"/>
      <w:r w:rsidRPr="00AC624C">
        <w:rPr>
          <w:rFonts w:ascii="Times New Roman" w:hAnsi="Times New Roman" w:cs="Times New Roman"/>
          <w:sz w:val="24"/>
          <w:szCs w:val="24"/>
        </w:rPr>
        <w:t xml:space="preserve"> (BLSS) 2012 (95 alimentos, 11.618 hogares, 20 distritos, sin periodos estacionales reportados), la </w:t>
      </w:r>
      <w:proofErr w:type="spellStart"/>
      <w:r w:rsidRPr="00AC624C">
        <w:rPr>
          <w:rFonts w:ascii="Times New Roman" w:hAnsi="Times New Roman" w:cs="Times New Roman"/>
          <w:sz w:val="24"/>
          <w:szCs w:val="24"/>
        </w:rPr>
        <w:t>National</w:t>
      </w:r>
      <w:proofErr w:type="spellEnd"/>
      <w:r w:rsidRPr="00AC624C">
        <w:rPr>
          <w:rFonts w:ascii="Times New Roman" w:hAnsi="Times New Roman" w:cs="Times New Roman"/>
          <w:sz w:val="24"/>
          <w:szCs w:val="24"/>
        </w:rPr>
        <w:t xml:space="preserve"> Sample </w:t>
      </w:r>
      <w:proofErr w:type="spellStart"/>
      <w:r w:rsidRPr="00AC624C">
        <w:rPr>
          <w:rFonts w:ascii="Times New Roman" w:hAnsi="Times New Roman" w:cs="Times New Roman"/>
          <w:sz w:val="24"/>
          <w:szCs w:val="24"/>
        </w:rPr>
        <w:t>Survey</w:t>
      </w:r>
      <w:proofErr w:type="spellEnd"/>
      <w:r w:rsidRPr="00AC624C">
        <w:rPr>
          <w:rFonts w:ascii="Times New Roman" w:hAnsi="Times New Roman" w:cs="Times New Roman"/>
          <w:sz w:val="24"/>
          <w:szCs w:val="24"/>
        </w:rPr>
        <w:t xml:space="preserve"> (NSS) 2011 de India (87 alimentos, 101.662 hogares, 35 estados, tres periodos: invierno de noviembre a febrero, verano de marzo a junio, monzón de julio a octubre) y la </w:t>
      </w:r>
      <w:proofErr w:type="spellStart"/>
      <w:r w:rsidRPr="00AC624C">
        <w:rPr>
          <w:rFonts w:ascii="Times New Roman" w:hAnsi="Times New Roman" w:cs="Times New Roman"/>
          <w:sz w:val="24"/>
          <w:szCs w:val="24"/>
        </w:rPr>
        <w:t>Annual</w:t>
      </w:r>
      <w:proofErr w:type="spellEnd"/>
      <w:r w:rsidRPr="00AC624C">
        <w:rPr>
          <w:rFonts w:ascii="Times New Roman" w:hAnsi="Times New Roman" w:cs="Times New Roman"/>
          <w:sz w:val="24"/>
          <w:szCs w:val="24"/>
        </w:rPr>
        <w:t xml:space="preserve"> </w:t>
      </w:r>
      <w:proofErr w:type="spellStart"/>
      <w:r w:rsidRPr="00AC624C">
        <w:rPr>
          <w:rFonts w:ascii="Times New Roman" w:hAnsi="Times New Roman" w:cs="Times New Roman"/>
          <w:sz w:val="24"/>
          <w:szCs w:val="24"/>
        </w:rPr>
        <w:t>Household</w:t>
      </w:r>
      <w:proofErr w:type="spellEnd"/>
      <w:r w:rsidRPr="00AC624C">
        <w:rPr>
          <w:rFonts w:ascii="Times New Roman" w:hAnsi="Times New Roman" w:cs="Times New Roman"/>
          <w:sz w:val="24"/>
          <w:szCs w:val="24"/>
        </w:rPr>
        <w:t xml:space="preserve"> Survey (AHS) 2016/17 de Nepal (52 alimentos, 4.496 hogares, 14 zonas </w:t>
      </w:r>
      <w:r w:rsidRPr="00AC624C">
        <w:rPr>
          <w:rFonts w:ascii="Times New Roman" w:hAnsi="Times New Roman" w:cs="Times New Roman"/>
          <w:sz w:val="24"/>
          <w:szCs w:val="24"/>
        </w:rPr>
        <w:lastRenderedPageBreak/>
        <w:t xml:space="preserve">administrativas, cuatro periodos: invierno, </w:t>
      </w:r>
      <w:proofErr w:type="spellStart"/>
      <w:r w:rsidRPr="00AC624C">
        <w:rPr>
          <w:rFonts w:ascii="Times New Roman" w:hAnsi="Times New Roman" w:cs="Times New Roman"/>
          <w:sz w:val="24"/>
          <w:szCs w:val="24"/>
        </w:rPr>
        <w:t>premonzón</w:t>
      </w:r>
      <w:proofErr w:type="spellEnd"/>
      <w:r w:rsidRPr="00AC624C">
        <w:rPr>
          <w:rFonts w:ascii="Times New Roman" w:hAnsi="Times New Roman" w:cs="Times New Roman"/>
          <w:sz w:val="24"/>
          <w:szCs w:val="24"/>
        </w:rPr>
        <w:t xml:space="preserve">, monzón y </w:t>
      </w:r>
      <w:proofErr w:type="spellStart"/>
      <w:r w:rsidRPr="00AC624C">
        <w:rPr>
          <w:rFonts w:ascii="Times New Roman" w:hAnsi="Times New Roman" w:cs="Times New Roman"/>
          <w:sz w:val="24"/>
          <w:szCs w:val="24"/>
        </w:rPr>
        <w:t>posmonzón</w:t>
      </w:r>
      <w:proofErr w:type="spellEnd"/>
      <w:r w:rsidRPr="00AC624C">
        <w:rPr>
          <w:rFonts w:ascii="Times New Roman" w:hAnsi="Times New Roman" w:cs="Times New Roman"/>
          <w:sz w:val="24"/>
          <w:szCs w:val="24"/>
        </w:rPr>
        <w:t>). Los precios de los alimentos se deducen a partir de valores unitarios (</w:t>
      </w:r>
      <w:proofErr w:type="spellStart"/>
      <w:r w:rsidRPr="00AC624C">
        <w:rPr>
          <w:rFonts w:ascii="Times New Roman" w:hAnsi="Times New Roman" w:cs="Times New Roman"/>
          <w:sz w:val="24"/>
          <w:szCs w:val="24"/>
        </w:rPr>
        <w:t>unit</w:t>
      </w:r>
      <w:proofErr w:type="spellEnd"/>
      <w:r w:rsidRPr="00AC624C">
        <w:rPr>
          <w:rFonts w:ascii="Times New Roman" w:hAnsi="Times New Roman" w:cs="Times New Roman"/>
          <w:sz w:val="24"/>
          <w:szCs w:val="24"/>
        </w:rPr>
        <w:t xml:space="preserve"> </w:t>
      </w:r>
      <w:proofErr w:type="spellStart"/>
      <w:r w:rsidRPr="00AC624C">
        <w:rPr>
          <w:rFonts w:ascii="Times New Roman" w:hAnsi="Times New Roman" w:cs="Times New Roman"/>
          <w:sz w:val="24"/>
          <w:szCs w:val="24"/>
        </w:rPr>
        <w:t>values</w:t>
      </w:r>
      <w:proofErr w:type="spellEnd"/>
      <w:r w:rsidRPr="00AC624C">
        <w:rPr>
          <w:rFonts w:ascii="Times New Roman" w:hAnsi="Times New Roman" w:cs="Times New Roman"/>
          <w:sz w:val="24"/>
          <w:szCs w:val="24"/>
        </w:rPr>
        <w:t>), calculados dividiendo el gasto total entre la cantidad total consumida por cada hogar en el módulo de consumo de alimentos de la encuesta; posteriormente se toma la mediana de ese valor unitario entre los hogares, tanto a nivel nacional como a nivel subnacional y por estación. Los alimentos se clasifican en siete grupos según las FBDG: almidones (</w:t>
      </w:r>
      <w:proofErr w:type="spellStart"/>
      <w:r w:rsidRPr="00AC624C">
        <w:rPr>
          <w:rFonts w:ascii="Times New Roman" w:hAnsi="Times New Roman" w:cs="Times New Roman"/>
          <w:sz w:val="24"/>
          <w:szCs w:val="24"/>
        </w:rPr>
        <w:t>starchy</w:t>
      </w:r>
      <w:proofErr w:type="spellEnd"/>
      <w:r w:rsidRPr="00AC624C">
        <w:rPr>
          <w:rFonts w:ascii="Times New Roman" w:hAnsi="Times New Roman" w:cs="Times New Roman"/>
          <w:sz w:val="24"/>
          <w:szCs w:val="24"/>
        </w:rPr>
        <w:t xml:space="preserve"> </w:t>
      </w:r>
      <w:proofErr w:type="spellStart"/>
      <w:r w:rsidRPr="00AC624C">
        <w:rPr>
          <w:rFonts w:ascii="Times New Roman" w:hAnsi="Times New Roman" w:cs="Times New Roman"/>
          <w:sz w:val="24"/>
          <w:szCs w:val="24"/>
        </w:rPr>
        <w:t>staples</w:t>
      </w:r>
      <w:proofErr w:type="spellEnd"/>
      <w:r w:rsidRPr="00AC624C">
        <w:rPr>
          <w:rFonts w:ascii="Times New Roman" w:hAnsi="Times New Roman" w:cs="Times New Roman"/>
          <w:sz w:val="24"/>
          <w:szCs w:val="24"/>
        </w:rPr>
        <w:t xml:space="preserve">), verduras, verduras de hoja verde oscura (DGL), frutas, alimentos proteicos, lácteos, y grasas y aceites. Para cada alimento se convierte el precio a precio por porción comestible medida en gramos. Luego, para cada uno de los siete grupos, se toma el promedio de los precios por porción de los dos alimentos más baratos del grupo (en el caso de verduras se seleccionan los tres alimentos más baratos, de los cuales uno debe ser una verdura DGL, según lo establecido en las FBDG regionales), y ese precio promedio se multiplica por el promedio entre el límite inferior y el límite superior del número de porciones recomendadas para ese grupo. El </w:t>
      </w:r>
      <w:proofErr w:type="spellStart"/>
      <w:r w:rsidRPr="00AC624C">
        <w:rPr>
          <w:rFonts w:ascii="Times New Roman" w:hAnsi="Times New Roman" w:cs="Times New Roman"/>
          <w:sz w:val="24"/>
          <w:szCs w:val="24"/>
        </w:rPr>
        <w:t>CoRD</w:t>
      </w:r>
      <w:proofErr w:type="spellEnd"/>
      <w:r w:rsidRPr="00AC624C">
        <w:rPr>
          <w:rFonts w:ascii="Times New Roman" w:hAnsi="Times New Roman" w:cs="Times New Roman"/>
          <w:sz w:val="24"/>
          <w:szCs w:val="24"/>
        </w:rPr>
        <w:t xml:space="preserve"> total se obtiene sumando el costo por grupo a través de los siete grupos de alimentos. Para asegurar comparabilidad entre los cuatro países, se construyó una FBDG regional armonizada a partir de las guías nacionales cuantitativas de Bangladesh e India (las únicas, junto con Sri Lanka, que cuentan con guías cuantitativas en la región), ya que Sri Lanka no forma parte de este </w:t>
      </w:r>
      <w:proofErr w:type="spellStart"/>
      <w:r w:rsidRPr="00AC624C">
        <w:rPr>
          <w:rFonts w:ascii="Times New Roman" w:hAnsi="Times New Roman" w:cs="Times New Roman"/>
          <w:sz w:val="24"/>
          <w:szCs w:val="24"/>
        </w:rPr>
        <w:t>paper</w:t>
      </w:r>
      <w:proofErr w:type="spellEnd"/>
      <w:r w:rsidRPr="00AC624C">
        <w:rPr>
          <w:rFonts w:ascii="Times New Roman" w:hAnsi="Times New Roman" w:cs="Times New Roman"/>
          <w:sz w:val="24"/>
          <w:szCs w:val="24"/>
        </w:rPr>
        <w:t xml:space="preserve">. Los valores de </w:t>
      </w:r>
      <w:proofErr w:type="spellStart"/>
      <w:r w:rsidRPr="00AC624C">
        <w:rPr>
          <w:rFonts w:ascii="Times New Roman" w:hAnsi="Times New Roman" w:cs="Times New Roman"/>
          <w:sz w:val="24"/>
          <w:szCs w:val="24"/>
        </w:rPr>
        <w:t>CoRD</w:t>
      </w:r>
      <w:proofErr w:type="spellEnd"/>
      <w:r w:rsidRPr="00AC624C">
        <w:rPr>
          <w:rFonts w:ascii="Times New Roman" w:hAnsi="Times New Roman" w:cs="Times New Roman"/>
          <w:sz w:val="24"/>
          <w:szCs w:val="24"/>
        </w:rPr>
        <w:t xml:space="preserve"> en moneda local se convierten a dólares de paridad de poder adquisitivo (PPP) de 2011 mediante un factor que combina el índice de inflación del país en el año de la encuesta correspondiente con la PPP de consumo privado de 2011, lo que permite comparar países con encuestas de años distintos y con distinto poder adquisitivo; es decir, los valores de </w:t>
      </w:r>
      <w:proofErr w:type="spellStart"/>
      <w:r w:rsidRPr="00AC624C">
        <w:rPr>
          <w:rFonts w:ascii="Times New Roman" w:hAnsi="Times New Roman" w:cs="Times New Roman"/>
          <w:sz w:val="24"/>
          <w:szCs w:val="24"/>
        </w:rPr>
        <w:t>CoRD</w:t>
      </w:r>
      <w:proofErr w:type="spellEnd"/>
      <w:r w:rsidRPr="00AC624C">
        <w:rPr>
          <w:rFonts w:ascii="Times New Roman" w:hAnsi="Times New Roman" w:cs="Times New Roman"/>
          <w:sz w:val="24"/>
          <w:szCs w:val="24"/>
        </w:rPr>
        <w:t xml:space="preserve"> reportados son valores reales, ajustados por inflación y por poder adquisitivo, y no valores nominales en moneda corriente. Para evaluar la asequibilidad, el </w:t>
      </w:r>
      <w:proofErr w:type="spellStart"/>
      <w:r w:rsidRPr="00AC624C">
        <w:rPr>
          <w:rFonts w:ascii="Times New Roman" w:hAnsi="Times New Roman" w:cs="Times New Roman"/>
          <w:sz w:val="24"/>
          <w:szCs w:val="24"/>
        </w:rPr>
        <w:t>CoRD</w:t>
      </w:r>
      <w:proofErr w:type="spellEnd"/>
      <w:r w:rsidRPr="00AC624C">
        <w:rPr>
          <w:rFonts w:ascii="Times New Roman" w:hAnsi="Times New Roman" w:cs="Times New Roman"/>
          <w:sz w:val="24"/>
          <w:szCs w:val="24"/>
        </w:rPr>
        <w:t xml:space="preserve"> se compara contra el gasto real per cápita en alimentos por adulto equivalente masculino (AME), ajustado espacialmente a nivel de estrato y ponderado por los pesos muestrales de cada hogar, excluyendo en ambos lados de la comparación el gasto en azúcares, especias y bebidas para mantener la comparabilidad; con esta comparación se estima tanto el porcentaje como el número absoluto de hogares cuyo gasto en alimentos resulta inferior al </w:t>
      </w:r>
      <w:proofErr w:type="spellStart"/>
      <w:r w:rsidRPr="00AC624C">
        <w:rPr>
          <w:rFonts w:ascii="Times New Roman" w:hAnsi="Times New Roman" w:cs="Times New Roman"/>
          <w:sz w:val="24"/>
          <w:szCs w:val="24"/>
        </w:rPr>
        <w:t>CoRD</w:t>
      </w:r>
      <w:proofErr w:type="spellEnd"/>
      <w:r w:rsidRPr="00AC624C">
        <w:rPr>
          <w:rFonts w:ascii="Times New Roman" w:hAnsi="Times New Roman" w:cs="Times New Roman"/>
          <w:sz w:val="24"/>
          <w:szCs w:val="24"/>
        </w:rPr>
        <w:t xml:space="preserve">. Adicionalmente, se calculó el coeficiente de variación (razón entre desviación estándar y media) del </w:t>
      </w:r>
      <w:proofErr w:type="spellStart"/>
      <w:r w:rsidRPr="00AC624C">
        <w:rPr>
          <w:rFonts w:ascii="Times New Roman" w:hAnsi="Times New Roman" w:cs="Times New Roman"/>
          <w:sz w:val="24"/>
          <w:szCs w:val="24"/>
        </w:rPr>
        <w:t>CoRD</w:t>
      </w:r>
      <w:proofErr w:type="spellEnd"/>
      <w:r w:rsidRPr="00AC624C">
        <w:rPr>
          <w:rFonts w:ascii="Times New Roman" w:hAnsi="Times New Roman" w:cs="Times New Roman"/>
          <w:sz w:val="24"/>
          <w:szCs w:val="24"/>
        </w:rPr>
        <w:t xml:space="preserve"> de cada grupo de alimentos a través de las áreas subnacionales de cada país, y se calcularon correlaciones a nivel subnacional entre el </w:t>
      </w:r>
      <w:proofErr w:type="spellStart"/>
      <w:r w:rsidRPr="00AC624C">
        <w:rPr>
          <w:rFonts w:ascii="Times New Roman" w:hAnsi="Times New Roman" w:cs="Times New Roman"/>
          <w:sz w:val="24"/>
          <w:szCs w:val="24"/>
        </w:rPr>
        <w:t>CoRD</w:t>
      </w:r>
      <w:proofErr w:type="spellEnd"/>
      <w:r w:rsidRPr="00AC624C">
        <w:rPr>
          <w:rFonts w:ascii="Times New Roman" w:hAnsi="Times New Roman" w:cs="Times New Roman"/>
          <w:sz w:val="24"/>
          <w:szCs w:val="24"/>
        </w:rPr>
        <w:t xml:space="preserve"> y la prevalencia de hogares con gasto insuficiente, así como entre dicha prevalencia y el número absoluto de hogares afectados.</w:t>
      </w:r>
    </w:p>
    <w:p w14:paraId="38A85966" w14:textId="77777777" w:rsidR="00AC624C" w:rsidRDefault="00AC624C" w:rsidP="00AC624C">
      <w:pPr>
        <w:jc w:val="both"/>
        <w:rPr>
          <w:rStyle w:val="Fuerte"/>
          <w:rFonts w:ascii="Times New Roman" w:hAnsi="Times New Roman" w:cs="Times New Roman"/>
          <w:sz w:val="24"/>
          <w:szCs w:val="24"/>
        </w:rPr>
      </w:pPr>
      <w:r w:rsidRPr="00AC624C">
        <w:rPr>
          <w:rStyle w:val="Fuerte"/>
          <w:rFonts w:ascii="Times New Roman" w:hAnsi="Times New Roman" w:cs="Times New Roman"/>
          <w:sz w:val="24"/>
          <w:szCs w:val="24"/>
        </w:rPr>
        <w:t>Resultados</w:t>
      </w:r>
    </w:p>
    <w:p w14:paraId="263CBBBE" w14:textId="6461C1D8" w:rsidR="00BE2669" w:rsidRPr="00AC624C" w:rsidRDefault="00AC624C" w:rsidP="004F7260">
      <w:pPr>
        <w:jc w:val="both"/>
        <w:rPr>
          <w:rFonts w:ascii="Times New Roman" w:eastAsia="Times New Roman" w:hAnsi="Times New Roman" w:cs="Times New Roman"/>
          <w:b/>
          <w:bCs/>
          <w:sz w:val="24"/>
          <w:szCs w:val="24"/>
        </w:rPr>
      </w:pPr>
      <w:r w:rsidRPr="00AC624C">
        <w:rPr>
          <w:rFonts w:ascii="Times New Roman" w:hAnsi="Times New Roman" w:cs="Times New Roman"/>
          <w:sz w:val="24"/>
          <w:szCs w:val="24"/>
        </w:rPr>
        <w:t xml:space="preserve">El </w:t>
      </w:r>
      <w:proofErr w:type="spellStart"/>
      <w:r w:rsidRPr="00AC624C">
        <w:rPr>
          <w:rFonts w:ascii="Times New Roman" w:hAnsi="Times New Roman" w:cs="Times New Roman"/>
          <w:sz w:val="24"/>
          <w:szCs w:val="24"/>
        </w:rPr>
        <w:t>CoRD</w:t>
      </w:r>
      <w:proofErr w:type="spellEnd"/>
      <w:r w:rsidRPr="00AC624C">
        <w:rPr>
          <w:rFonts w:ascii="Times New Roman" w:hAnsi="Times New Roman" w:cs="Times New Roman"/>
          <w:sz w:val="24"/>
          <w:szCs w:val="24"/>
        </w:rPr>
        <w:t xml:space="preserve"> diario por adulto, en dólares PPP de 2011, fue de 1.6 en Bangladesh, 2.9 en Bután, 1.7 en India y 1.8 en Nepal, resultando Bután el país con el costo más alto de los cuatro analizados y los otros tres con costos relativamente similares entre sí. Al comparar el </w:t>
      </w:r>
      <w:proofErr w:type="spellStart"/>
      <w:r w:rsidRPr="00AC624C">
        <w:rPr>
          <w:rFonts w:ascii="Times New Roman" w:hAnsi="Times New Roman" w:cs="Times New Roman"/>
          <w:sz w:val="24"/>
          <w:szCs w:val="24"/>
        </w:rPr>
        <w:t>CoRD</w:t>
      </w:r>
      <w:proofErr w:type="spellEnd"/>
      <w:r w:rsidRPr="00AC624C">
        <w:rPr>
          <w:rFonts w:ascii="Times New Roman" w:hAnsi="Times New Roman" w:cs="Times New Roman"/>
          <w:sz w:val="24"/>
          <w:szCs w:val="24"/>
        </w:rPr>
        <w:t xml:space="preserve"> con el gasto real diario en alimentos por AME (1.9 en Bangladesh, 2.7 en Bután, 1.2 en India y 2.2 en Nepal), se encontró que el 86% de los hogares en India gastaban menos en alimentos de lo que costaría cubrir el </w:t>
      </w:r>
      <w:proofErr w:type="spellStart"/>
      <w:r w:rsidRPr="00AC624C">
        <w:rPr>
          <w:rFonts w:ascii="Times New Roman" w:hAnsi="Times New Roman" w:cs="Times New Roman"/>
          <w:sz w:val="24"/>
          <w:szCs w:val="24"/>
        </w:rPr>
        <w:t>CoRD</w:t>
      </w:r>
      <w:proofErr w:type="spellEnd"/>
      <w:r w:rsidRPr="00AC624C">
        <w:rPr>
          <w:rFonts w:ascii="Times New Roman" w:hAnsi="Times New Roman" w:cs="Times New Roman"/>
          <w:sz w:val="24"/>
          <w:szCs w:val="24"/>
        </w:rPr>
        <w:t xml:space="preserve">, el porcentaje más alto entre los cuatro países, seguido por Bután con 64%, Nepal con 55% y Bangladesh con 46%. En cuanto a la composición del gasto por grupo de alimentos, en los cuatro países los hogares gastaban por encima del </w:t>
      </w:r>
      <w:proofErr w:type="spellStart"/>
      <w:r w:rsidRPr="00AC624C">
        <w:rPr>
          <w:rFonts w:ascii="Times New Roman" w:hAnsi="Times New Roman" w:cs="Times New Roman"/>
          <w:sz w:val="24"/>
          <w:szCs w:val="24"/>
        </w:rPr>
        <w:t>CoRD</w:t>
      </w:r>
      <w:proofErr w:type="spellEnd"/>
      <w:r w:rsidRPr="00AC624C">
        <w:rPr>
          <w:rFonts w:ascii="Times New Roman" w:hAnsi="Times New Roman" w:cs="Times New Roman"/>
          <w:sz w:val="24"/>
          <w:szCs w:val="24"/>
        </w:rPr>
        <w:t xml:space="preserve"> </w:t>
      </w:r>
      <w:r w:rsidRPr="00AC624C">
        <w:rPr>
          <w:rFonts w:ascii="Times New Roman" w:hAnsi="Times New Roman" w:cs="Times New Roman"/>
          <w:sz w:val="24"/>
          <w:szCs w:val="24"/>
        </w:rPr>
        <w:lastRenderedPageBreak/>
        <w:t xml:space="preserve">en almidones (entre 24% y 100% más, según el país) y en grasas y aceites (excepto en India, el único país que gastaba menos que el </w:t>
      </w:r>
      <w:proofErr w:type="spellStart"/>
      <w:r w:rsidRPr="00AC624C">
        <w:rPr>
          <w:rFonts w:ascii="Times New Roman" w:hAnsi="Times New Roman" w:cs="Times New Roman"/>
          <w:sz w:val="24"/>
          <w:szCs w:val="24"/>
        </w:rPr>
        <w:t>CoRD</w:t>
      </w:r>
      <w:proofErr w:type="spellEnd"/>
      <w:r w:rsidRPr="00AC624C">
        <w:rPr>
          <w:rFonts w:ascii="Times New Roman" w:hAnsi="Times New Roman" w:cs="Times New Roman"/>
          <w:sz w:val="24"/>
          <w:szCs w:val="24"/>
        </w:rPr>
        <w:t xml:space="preserve"> en este grupo y que, en consecuencia, era el único que cumplía exactamente, sin exceder, la recomendación de consumo de grasas y aceites según la FBDG). En contraste, los hogares gastaban por debajo del </w:t>
      </w:r>
      <w:proofErr w:type="spellStart"/>
      <w:r w:rsidRPr="00AC624C">
        <w:rPr>
          <w:rFonts w:ascii="Times New Roman" w:hAnsi="Times New Roman" w:cs="Times New Roman"/>
          <w:sz w:val="24"/>
          <w:szCs w:val="24"/>
        </w:rPr>
        <w:t>CoRD</w:t>
      </w:r>
      <w:proofErr w:type="spellEnd"/>
      <w:r w:rsidRPr="00AC624C">
        <w:rPr>
          <w:rFonts w:ascii="Times New Roman" w:hAnsi="Times New Roman" w:cs="Times New Roman"/>
          <w:sz w:val="24"/>
          <w:szCs w:val="24"/>
        </w:rPr>
        <w:t xml:space="preserve"> en frutas, verduras y lácteos en los cuatro países, con la excepción de los lácteos en Nepal, donde el gasto superaba el </w:t>
      </w:r>
      <w:proofErr w:type="spellStart"/>
      <w:r w:rsidRPr="00AC624C">
        <w:rPr>
          <w:rFonts w:ascii="Times New Roman" w:hAnsi="Times New Roman" w:cs="Times New Roman"/>
          <w:sz w:val="24"/>
          <w:szCs w:val="24"/>
        </w:rPr>
        <w:t>CoRD</w:t>
      </w:r>
      <w:proofErr w:type="spellEnd"/>
      <w:r w:rsidRPr="00AC624C">
        <w:rPr>
          <w:rFonts w:ascii="Times New Roman" w:hAnsi="Times New Roman" w:cs="Times New Roman"/>
          <w:sz w:val="24"/>
          <w:szCs w:val="24"/>
        </w:rPr>
        <w:t xml:space="preserve"> en 76% pese a que el consumo seguía cubriendo solo el 82% de la recomendación, lo que indicó que los hogares nepaleses adquirían fuentes de lácteos más costosas que las opciones de menor precio. El </w:t>
      </w:r>
      <w:proofErr w:type="spellStart"/>
      <w:r w:rsidRPr="00AC624C">
        <w:rPr>
          <w:rFonts w:ascii="Times New Roman" w:hAnsi="Times New Roman" w:cs="Times New Roman"/>
          <w:sz w:val="24"/>
          <w:szCs w:val="24"/>
        </w:rPr>
        <w:t>CoRD</w:t>
      </w:r>
      <w:proofErr w:type="spellEnd"/>
      <w:r w:rsidRPr="00AC624C">
        <w:rPr>
          <w:rFonts w:ascii="Times New Roman" w:hAnsi="Times New Roman" w:cs="Times New Roman"/>
          <w:sz w:val="24"/>
          <w:szCs w:val="24"/>
        </w:rPr>
        <w:t xml:space="preserve"> resultó sistemáticamente más alto en zonas urbanas que en zonas rurales en los cuatro países, con diferencias de 14% en Bangladesh, 24% en Bután, 14% en India y 20% en Nepal; sin embargo, la asequibilidad fue mayor en zonas urbanas que en zonas rurales en todos los países salvo Nepal, ya que el bajo gasto en alimentos en las zonas rurales elevaba la no asequibilidad pese a que los precios allí eran menores (en Bután, por ejemplo, el 35% de los hogares urbanos gastaba menos que el </w:t>
      </w:r>
      <w:proofErr w:type="spellStart"/>
      <w:r w:rsidRPr="00AC624C">
        <w:rPr>
          <w:rFonts w:ascii="Times New Roman" w:hAnsi="Times New Roman" w:cs="Times New Roman"/>
          <w:sz w:val="24"/>
          <w:szCs w:val="24"/>
        </w:rPr>
        <w:t>CoRD</w:t>
      </w:r>
      <w:proofErr w:type="spellEnd"/>
      <w:r w:rsidRPr="00AC624C">
        <w:rPr>
          <w:rFonts w:ascii="Times New Roman" w:hAnsi="Times New Roman" w:cs="Times New Roman"/>
          <w:sz w:val="24"/>
          <w:szCs w:val="24"/>
        </w:rPr>
        <w:t xml:space="preserve"> frente al 79% en zonas rurales). A nivel subnacional se identificaron diferencias considerables en el </w:t>
      </w:r>
      <w:proofErr w:type="spellStart"/>
      <w:r w:rsidRPr="00AC624C">
        <w:rPr>
          <w:rFonts w:ascii="Times New Roman" w:hAnsi="Times New Roman" w:cs="Times New Roman"/>
          <w:sz w:val="24"/>
          <w:szCs w:val="24"/>
        </w:rPr>
        <w:t>CoRD</w:t>
      </w:r>
      <w:proofErr w:type="spellEnd"/>
      <w:r w:rsidRPr="00AC624C">
        <w:rPr>
          <w:rFonts w:ascii="Times New Roman" w:hAnsi="Times New Roman" w:cs="Times New Roman"/>
          <w:sz w:val="24"/>
          <w:szCs w:val="24"/>
        </w:rPr>
        <w:t>: en Bangladesh la diferencia entre el distrito de mayor costo (</w:t>
      </w:r>
      <w:proofErr w:type="spellStart"/>
      <w:r w:rsidRPr="00AC624C">
        <w:rPr>
          <w:rFonts w:ascii="Times New Roman" w:hAnsi="Times New Roman" w:cs="Times New Roman"/>
          <w:sz w:val="24"/>
          <w:szCs w:val="24"/>
        </w:rPr>
        <w:t>Gaibandha</w:t>
      </w:r>
      <w:proofErr w:type="spellEnd"/>
      <w:r w:rsidRPr="00AC624C">
        <w:rPr>
          <w:rFonts w:ascii="Times New Roman" w:hAnsi="Times New Roman" w:cs="Times New Roman"/>
          <w:sz w:val="24"/>
          <w:szCs w:val="24"/>
        </w:rPr>
        <w:t>) y el de menor costo (</w:t>
      </w:r>
      <w:proofErr w:type="spellStart"/>
      <w:r w:rsidRPr="00AC624C">
        <w:rPr>
          <w:rFonts w:ascii="Times New Roman" w:hAnsi="Times New Roman" w:cs="Times New Roman"/>
          <w:sz w:val="24"/>
          <w:szCs w:val="24"/>
        </w:rPr>
        <w:t>Faridpur</w:t>
      </w:r>
      <w:proofErr w:type="spellEnd"/>
      <w:r w:rsidRPr="00AC624C">
        <w:rPr>
          <w:rFonts w:ascii="Times New Roman" w:hAnsi="Times New Roman" w:cs="Times New Roman"/>
          <w:sz w:val="24"/>
          <w:szCs w:val="24"/>
        </w:rPr>
        <w:t xml:space="preserve">) fue de 84%; en Bután, entre Gasa y </w:t>
      </w:r>
      <w:proofErr w:type="spellStart"/>
      <w:r w:rsidRPr="00AC624C">
        <w:rPr>
          <w:rFonts w:ascii="Times New Roman" w:hAnsi="Times New Roman" w:cs="Times New Roman"/>
          <w:sz w:val="24"/>
          <w:szCs w:val="24"/>
        </w:rPr>
        <w:t>Pemagatshel</w:t>
      </w:r>
      <w:proofErr w:type="spellEnd"/>
      <w:r w:rsidRPr="00AC624C">
        <w:rPr>
          <w:rFonts w:ascii="Times New Roman" w:hAnsi="Times New Roman" w:cs="Times New Roman"/>
          <w:sz w:val="24"/>
          <w:szCs w:val="24"/>
        </w:rPr>
        <w:t xml:space="preserve">, de 97%; en India, entre Lakshadweep y Chhattisgarh, de 133%; y en Nepal, entre la zona de </w:t>
      </w:r>
      <w:proofErr w:type="spellStart"/>
      <w:r w:rsidRPr="00AC624C">
        <w:rPr>
          <w:rFonts w:ascii="Times New Roman" w:hAnsi="Times New Roman" w:cs="Times New Roman"/>
          <w:sz w:val="24"/>
          <w:szCs w:val="24"/>
        </w:rPr>
        <w:t>Dhaulagiri</w:t>
      </w:r>
      <w:proofErr w:type="spellEnd"/>
      <w:r w:rsidRPr="00AC624C">
        <w:rPr>
          <w:rFonts w:ascii="Times New Roman" w:hAnsi="Times New Roman" w:cs="Times New Roman"/>
          <w:sz w:val="24"/>
          <w:szCs w:val="24"/>
        </w:rPr>
        <w:t xml:space="preserve"> y la zona de Mahakali, de 62%. Las correlaciones subnacionales entre el </w:t>
      </w:r>
      <w:proofErr w:type="spellStart"/>
      <w:r w:rsidRPr="00AC624C">
        <w:rPr>
          <w:rFonts w:ascii="Times New Roman" w:hAnsi="Times New Roman" w:cs="Times New Roman"/>
          <w:sz w:val="24"/>
          <w:szCs w:val="24"/>
        </w:rPr>
        <w:t>CoRD</w:t>
      </w:r>
      <w:proofErr w:type="spellEnd"/>
      <w:r w:rsidRPr="00AC624C">
        <w:rPr>
          <w:rFonts w:ascii="Times New Roman" w:hAnsi="Times New Roman" w:cs="Times New Roman"/>
          <w:sz w:val="24"/>
          <w:szCs w:val="24"/>
        </w:rPr>
        <w:t xml:space="preserve"> y la prevalencia de hogares no asequibles fueron de 0.09 en Bangladesh y 0.50 en Nepal, lo que sugirió que en estos países el precio es más frecuentemente la restricción vinculante, mientras que en Bután (correlación de -0.55) y en India (correlación de -0.27) el ingreso resultó ser con mayor frecuencia la restricción vinculante. Finalmente, el análisis estacional mostró que el </w:t>
      </w:r>
      <w:proofErr w:type="spellStart"/>
      <w:r w:rsidRPr="00AC624C">
        <w:rPr>
          <w:rFonts w:ascii="Times New Roman" w:hAnsi="Times New Roman" w:cs="Times New Roman"/>
          <w:sz w:val="24"/>
          <w:szCs w:val="24"/>
        </w:rPr>
        <w:t>CoRD</w:t>
      </w:r>
      <w:proofErr w:type="spellEnd"/>
      <w:r w:rsidRPr="00AC624C">
        <w:rPr>
          <w:rFonts w:ascii="Times New Roman" w:hAnsi="Times New Roman" w:cs="Times New Roman"/>
          <w:sz w:val="24"/>
          <w:szCs w:val="24"/>
        </w:rPr>
        <w:t xml:space="preserve"> fue más alto en Bangladesh entre julio y septiembre (aumento de 9% respecto al trimestre anterior, impulsado principalmente por un alza de 74% en el costo de frutas), en India entre noviembre y junio, siendo el periodo de monzón el de menor costo (con un aumento de 8% del monzón al verano, impulsado por el alza de 37% en verduras, 43% en verduras DGL y 10% en frutas), y en Nepal durante el monzón, entre junio y septiembre (aumento de 20% respecto al invierno, impulsado por alzas de 21% en almidones, 50% en frutas y 67% en verduras); en los tres países, la estación de mayor </w:t>
      </w:r>
      <w:proofErr w:type="spellStart"/>
      <w:r w:rsidRPr="00AC624C">
        <w:rPr>
          <w:rFonts w:ascii="Times New Roman" w:hAnsi="Times New Roman" w:cs="Times New Roman"/>
          <w:sz w:val="24"/>
          <w:szCs w:val="24"/>
        </w:rPr>
        <w:t>CoRD</w:t>
      </w:r>
      <w:proofErr w:type="spellEnd"/>
      <w:r w:rsidRPr="00AC624C">
        <w:rPr>
          <w:rFonts w:ascii="Times New Roman" w:hAnsi="Times New Roman" w:cs="Times New Roman"/>
          <w:sz w:val="24"/>
          <w:szCs w:val="24"/>
        </w:rPr>
        <w:t xml:space="preserve"> coincidió con la temporada de menor disponibilidad de frutas y verduras frescas, así como con la mayor proporción de hogares cuyo gasto en alimentos resultó inferior al </w:t>
      </w:r>
      <w:proofErr w:type="spellStart"/>
      <w:r w:rsidRPr="00AC624C">
        <w:rPr>
          <w:rFonts w:ascii="Times New Roman" w:hAnsi="Times New Roman" w:cs="Times New Roman"/>
          <w:sz w:val="24"/>
          <w:szCs w:val="24"/>
        </w:rPr>
        <w:t>CoRD</w:t>
      </w:r>
      <w:proofErr w:type="spellEnd"/>
      <w:r w:rsidRPr="00AC624C">
        <w:rPr>
          <w:rFonts w:ascii="Times New Roman" w:hAnsi="Times New Roman" w:cs="Times New Roman"/>
          <w:sz w:val="24"/>
          <w:szCs w:val="24"/>
        </w:rPr>
        <w:t>.</w:t>
      </w:r>
    </w:p>
    <w:p w14:paraId="18A6DBA7" w14:textId="0DE808D0" w:rsidR="00BE2669" w:rsidRPr="00AC624C" w:rsidRDefault="004A095F" w:rsidP="008D646B">
      <w:pPr>
        <w:pStyle w:val="Prrafodelista"/>
        <w:numPr>
          <w:ilvl w:val="0"/>
          <w:numId w:val="3"/>
        </w:numPr>
        <w:jc w:val="both"/>
        <w:rPr>
          <w:rFonts w:ascii="Times New Roman" w:eastAsia="Times New Roman" w:hAnsi="Times New Roman" w:cs="Times New Roman"/>
          <w:b/>
          <w:bCs/>
          <w:sz w:val="24"/>
          <w:szCs w:val="24"/>
        </w:rPr>
      </w:pPr>
      <w:r w:rsidRPr="00AC624C">
        <w:rPr>
          <w:rFonts w:ascii="Times New Roman" w:eastAsia="Times New Roman" w:hAnsi="Times New Roman" w:cs="Times New Roman"/>
          <w:b/>
          <w:bCs/>
          <w:sz w:val="24"/>
          <w:szCs w:val="24"/>
          <w:lang w:val="en-US"/>
        </w:rPr>
        <w:t>Lustig et al.</w:t>
      </w:r>
      <w:r w:rsidR="00C5012C" w:rsidRPr="00AC624C">
        <w:rPr>
          <w:rFonts w:ascii="Times New Roman" w:eastAsia="Times New Roman" w:hAnsi="Times New Roman" w:cs="Times New Roman"/>
          <w:b/>
          <w:bCs/>
          <w:sz w:val="24"/>
          <w:szCs w:val="24"/>
          <w:lang w:val="en-US"/>
        </w:rPr>
        <w:t>,</w:t>
      </w:r>
      <w:r w:rsidRPr="00AC624C">
        <w:rPr>
          <w:rFonts w:ascii="Times New Roman" w:eastAsia="Times New Roman" w:hAnsi="Times New Roman" w:cs="Times New Roman"/>
          <w:b/>
          <w:bCs/>
          <w:sz w:val="24"/>
          <w:szCs w:val="24"/>
          <w:lang w:val="en-US"/>
        </w:rPr>
        <w:t xml:space="preserve"> </w:t>
      </w:r>
      <w:r w:rsidRPr="00AC624C">
        <w:rPr>
          <w:rFonts w:ascii="Times New Roman" w:eastAsia="Times New Roman" w:hAnsi="Times New Roman" w:cs="Times New Roman"/>
          <w:b/>
          <w:bCs/>
          <w:sz w:val="24"/>
          <w:szCs w:val="24"/>
        </w:rPr>
        <w:t xml:space="preserve">(2021) </w:t>
      </w:r>
    </w:p>
    <w:p w14:paraId="2F0329BB" w14:textId="77777777" w:rsidR="00E9485B" w:rsidRPr="00AC624C" w:rsidRDefault="00E9485B" w:rsidP="00E9485B">
      <w:pPr>
        <w:jc w:val="both"/>
        <w:rPr>
          <w:rFonts w:ascii="Times New Roman" w:eastAsia="Times New Roman" w:hAnsi="Times New Roman" w:cs="Times New Roman"/>
          <w:b/>
          <w:bCs/>
          <w:sz w:val="24"/>
          <w:szCs w:val="24"/>
        </w:rPr>
      </w:pPr>
      <w:r w:rsidRPr="00AC624C">
        <w:rPr>
          <w:rFonts w:ascii="Times New Roman" w:eastAsia="Times New Roman" w:hAnsi="Times New Roman" w:cs="Times New Roman"/>
          <w:b/>
          <w:bCs/>
          <w:sz w:val="24"/>
          <w:szCs w:val="24"/>
        </w:rPr>
        <w:t>Objetivo</w:t>
      </w:r>
    </w:p>
    <w:p w14:paraId="2764AA06" w14:textId="77777777" w:rsidR="00E9485B" w:rsidRPr="00AD5F0E" w:rsidRDefault="00E9485B" w:rsidP="00E9485B">
      <w:pPr>
        <w:jc w:val="both"/>
        <w:rPr>
          <w:rFonts w:ascii="Times New Roman" w:eastAsia="Times New Roman" w:hAnsi="Times New Roman" w:cs="Times New Roman"/>
          <w:sz w:val="24"/>
          <w:szCs w:val="24"/>
        </w:rPr>
      </w:pPr>
      <w:r w:rsidRPr="00AC624C">
        <w:rPr>
          <w:rFonts w:ascii="Times New Roman" w:eastAsia="Times New Roman" w:hAnsi="Times New Roman" w:cs="Times New Roman"/>
          <w:sz w:val="24"/>
          <w:szCs w:val="24"/>
        </w:rPr>
        <w:t>Estimar las consecuencias distributivas de corto y largo plazo de la pandemia de COVID-19 en las cuatro economías más grandes de América Latina (Argentina, Brasil, Colombia y México), evaluando en el corto plazo el impacto sobre la desigualdad del ingreso y la pobreza, así como el efecto mitigador del gasto adicional en asistencia social implementado por los gobiernos, y comparando los resultados de las políticas efectivamente aplicadas frente a escenarios alternativos de ingreso básico universal (IBU); y proyectando,</w:t>
      </w:r>
      <w:r w:rsidRPr="00AD5F0E">
        <w:rPr>
          <w:rFonts w:ascii="Times New Roman" w:eastAsia="Times New Roman" w:hAnsi="Times New Roman" w:cs="Times New Roman"/>
          <w:sz w:val="24"/>
          <w:szCs w:val="24"/>
        </w:rPr>
        <w:t xml:space="preserve"> para el largo plazo, el impacto de la pandemia sobre una dimensión del capital humano, el logro escolar, y su persistencia intergeneracional, a partir de información sobre cierres de escuelas, políticas </w:t>
      </w:r>
      <w:r w:rsidRPr="00AD5F0E">
        <w:rPr>
          <w:rFonts w:ascii="Times New Roman" w:eastAsia="Times New Roman" w:hAnsi="Times New Roman" w:cs="Times New Roman"/>
          <w:sz w:val="24"/>
          <w:szCs w:val="24"/>
        </w:rPr>
        <w:lastRenderedPageBreak/>
        <w:t>de mitigación educativa y pérdidas educativas asociadas a choques de salud y pérdida de empleo de los padres.</w:t>
      </w:r>
    </w:p>
    <w:p w14:paraId="5BDB7FC5" w14:textId="77777777" w:rsidR="00E9485B" w:rsidRPr="00AD5F0E" w:rsidRDefault="00E9485B" w:rsidP="00E9485B">
      <w:pPr>
        <w:jc w:val="both"/>
        <w:rPr>
          <w:rFonts w:ascii="Times New Roman" w:eastAsia="Times New Roman" w:hAnsi="Times New Roman" w:cs="Times New Roman"/>
          <w:b/>
          <w:bCs/>
          <w:sz w:val="24"/>
          <w:szCs w:val="24"/>
        </w:rPr>
      </w:pPr>
      <w:r w:rsidRPr="00AD5F0E">
        <w:rPr>
          <w:rFonts w:ascii="Times New Roman" w:eastAsia="Times New Roman" w:hAnsi="Times New Roman" w:cs="Times New Roman"/>
          <w:b/>
          <w:bCs/>
          <w:sz w:val="24"/>
          <w:szCs w:val="24"/>
        </w:rPr>
        <w:t>Metodología</w:t>
      </w:r>
    </w:p>
    <w:p w14:paraId="0EC18F5F" w14:textId="77777777" w:rsidR="00E9485B" w:rsidRPr="00E9485B" w:rsidRDefault="00E9485B" w:rsidP="00E9485B">
      <w:pPr>
        <w:jc w:val="both"/>
        <w:rPr>
          <w:rFonts w:ascii="Times New Roman" w:eastAsia="Times New Roman" w:hAnsi="Times New Roman" w:cs="Times New Roman"/>
          <w:sz w:val="24"/>
          <w:szCs w:val="24"/>
        </w:rPr>
      </w:pPr>
      <w:r w:rsidRPr="00AD5F0E">
        <w:rPr>
          <w:rFonts w:ascii="Times New Roman" w:eastAsia="Times New Roman" w:hAnsi="Times New Roman" w:cs="Times New Roman"/>
          <w:sz w:val="24"/>
          <w:szCs w:val="24"/>
        </w:rPr>
        <w:t xml:space="preserve">El análisis de corto plazo se basa en </w:t>
      </w:r>
      <w:proofErr w:type="spellStart"/>
      <w:r w:rsidRPr="00AD5F0E">
        <w:rPr>
          <w:rFonts w:ascii="Times New Roman" w:eastAsia="Times New Roman" w:hAnsi="Times New Roman" w:cs="Times New Roman"/>
          <w:sz w:val="24"/>
          <w:szCs w:val="24"/>
        </w:rPr>
        <w:t>microsimulaciones</w:t>
      </w:r>
      <w:proofErr w:type="spellEnd"/>
      <w:r w:rsidRPr="00AD5F0E">
        <w:rPr>
          <w:rFonts w:ascii="Times New Roman" w:eastAsia="Times New Roman" w:hAnsi="Times New Roman" w:cs="Times New Roman"/>
          <w:sz w:val="24"/>
          <w:szCs w:val="24"/>
        </w:rPr>
        <w:t xml:space="preserve"> de pérdidas potenciales de ingreso a nivel de hogar, utilizando microdatos de encuestas de hogares previas a 2020 en cada país: la Encuesta Permanente de Hogares (EPH 2019</w:t>
      </w:r>
      <w:r w:rsidRPr="00E9485B">
        <w:rPr>
          <w:rFonts w:ascii="Times New Roman" w:eastAsia="Times New Roman" w:hAnsi="Times New Roman" w:cs="Times New Roman"/>
          <w:sz w:val="24"/>
          <w:szCs w:val="24"/>
        </w:rPr>
        <w:t xml:space="preserve">) para Argentina, la Pesquisa Nacional por </w:t>
      </w:r>
      <w:proofErr w:type="spellStart"/>
      <w:r w:rsidRPr="00E9485B">
        <w:rPr>
          <w:rFonts w:ascii="Times New Roman" w:eastAsia="Times New Roman" w:hAnsi="Times New Roman" w:cs="Times New Roman"/>
          <w:sz w:val="24"/>
          <w:szCs w:val="24"/>
        </w:rPr>
        <w:t>Amostra</w:t>
      </w:r>
      <w:proofErr w:type="spellEnd"/>
      <w:r w:rsidRPr="00E9485B">
        <w:rPr>
          <w:rFonts w:ascii="Times New Roman" w:eastAsia="Times New Roman" w:hAnsi="Times New Roman" w:cs="Times New Roman"/>
          <w:sz w:val="24"/>
          <w:szCs w:val="24"/>
        </w:rPr>
        <w:t xml:space="preserve"> de </w:t>
      </w:r>
      <w:proofErr w:type="spellStart"/>
      <w:r w:rsidRPr="00E9485B">
        <w:rPr>
          <w:rFonts w:ascii="Times New Roman" w:eastAsia="Times New Roman" w:hAnsi="Times New Roman" w:cs="Times New Roman"/>
          <w:sz w:val="24"/>
          <w:szCs w:val="24"/>
        </w:rPr>
        <w:t>Domicílios</w:t>
      </w:r>
      <w:proofErr w:type="spellEnd"/>
      <w:r w:rsidRPr="00E9485B">
        <w:rPr>
          <w:rFonts w:ascii="Times New Roman" w:eastAsia="Times New Roman" w:hAnsi="Times New Roman" w:cs="Times New Roman"/>
          <w:sz w:val="24"/>
          <w:szCs w:val="24"/>
        </w:rPr>
        <w:t xml:space="preserve"> </w:t>
      </w:r>
      <w:proofErr w:type="spellStart"/>
      <w:r w:rsidRPr="00E9485B">
        <w:rPr>
          <w:rFonts w:ascii="Times New Roman" w:eastAsia="Times New Roman" w:hAnsi="Times New Roman" w:cs="Times New Roman"/>
          <w:sz w:val="24"/>
          <w:szCs w:val="24"/>
        </w:rPr>
        <w:t>Contínua</w:t>
      </w:r>
      <w:proofErr w:type="spellEnd"/>
      <w:r w:rsidRPr="00E9485B">
        <w:rPr>
          <w:rFonts w:ascii="Times New Roman" w:eastAsia="Times New Roman" w:hAnsi="Times New Roman" w:cs="Times New Roman"/>
          <w:sz w:val="24"/>
          <w:szCs w:val="24"/>
        </w:rPr>
        <w:t xml:space="preserve"> (PNADC 2019) para Brasil, la Gran Encuesta Integrada de Hogares (GEIH 2019) para Colombia, y la Encuesta Nacional de Ingresos y Gastos de los Hogares (ENIGH 2018) para México; las encuestas de Brasil, Colombia y México son representativas a nivel nacional, mientras que la de Argentina cubre solo áreas urbanas, representando aproximadamente el 62% de la población. El concepto de ingreso utilizado es el ingreso bruto per cápita (labor, rentas, transferencias privadas, pensiones y transferencias públicas antes de impuestos directos), excluyendo el autoconsumo y el valor de alquiler imputado de vivienda propia, con el fin de mantener comparabilidad entre países; para el caso de México, los ingresos se convierten primero a niveles de diciembre de 2019, simulando las reformas introducidas al sistema de transferencias monetarias en 2019, y luego se multiplican por la tasa de crecimiento del PIB per cápita de 2019 usando un factor de traspaso (</w:t>
      </w:r>
      <w:proofErr w:type="spellStart"/>
      <w:r w:rsidRPr="00E9485B">
        <w:rPr>
          <w:rFonts w:ascii="Times New Roman" w:eastAsia="Times New Roman" w:hAnsi="Times New Roman" w:cs="Times New Roman"/>
          <w:sz w:val="24"/>
          <w:szCs w:val="24"/>
        </w:rPr>
        <w:t>pass-through</w:t>
      </w:r>
      <w:proofErr w:type="spellEnd"/>
      <w:r w:rsidRPr="00E9485B">
        <w:rPr>
          <w:rFonts w:ascii="Times New Roman" w:eastAsia="Times New Roman" w:hAnsi="Times New Roman" w:cs="Times New Roman"/>
          <w:sz w:val="24"/>
          <w:szCs w:val="24"/>
        </w:rPr>
        <w:t xml:space="preserve">) de 0.85 propuesto por </w:t>
      </w:r>
      <w:proofErr w:type="spellStart"/>
      <w:r w:rsidRPr="00E9485B">
        <w:rPr>
          <w:rFonts w:ascii="Times New Roman" w:eastAsia="Times New Roman" w:hAnsi="Times New Roman" w:cs="Times New Roman"/>
          <w:sz w:val="24"/>
          <w:szCs w:val="24"/>
        </w:rPr>
        <w:t>Ravallion</w:t>
      </w:r>
      <w:proofErr w:type="spellEnd"/>
      <w:r w:rsidRPr="00E9485B">
        <w:rPr>
          <w:rFonts w:ascii="Times New Roman" w:eastAsia="Times New Roman" w:hAnsi="Times New Roman" w:cs="Times New Roman"/>
          <w:sz w:val="24"/>
          <w:szCs w:val="24"/>
        </w:rPr>
        <w:t xml:space="preserve"> (2003) y aplicado por Lackner et al. (2022). El procedimiento identifica primero, a nivel de cada individuo, si su ingreso está "en riesgo" o "no en riesgo": se asume que el ingreso proveniente de sectores considerados esenciales (según decretos oficiales en Argentina y Colombia, y según la clasificación de la OIT para Brasil y México) no está en riesgo, al igual que el ingreso proveniente de transferencias monetarias, pensiones de seguridad social, empleo público y transferencias privadas como remesas, y el ingreso de trabajadores de cuello blanco (directivos, gerentes e investigadores) en sectores no esenciales con acceso a internet en el hogar; por el contrario, los ingresos de vendedores callejeros informales y los ingresos por alquiler se consideran siempre en riesgo, independientemente del sector. El ingreso en riesgo se obtiene como la diferencia entre el ingreso bruto total del hogar y el ingreso no en riesgo. Sobre esa base se simulan pérdidas potenciales usando dos parámetros que varían de 0% a 100% en intervalos de 10 puntos porcentuales: la proporción de hogares con ingreso en riesgo que efectivamente pierde ingreso, y de esos hogares, la proporción del ingreso en riesgo perdido; los hogares que pierden ingreso se seleccionan aleatoriamente, generando una matriz de 10 por 10 de posibles pérdidas de ingreso bruto per cápita. Para calibrar el escenario final, se seleccionan primero las combinaciones de la matriz cuya contracción agregada del ingreso per cápita se acerca más a las proyecciones de crecimiento del PIB del World </w:t>
      </w:r>
      <w:proofErr w:type="spellStart"/>
      <w:r w:rsidRPr="00E9485B">
        <w:rPr>
          <w:rFonts w:ascii="Times New Roman" w:eastAsia="Times New Roman" w:hAnsi="Times New Roman" w:cs="Times New Roman"/>
          <w:sz w:val="24"/>
          <w:szCs w:val="24"/>
        </w:rPr>
        <w:t>Economic</w:t>
      </w:r>
      <w:proofErr w:type="spellEnd"/>
      <w:r w:rsidRPr="00E9485B">
        <w:rPr>
          <w:rFonts w:ascii="Times New Roman" w:eastAsia="Times New Roman" w:hAnsi="Times New Roman" w:cs="Times New Roman"/>
          <w:sz w:val="24"/>
          <w:szCs w:val="24"/>
        </w:rPr>
        <w:t xml:space="preserve"> Outlook del FMI de abril de 2021, y entre esas combinaciones se elige la que más se aproxima a la proporción de hogares que reportaron pérdidas de ingreso en encuestas telefónicas de alta frecuencia, como el Panel de Monitoreo de Alta Frecuencia del Banco Mundial y la encuesta de la Universidad Iberoamericana; los escenarios finalmente utilizados fueron una contracción del ingreso bruto per cápita de 9.2% con 70% de los hogares perdiendo 50% de su ingreso en Argentina, 4.3% con 80% de los hogares perdiendo 20% en Brasil, 7.0% con 70% de los hogares perdiendo 30% en Colombia, y 7.8% con 60% de los hogares perdiendo 40% en </w:t>
      </w:r>
      <w:r w:rsidRPr="00E9485B">
        <w:rPr>
          <w:rFonts w:ascii="Times New Roman" w:eastAsia="Times New Roman" w:hAnsi="Times New Roman" w:cs="Times New Roman"/>
          <w:sz w:val="24"/>
          <w:szCs w:val="24"/>
        </w:rPr>
        <w:lastRenderedPageBreak/>
        <w:t xml:space="preserve">México. Para simular el efecto de la asistencia social ampliada, en el caso de programas preexistentes se asignaron los pagos adicionales posteriores a la pandemia a los hogares cuyos miembros reportaron ser beneficiarios en la encuesta; para los programas nuevos, se identificaron los hogares potencialmente beneficiarios según la población objetivo definida por cada programa (trabajadores informales, jefatura de hogar femenina, nivel socioeconómico, entre otros) y se asignó la transferencia aleatoriamente dentro de esa población objetivo hasta igualar el número de beneficiarios reportado en datos administrativos; los montos de las transferencias se expresan en precios locales y en dólares de mayo de 2020 (por ejemplo, el Ingreso Familiar de Emergencia en Argentina, el </w:t>
      </w:r>
      <w:proofErr w:type="spellStart"/>
      <w:r w:rsidRPr="00E9485B">
        <w:rPr>
          <w:rFonts w:ascii="Times New Roman" w:eastAsia="Times New Roman" w:hAnsi="Times New Roman" w:cs="Times New Roman"/>
          <w:sz w:val="24"/>
          <w:szCs w:val="24"/>
        </w:rPr>
        <w:t>Auxílio</w:t>
      </w:r>
      <w:proofErr w:type="spellEnd"/>
      <w:r w:rsidRPr="00E9485B">
        <w:rPr>
          <w:rFonts w:ascii="Times New Roman" w:eastAsia="Times New Roman" w:hAnsi="Times New Roman" w:cs="Times New Roman"/>
          <w:sz w:val="24"/>
          <w:szCs w:val="24"/>
        </w:rPr>
        <w:t xml:space="preserve"> </w:t>
      </w:r>
      <w:proofErr w:type="spellStart"/>
      <w:r w:rsidRPr="00E9485B">
        <w:rPr>
          <w:rFonts w:ascii="Times New Roman" w:eastAsia="Times New Roman" w:hAnsi="Times New Roman" w:cs="Times New Roman"/>
          <w:sz w:val="24"/>
          <w:szCs w:val="24"/>
        </w:rPr>
        <w:t>Emergencial</w:t>
      </w:r>
      <w:proofErr w:type="spellEnd"/>
      <w:r w:rsidRPr="00E9485B">
        <w:rPr>
          <w:rFonts w:ascii="Times New Roman" w:eastAsia="Times New Roman" w:hAnsi="Times New Roman" w:cs="Times New Roman"/>
          <w:sz w:val="24"/>
          <w:szCs w:val="24"/>
        </w:rPr>
        <w:t xml:space="preserve"> en Brasil, e Ingreso Solidario, Bogotá Solidaria, Familias en Acción, Jóvenes en Acción y Colombia Mayor en Colombia), mientras que México no expandió ni introdujo nuevas redes de protección social a nivel federal. Adicionalmente, se simulan cuatro escenarios de ingreso básico universal (IBU) definidos según el porcentaje de la brecha de pobreza que mitigan (igual al escenario con asistencia social ampliada, 50%, 75% o 100% del incremento del índice de brecha de pobreza), estimando su costo fiscal como porcentaje del PIB de 2020. Para describir las trayectorias de pérdida de ingreso a lo largo de la distribución, se emplean curvas de incidencia del crecimiento no anónimas, análogas a las propuestas por Bourguignon (2011), que muestran el cambio de ingreso en cada percentil de la distribución ex ante. Para el análisis de largo plazo, se sigue la metodología de Neidhöfer, Lustig y Tommasi (2021), aplicando un ejercicio contrafactual sobre datos individuales de Latinobarómetro (ondas de encuesta entre 1998 y 2017, restringiendo la muestra a individuos nacidos entre 1987 y 1994 con al menos 23 años al momento de responder), en el cual la escolaridad contrafactual posterior a la pandemia se define como los años de escolaridad efectivamente reportados menos el tiempo de instrucción perdido por COVID-19, medido como fracción del año escolar, mediante la ecuación </w:t>
      </w:r>
      <w:proofErr w:type="spellStart"/>
      <w:r w:rsidRPr="00E9485B">
        <w:rPr>
          <w:rFonts w:ascii="Times New Roman" w:eastAsia="Times New Roman" w:hAnsi="Times New Roman" w:cs="Times New Roman"/>
          <w:sz w:val="24"/>
          <w:szCs w:val="24"/>
          <w:highlight w:val="green"/>
        </w:rPr>
        <w:t>ê_jc</w:t>
      </w:r>
      <w:proofErr w:type="spellEnd"/>
      <w:r w:rsidRPr="00E9485B">
        <w:rPr>
          <w:rFonts w:ascii="Times New Roman" w:eastAsia="Times New Roman" w:hAnsi="Times New Roman" w:cs="Times New Roman"/>
          <w:sz w:val="24"/>
          <w:szCs w:val="24"/>
          <w:highlight w:val="green"/>
        </w:rPr>
        <w:t xml:space="preserve"> = </w:t>
      </w:r>
      <w:proofErr w:type="spellStart"/>
      <w:r w:rsidRPr="00E9485B">
        <w:rPr>
          <w:rFonts w:ascii="Times New Roman" w:eastAsia="Times New Roman" w:hAnsi="Times New Roman" w:cs="Times New Roman"/>
          <w:sz w:val="24"/>
          <w:szCs w:val="24"/>
          <w:highlight w:val="green"/>
        </w:rPr>
        <w:t>e_ijc</w:t>
      </w:r>
      <w:proofErr w:type="spellEnd"/>
      <w:r w:rsidRPr="00E9485B">
        <w:rPr>
          <w:rFonts w:ascii="Times New Roman" w:eastAsia="Times New Roman" w:hAnsi="Times New Roman" w:cs="Times New Roman"/>
          <w:sz w:val="24"/>
          <w:szCs w:val="24"/>
          <w:highlight w:val="green"/>
        </w:rPr>
        <w:t xml:space="preserve"> − [(</w:t>
      </w:r>
      <w:proofErr w:type="spellStart"/>
      <w:r w:rsidRPr="00E9485B">
        <w:rPr>
          <w:rFonts w:ascii="Times New Roman" w:eastAsia="Times New Roman" w:hAnsi="Times New Roman" w:cs="Times New Roman"/>
          <w:sz w:val="24"/>
          <w:szCs w:val="24"/>
          <w:highlight w:val="green"/>
        </w:rPr>
        <w:t>t_c</w:t>
      </w:r>
      <w:proofErr w:type="spellEnd"/>
      <w:r w:rsidRPr="00E9485B">
        <w:rPr>
          <w:rFonts w:ascii="Times New Roman" w:eastAsia="Times New Roman" w:hAnsi="Times New Roman" w:cs="Times New Roman"/>
          <w:sz w:val="24"/>
          <w:szCs w:val="24"/>
          <w:highlight w:val="green"/>
        </w:rPr>
        <w:t xml:space="preserve">(1 − </w:t>
      </w:r>
      <w:proofErr w:type="spellStart"/>
      <w:r w:rsidRPr="00E9485B">
        <w:rPr>
          <w:rFonts w:ascii="Times New Roman" w:eastAsia="Times New Roman" w:hAnsi="Times New Roman" w:cs="Times New Roman"/>
          <w:sz w:val="24"/>
          <w:szCs w:val="24"/>
          <w:highlight w:val="green"/>
        </w:rPr>
        <w:t>f_c·δ</w:t>
      </w:r>
      <w:proofErr w:type="spellEnd"/>
      <w:r w:rsidRPr="00E9485B">
        <w:rPr>
          <w:rFonts w:ascii="Times New Roman" w:eastAsia="Times New Roman" w:hAnsi="Times New Roman" w:cs="Times New Roman"/>
          <w:sz w:val="24"/>
          <w:szCs w:val="24"/>
          <w:highlight w:val="green"/>
        </w:rPr>
        <w:t xml:space="preserve"> − </w:t>
      </w:r>
      <w:proofErr w:type="spellStart"/>
      <w:r w:rsidRPr="00E9485B">
        <w:rPr>
          <w:rFonts w:ascii="Times New Roman" w:eastAsia="Times New Roman" w:hAnsi="Times New Roman" w:cs="Times New Roman"/>
          <w:sz w:val="24"/>
          <w:szCs w:val="24"/>
          <w:highlight w:val="green"/>
        </w:rPr>
        <w:t>n_c·A_jc</w:t>
      </w:r>
      <w:proofErr w:type="spellEnd"/>
      <w:r w:rsidRPr="00E9485B">
        <w:rPr>
          <w:rFonts w:ascii="Times New Roman" w:eastAsia="Times New Roman" w:hAnsi="Times New Roman" w:cs="Times New Roman"/>
          <w:sz w:val="24"/>
          <w:szCs w:val="24"/>
          <w:highlight w:val="green"/>
        </w:rPr>
        <w:t xml:space="preserve">·(1−δ)) + τ) / </w:t>
      </w:r>
      <w:proofErr w:type="spellStart"/>
      <w:r w:rsidRPr="00E9485B">
        <w:rPr>
          <w:rFonts w:ascii="Times New Roman" w:eastAsia="Times New Roman" w:hAnsi="Times New Roman" w:cs="Times New Roman"/>
          <w:sz w:val="24"/>
          <w:szCs w:val="24"/>
          <w:highlight w:val="green"/>
        </w:rPr>
        <w:t>T_c</w:t>
      </w:r>
      <w:proofErr w:type="spellEnd"/>
      <w:r w:rsidRPr="00E9485B">
        <w:rPr>
          <w:rFonts w:ascii="Times New Roman" w:eastAsia="Times New Roman" w:hAnsi="Times New Roman" w:cs="Times New Roman"/>
          <w:sz w:val="24"/>
          <w:szCs w:val="24"/>
          <w:highlight w:val="green"/>
        </w:rPr>
        <w:t xml:space="preserve">] · α_j − </w:t>
      </w:r>
      <w:proofErr w:type="spellStart"/>
      <w:r w:rsidRPr="00E9485B">
        <w:rPr>
          <w:rFonts w:ascii="Times New Roman" w:eastAsia="Times New Roman" w:hAnsi="Times New Roman" w:cs="Times New Roman"/>
          <w:sz w:val="24"/>
          <w:szCs w:val="24"/>
          <w:highlight w:val="green"/>
        </w:rPr>
        <w:t>D_jc</w:t>
      </w:r>
      <w:proofErr w:type="spellEnd"/>
      <w:r w:rsidRPr="00E9485B">
        <w:rPr>
          <w:rFonts w:ascii="Times New Roman" w:eastAsia="Times New Roman" w:hAnsi="Times New Roman" w:cs="Times New Roman"/>
          <w:sz w:val="24"/>
          <w:szCs w:val="24"/>
          <w:highlight w:val="green"/>
        </w:rPr>
        <w:t>,</w:t>
      </w:r>
      <w:r w:rsidRPr="00E9485B">
        <w:rPr>
          <w:rFonts w:ascii="Times New Roman" w:eastAsia="Times New Roman" w:hAnsi="Times New Roman" w:cs="Times New Roman"/>
          <w:sz w:val="24"/>
          <w:szCs w:val="24"/>
        </w:rPr>
        <w:t xml:space="preserve"> donde t son los días de instrucción perdidos (considerando cierre y reapertura de escuelas, asumiendo reapertura en noviembre de 2020 si seguían cerradas, además de vacaciones escolares dentro de ese período), T son los días de un año escolar regular, f y n son índices que miden la oferta alternativa de educación a distancia (offline mediante TV, radio, celular o copias impresas, y online mediante internet, respectivamente), δ es un peso que define su eficiencia relativa (fijado en 0.5, asumiendo ambas modalidades igualmente eficientes y sustitutas perfectas de la enseñanza presencial, para obtener estimaciones de límite inferior), A mide el acceso a internet por grupo socioeconómico según la educación del jefe de hogar, τ captura la pérdida de aprendizaje asociada a choques de salud por COVID-19 sufridos por miembros del hogar, α_j es uno menos el "factor de sustitución parental" (definido como </w:t>
      </w:r>
      <w:r w:rsidRPr="00E9485B">
        <w:rPr>
          <w:rFonts w:ascii="Times New Roman" w:eastAsia="Times New Roman" w:hAnsi="Times New Roman" w:cs="Times New Roman"/>
          <w:sz w:val="24"/>
          <w:szCs w:val="24"/>
          <w:highlight w:val="green"/>
        </w:rPr>
        <w:t xml:space="preserve">α_j = 1 − </w:t>
      </w:r>
      <w:proofErr w:type="spellStart"/>
      <w:r w:rsidRPr="00E9485B">
        <w:rPr>
          <w:rFonts w:ascii="Times New Roman" w:eastAsia="Times New Roman" w:hAnsi="Times New Roman" w:cs="Times New Roman"/>
          <w:sz w:val="24"/>
          <w:szCs w:val="24"/>
          <w:highlight w:val="green"/>
        </w:rPr>
        <w:t>e^p_j</w:t>
      </w:r>
      <w:proofErr w:type="spellEnd"/>
      <w:r w:rsidRPr="00E9485B">
        <w:rPr>
          <w:rFonts w:ascii="Times New Roman" w:eastAsia="Times New Roman" w:hAnsi="Times New Roman" w:cs="Times New Roman"/>
          <w:sz w:val="24"/>
          <w:szCs w:val="24"/>
          <w:highlight w:val="green"/>
        </w:rPr>
        <w:t xml:space="preserve"> / </w:t>
      </w:r>
      <w:proofErr w:type="spellStart"/>
      <w:r w:rsidRPr="00E9485B">
        <w:rPr>
          <w:rFonts w:ascii="Times New Roman" w:eastAsia="Times New Roman" w:hAnsi="Times New Roman" w:cs="Times New Roman"/>
          <w:sz w:val="24"/>
          <w:szCs w:val="24"/>
          <w:highlight w:val="green"/>
        </w:rPr>
        <w:t>max</w:t>
      </w:r>
      <w:proofErr w:type="spellEnd"/>
      <w:r w:rsidRPr="00E9485B">
        <w:rPr>
          <w:rFonts w:ascii="Times New Roman" w:eastAsia="Times New Roman" w:hAnsi="Times New Roman" w:cs="Times New Roman"/>
          <w:sz w:val="24"/>
          <w:szCs w:val="24"/>
          <w:highlight w:val="green"/>
        </w:rPr>
        <w:t>(</w:t>
      </w:r>
      <w:proofErr w:type="spellStart"/>
      <w:r w:rsidRPr="00E9485B">
        <w:rPr>
          <w:rFonts w:ascii="Times New Roman" w:eastAsia="Times New Roman" w:hAnsi="Times New Roman" w:cs="Times New Roman"/>
          <w:sz w:val="24"/>
          <w:szCs w:val="24"/>
          <w:highlight w:val="green"/>
        </w:rPr>
        <w:t>e^p_j</w:t>
      </w:r>
      <w:proofErr w:type="spellEnd"/>
      <w:r w:rsidRPr="00E9485B">
        <w:rPr>
          <w:rFonts w:ascii="Times New Roman" w:eastAsia="Times New Roman" w:hAnsi="Times New Roman" w:cs="Times New Roman"/>
          <w:sz w:val="24"/>
          <w:szCs w:val="24"/>
          <w:highlight w:val="green"/>
        </w:rPr>
        <w:t>)</w:t>
      </w:r>
      <w:r w:rsidRPr="00E9485B">
        <w:rPr>
          <w:rFonts w:ascii="Times New Roman" w:eastAsia="Times New Roman" w:hAnsi="Times New Roman" w:cs="Times New Roman"/>
          <w:sz w:val="24"/>
          <w:szCs w:val="24"/>
        </w:rPr>
        <w:t xml:space="preserve">, donde </w:t>
      </w:r>
      <w:proofErr w:type="spellStart"/>
      <w:r w:rsidRPr="00E9485B">
        <w:rPr>
          <w:rFonts w:ascii="Times New Roman" w:eastAsia="Times New Roman" w:hAnsi="Times New Roman" w:cs="Times New Roman"/>
          <w:sz w:val="24"/>
          <w:szCs w:val="24"/>
          <w:highlight w:val="green"/>
        </w:rPr>
        <w:t>e^p_j</w:t>
      </w:r>
      <w:proofErr w:type="spellEnd"/>
      <w:r w:rsidRPr="00E9485B">
        <w:rPr>
          <w:rFonts w:ascii="Times New Roman" w:eastAsia="Times New Roman" w:hAnsi="Times New Roman" w:cs="Times New Roman"/>
          <w:sz w:val="24"/>
          <w:szCs w:val="24"/>
        </w:rPr>
        <w:t xml:space="preserve"> son los años de escolaridad del padre o madre con mayor educación, en un rango de cero a quince años), que mide la capacidad de los padres de compensar la pérdida de instrucción mediante apoyo material o económico, y </w:t>
      </w:r>
      <w:proofErr w:type="spellStart"/>
      <w:r w:rsidRPr="00E9485B">
        <w:rPr>
          <w:rFonts w:ascii="Times New Roman" w:eastAsia="Times New Roman" w:hAnsi="Times New Roman" w:cs="Times New Roman"/>
          <w:sz w:val="24"/>
          <w:szCs w:val="24"/>
          <w:highlight w:val="green"/>
        </w:rPr>
        <w:t>D_jc</w:t>
      </w:r>
      <w:proofErr w:type="spellEnd"/>
      <w:r w:rsidRPr="00E9485B">
        <w:rPr>
          <w:rFonts w:ascii="Times New Roman" w:eastAsia="Times New Roman" w:hAnsi="Times New Roman" w:cs="Times New Roman"/>
          <w:sz w:val="24"/>
          <w:szCs w:val="24"/>
          <w:highlight w:val="green"/>
        </w:rPr>
        <w:t xml:space="preserve"> = α_</w:t>
      </w:r>
      <w:proofErr w:type="spellStart"/>
      <w:r w:rsidRPr="00E9485B">
        <w:rPr>
          <w:rFonts w:ascii="Times New Roman" w:eastAsia="Times New Roman" w:hAnsi="Times New Roman" w:cs="Times New Roman"/>
          <w:sz w:val="24"/>
          <w:szCs w:val="24"/>
          <w:highlight w:val="green"/>
        </w:rPr>
        <w:t>j·d_jc</w:t>
      </w:r>
      <w:proofErr w:type="spellEnd"/>
      <w:r w:rsidRPr="00E9485B">
        <w:rPr>
          <w:rFonts w:ascii="Times New Roman" w:eastAsia="Times New Roman" w:hAnsi="Times New Roman" w:cs="Times New Roman"/>
          <w:sz w:val="24"/>
          <w:szCs w:val="24"/>
        </w:rPr>
        <w:t xml:space="preserve"> captura el efecto adicional de la pérdida de ingreso del hogar sobre la escolaridad, siendo </w:t>
      </w:r>
      <w:proofErr w:type="spellStart"/>
      <w:r w:rsidRPr="00E9485B">
        <w:rPr>
          <w:rFonts w:ascii="Times New Roman" w:eastAsia="Times New Roman" w:hAnsi="Times New Roman" w:cs="Times New Roman"/>
          <w:sz w:val="24"/>
          <w:szCs w:val="24"/>
          <w:highlight w:val="green"/>
        </w:rPr>
        <w:t>d_jc</w:t>
      </w:r>
      <w:proofErr w:type="spellEnd"/>
      <w:r w:rsidRPr="00E9485B">
        <w:rPr>
          <w:rFonts w:ascii="Times New Roman" w:eastAsia="Times New Roman" w:hAnsi="Times New Roman" w:cs="Times New Roman"/>
          <w:sz w:val="24"/>
          <w:szCs w:val="24"/>
        </w:rPr>
        <w:t xml:space="preserve"> la probabilidad de perder al menos 20% del ingreso durante la pandemia para cada grupo socioeconómico y país, estimada mediante el mismo ejercicio de </w:t>
      </w:r>
      <w:proofErr w:type="spellStart"/>
      <w:r w:rsidRPr="00E9485B">
        <w:rPr>
          <w:rFonts w:ascii="Times New Roman" w:eastAsia="Times New Roman" w:hAnsi="Times New Roman" w:cs="Times New Roman"/>
          <w:sz w:val="24"/>
          <w:szCs w:val="24"/>
        </w:rPr>
        <w:t>microsimulación</w:t>
      </w:r>
      <w:proofErr w:type="spellEnd"/>
      <w:r w:rsidRPr="00E9485B">
        <w:rPr>
          <w:rFonts w:ascii="Times New Roman" w:eastAsia="Times New Roman" w:hAnsi="Times New Roman" w:cs="Times New Roman"/>
          <w:sz w:val="24"/>
          <w:szCs w:val="24"/>
        </w:rPr>
        <w:t xml:space="preserve"> de la primera parte del </w:t>
      </w:r>
      <w:r w:rsidRPr="00E9485B">
        <w:rPr>
          <w:rFonts w:ascii="Times New Roman" w:eastAsia="Times New Roman" w:hAnsi="Times New Roman" w:cs="Times New Roman"/>
          <w:sz w:val="24"/>
          <w:szCs w:val="24"/>
        </w:rPr>
        <w:lastRenderedPageBreak/>
        <w:t xml:space="preserve">estudio, calculada con y sin el efecto mitigador de la asistencia social. Los parámetros específicos por país (días de instrucción perdidos, duración del año escolar, índices de oferta offline y online, cobertura de internet por nivel educativo del jefe de hogar, y casos y muertes por COVID-19 por habitante a septiembre de 2020) se presentan en una tabla dedicada. La finalización de la educación secundaria se define de forma conservadora como alcanzar 11.75 años de escolaridad ajustados o más, y la persistencia intergeneracional se mide comparando la probabilidad de completar secundaria entre hijos de padres con educación baja, media y alta (definidos mediante </w:t>
      </w:r>
      <w:proofErr w:type="spellStart"/>
      <w:r w:rsidRPr="00E9485B">
        <w:rPr>
          <w:rFonts w:ascii="Times New Roman" w:eastAsia="Times New Roman" w:hAnsi="Times New Roman" w:cs="Times New Roman"/>
          <w:sz w:val="24"/>
          <w:szCs w:val="24"/>
        </w:rPr>
        <w:t>terciles</w:t>
      </w:r>
      <w:proofErr w:type="spellEnd"/>
      <w:r w:rsidRPr="00E9485B">
        <w:rPr>
          <w:rFonts w:ascii="Times New Roman" w:eastAsia="Times New Roman" w:hAnsi="Times New Roman" w:cs="Times New Roman"/>
          <w:sz w:val="24"/>
          <w:szCs w:val="24"/>
        </w:rPr>
        <w:t xml:space="preserve"> de la distribución de escolaridad parental), así como mediante razones de riesgo entre hijos de padres con educación baja y alta.</w:t>
      </w:r>
    </w:p>
    <w:p w14:paraId="32A5EB15" w14:textId="77777777" w:rsidR="00E9485B" w:rsidRPr="00E9485B" w:rsidRDefault="00E9485B" w:rsidP="00E9485B">
      <w:pPr>
        <w:jc w:val="both"/>
        <w:rPr>
          <w:rFonts w:ascii="Times New Roman" w:eastAsia="Times New Roman" w:hAnsi="Times New Roman" w:cs="Times New Roman"/>
          <w:b/>
          <w:bCs/>
          <w:sz w:val="24"/>
          <w:szCs w:val="24"/>
        </w:rPr>
      </w:pPr>
      <w:r w:rsidRPr="00E9485B">
        <w:rPr>
          <w:rFonts w:ascii="Times New Roman" w:eastAsia="Times New Roman" w:hAnsi="Times New Roman" w:cs="Times New Roman"/>
          <w:b/>
          <w:bCs/>
          <w:sz w:val="24"/>
          <w:szCs w:val="24"/>
        </w:rPr>
        <w:t>Resultados</w:t>
      </w:r>
    </w:p>
    <w:p w14:paraId="54455894" w14:textId="550437AF" w:rsidR="00BE2669" w:rsidRPr="000646F3" w:rsidRDefault="00E9485B" w:rsidP="000646F3">
      <w:pPr>
        <w:jc w:val="both"/>
        <w:rPr>
          <w:rFonts w:ascii="Times New Roman" w:eastAsia="Times New Roman" w:hAnsi="Times New Roman" w:cs="Times New Roman"/>
          <w:sz w:val="24"/>
          <w:szCs w:val="24"/>
        </w:rPr>
      </w:pPr>
      <w:r w:rsidRPr="00E9485B">
        <w:rPr>
          <w:rFonts w:ascii="Times New Roman" w:eastAsia="Times New Roman" w:hAnsi="Times New Roman" w:cs="Times New Roman"/>
          <w:sz w:val="24"/>
          <w:szCs w:val="24"/>
        </w:rPr>
        <w:t xml:space="preserve">Las </w:t>
      </w:r>
      <w:proofErr w:type="spellStart"/>
      <w:r w:rsidRPr="00E9485B">
        <w:rPr>
          <w:rFonts w:ascii="Times New Roman" w:eastAsia="Times New Roman" w:hAnsi="Times New Roman" w:cs="Times New Roman"/>
          <w:sz w:val="24"/>
          <w:szCs w:val="24"/>
        </w:rPr>
        <w:t>microsimulaciones</w:t>
      </w:r>
      <w:proofErr w:type="spellEnd"/>
      <w:r w:rsidRPr="00E9485B">
        <w:rPr>
          <w:rFonts w:ascii="Times New Roman" w:eastAsia="Times New Roman" w:hAnsi="Times New Roman" w:cs="Times New Roman"/>
          <w:sz w:val="24"/>
          <w:szCs w:val="24"/>
        </w:rPr>
        <w:t xml:space="preserve"> muestran que el impacto de corto plazo de la COVID-19 sobre la desigualdad y la pobreza puede ser muy significativo, con hogares en toda la distribución del ingreso peor situados en promedio respecto a su ingreso previo al choque, siendo las pérdidas mayores para los deciles medios (pobres moderados, hogares no pobres vulnerables a caer bajo la línea de pobreza y hogares de clase media) que para los más pobres o los más ricos, en un patrón en forma de U explicado porque los hogares más pobres cuentan con el colchón de los programas de asistencia social focalizados, mientras que los hogares de mayores ingresos concentran tres tipos de ingreso no en riesgo (pensiones de seguridad social, salarios del sector público e ingresos laborales de trabajadores de cuello blanco con acceso a internet). En ausencia de asistencia social ampliada, el coeficiente de Gini habría aumentado entre 0.8 puntos (Brasil) y 2.6 puntos (Argentina); con la asistencia social ampliada implementada en Argentina, Brasil y Colombia, ese incremento se reduce sustancialmente, llegando en Brasil a revertirse por completo, de modo que la desigualdad en 2020 pudo haber sido incluso menor que en 2019 (Gini pasando de 55.4 ex ante a 52.5 ex post con asistencia social, una reducción de 2.9 puntos); en Argentina el Gini pasó de 44.4 a 45.3 (aumento de 0.9 puntos) y en Colombia de 55.0 a 55.1 (aumento de 0.1 puntos) con asistencia social, frente a aumentos de 2.6 y 1.2 puntos respectivamente sin ella; en México, sin expansión de asistencia social, el Gini aumentó 1.5 puntos, de 46.4 a 47.9. En términos de pobreza, usando líneas de pobreza nacionales, el aumento en la incidencia sin asistencia social ampliada habría sido de 7.4 puntos porcentuales en Argentina, 2.9 en Brasil, 4.6 en Colombia y 5.5 en México; la asistencia social ampliada mitigó ese impacto en 2.2 puntos porcentuales en Argentina, 6.1 en Brasil, 2.3 en Colombia y cero en México. Usando la línea internacional de pobreza de 5.50 dólares diarios en paridad de poder adquisitivo de 2011, los resultados muestran un patrón similar, con Brasil pasando de una tasa de pobreza ex post sin asistencia de 27.6% a 20.6% con asistencia social, por debajo del nivel ex ante de 25.4%. En cuanto a los escenarios de ingreso básico universal, un IBU diseñado para producir la misma reducción en el índice de brecha de pobreza que las políticas efectivamente aplicadas habría costado ligeramente más en los tres países que expandieron su asistencia social (0.15 puntos porcentuales del PIB adicionales en Argentina, 0.32 en Brasil y 0.05 en Colombia), y un IBU que compensara el 100% del incremento en la brecha de pobreza habría costado 1.13% del PIB en Argentina y 0.28% adicional en Colombia; sin embargo, bajo el IBU los hogares pobres previos a la pandemia sufren mayores pérdidas de ingreso que bajo los esquemas efectivamente </w:t>
      </w:r>
      <w:r w:rsidRPr="00E9485B">
        <w:rPr>
          <w:rFonts w:ascii="Times New Roman" w:eastAsia="Times New Roman" w:hAnsi="Times New Roman" w:cs="Times New Roman"/>
          <w:sz w:val="24"/>
          <w:szCs w:val="24"/>
        </w:rPr>
        <w:lastRenderedPageBreak/>
        <w:t>implementados, mientras que la mitad más rica de la población queda protegida de pérdidas de ingreso casi en su totalidad, lo que lleva a los autores a concluir que las políticas efectivamente aplicadas resultaron una mejor opción que un IBU de estas características. Respecto a los efectos de largo plazo sobre el capital humano, la pérdida instructiva golpea de forma desproporcionada a los hogares en la parte baja de la distribución educativa parental, intensificando la persistencia intergeneracional de la educación: se registra una disminución en las tasas de finalización de la educación secundaria de los niños con antecedentes familiares de baja educación de 8.5% en Argentina y Colombia, 30% en México y 35% en Brasil. La mayor parte de esta pérdida instructiva es atribuible al cierre de escuelas, mientras que el efecto adicional de las pérdidas de ingreso del hogar sobre la demanda educativa resulta solo marginal; debido a la implementación no óptima de recursos de aprendizaje presenciales y virtuales y a la distribución desigual de la cobertura de internet entre grupos socioeconómicos, el efecto mitigador de las políticas educativas resulta limitado y no logra cerrar la brecha de aprendizaje, y la mitigación de las pérdidas de ingreso mediante asistencia social, aunque efectiva para contener el impacto de corto plazo sobre desigualdad y pobreza, ofrece poco o ningún efecto compensatorio sobre las pérdidas instructivas. Bajo circunstancias regulares, los individuos con padres de baja educación en la muestra tienen la mitad de probabilidad de completar la educación secundaria que sus pares con padres de alta educación en Argentina, más del 60% de esa probabilidad en Brasil y México, y alrededor del 30% en Colombia; tras el choque de COVID-19, esta razón de riesgo cae a 0.4 en Argentina y por debajo de 0.3 en los otros tres países, lo que refleja un aumento sustancial de la desigualdad de oportunidades educativas.</w:t>
      </w:r>
    </w:p>
    <w:p w14:paraId="6B294E1E" w14:textId="0B479FA4" w:rsidR="0034536A" w:rsidRPr="000646F3" w:rsidRDefault="004A095F" w:rsidP="000646F3">
      <w:pPr>
        <w:pStyle w:val="Prrafodelista"/>
        <w:numPr>
          <w:ilvl w:val="0"/>
          <w:numId w:val="3"/>
        </w:numPr>
        <w:jc w:val="both"/>
        <w:rPr>
          <w:rFonts w:ascii="Times New Roman" w:eastAsia="Times New Roman" w:hAnsi="Times New Roman" w:cs="Times New Roman"/>
          <w:b/>
          <w:bCs/>
          <w:sz w:val="24"/>
          <w:szCs w:val="24"/>
        </w:rPr>
      </w:pPr>
      <w:r w:rsidRPr="008D646B">
        <w:rPr>
          <w:rFonts w:ascii="Times New Roman" w:eastAsia="Times New Roman" w:hAnsi="Times New Roman" w:cs="Times New Roman"/>
          <w:b/>
          <w:bCs/>
          <w:sz w:val="24"/>
          <w:szCs w:val="24"/>
        </w:rPr>
        <w:t>Pereira y Oliveira (2020)</w:t>
      </w:r>
    </w:p>
    <w:p w14:paraId="34EE5222" w14:textId="77777777" w:rsidR="0034536A" w:rsidRDefault="0034536A" w:rsidP="0034536A">
      <w:pPr>
        <w:jc w:val="both"/>
        <w:rPr>
          <w:rFonts w:ascii="Times New Roman" w:eastAsia="Times New Roman" w:hAnsi="Times New Roman" w:cs="Times New Roman"/>
          <w:b/>
          <w:bCs/>
          <w:sz w:val="24"/>
          <w:szCs w:val="24"/>
        </w:rPr>
      </w:pPr>
      <w:r w:rsidRPr="0034536A">
        <w:rPr>
          <w:rFonts w:ascii="Times New Roman" w:eastAsia="Times New Roman" w:hAnsi="Times New Roman" w:cs="Times New Roman"/>
          <w:b/>
          <w:bCs/>
          <w:sz w:val="24"/>
          <w:szCs w:val="24"/>
        </w:rPr>
        <w:t>Objetivo</w:t>
      </w:r>
    </w:p>
    <w:p w14:paraId="19FDEC7D" w14:textId="77777777" w:rsidR="0034536A" w:rsidRDefault="0034536A" w:rsidP="0034536A">
      <w:pPr>
        <w:jc w:val="both"/>
        <w:rPr>
          <w:rFonts w:ascii="Times New Roman" w:eastAsia="Times New Roman" w:hAnsi="Times New Roman" w:cs="Times New Roman"/>
          <w:b/>
          <w:bCs/>
          <w:sz w:val="24"/>
          <w:szCs w:val="24"/>
        </w:rPr>
      </w:pPr>
      <w:r w:rsidRPr="0034536A">
        <w:rPr>
          <w:rFonts w:ascii="Times New Roman" w:eastAsia="Times New Roman" w:hAnsi="Times New Roman" w:cs="Times New Roman"/>
          <w:sz w:val="24"/>
          <w:szCs w:val="24"/>
        </w:rPr>
        <w:t>Discutir la relación entre la pobreza y la inseguridad alimentaria (IA) y la pandemia de COVID-19, así como presentar posibles estrategias y acciones para fortalecer la protección social en el enfrentamiento de estas condiciones dentro del contexto epidemiológico vigente, con especial atención a los países de bajos ingresos.</w:t>
      </w:r>
    </w:p>
    <w:p w14:paraId="4436CE2C" w14:textId="77777777" w:rsidR="0034536A" w:rsidRDefault="0034536A" w:rsidP="0034536A">
      <w:pPr>
        <w:jc w:val="both"/>
        <w:rPr>
          <w:rFonts w:ascii="Times New Roman" w:eastAsia="Times New Roman" w:hAnsi="Times New Roman" w:cs="Times New Roman"/>
          <w:b/>
          <w:bCs/>
          <w:sz w:val="24"/>
          <w:szCs w:val="24"/>
        </w:rPr>
      </w:pPr>
      <w:r w:rsidRPr="0034536A">
        <w:rPr>
          <w:rFonts w:ascii="Times New Roman" w:eastAsia="Times New Roman" w:hAnsi="Times New Roman" w:cs="Times New Roman"/>
          <w:b/>
          <w:bCs/>
          <w:sz w:val="24"/>
          <w:szCs w:val="24"/>
        </w:rPr>
        <w:t>Metodología</w:t>
      </w:r>
    </w:p>
    <w:p w14:paraId="111BCC1F" w14:textId="77777777" w:rsidR="0034536A" w:rsidRDefault="0034536A" w:rsidP="0034536A">
      <w:pPr>
        <w:jc w:val="both"/>
        <w:rPr>
          <w:rFonts w:ascii="Times New Roman" w:eastAsia="Times New Roman" w:hAnsi="Times New Roman" w:cs="Times New Roman"/>
          <w:b/>
          <w:bCs/>
          <w:sz w:val="24"/>
          <w:szCs w:val="24"/>
        </w:rPr>
      </w:pPr>
      <w:r w:rsidRPr="0034536A">
        <w:rPr>
          <w:rFonts w:ascii="Times New Roman" w:eastAsia="Times New Roman" w:hAnsi="Times New Roman" w:cs="Times New Roman"/>
          <w:sz w:val="24"/>
          <w:szCs w:val="24"/>
        </w:rPr>
        <w:t xml:space="preserve">Se trata de una revisión narrativa centrada en la COVID-19, la pobreza y la inseguridad alimentaria y nutricional. A diferencia de un estudio empírico, el artículo no plantea recolección propia de datos primarios, cálculo de costos de dietas, ni aplicación de metodologías de tipo </w:t>
      </w:r>
      <w:proofErr w:type="spellStart"/>
      <w:r w:rsidRPr="0034536A">
        <w:rPr>
          <w:rFonts w:ascii="Times New Roman" w:eastAsia="Times New Roman" w:hAnsi="Times New Roman" w:cs="Times New Roman"/>
          <w:sz w:val="24"/>
          <w:szCs w:val="24"/>
        </w:rPr>
        <w:t>CoNA</w:t>
      </w:r>
      <w:proofErr w:type="spellEnd"/>
      <w:r w:rsidRPr="0034536A">
        <w:rPr>
          <w:rFonts w:ascii="Times New Roman" w:eastAsia="Times New Roman" w:hAnsi="Times New Roman" w:cs="Times New Roman"/>
          <w:sz w:val="24"/>
          <w:szCs w:val="24"/>
        </w:rPr>
        <w:t xml:space="preserve"> (Cost </w:t>
      </w:r>
      <w:proofErr w:type="spellStart"/>
      <w:r w:rsidRPr="0034536A">
        <w:rPr>
          <w:rFonts w:ascii="Times New Roman" w:eastAsia="Times New Roman" w:hAnsi="Times New Roman" w:cs="Times New Roman"/>
          <w:sz w:val="24"/>
          <w:szCs w:val="24"/>
        </w:rPr>
        <w:t>of</w:t>
      </w:r>
      <w:proofErr w:type="spellEnd"/>
      <w:r w:rsidRPr="0034536A">
        <w:rPr>
          <w:rFonts w:ascii="Times New Roman" w:eastAsia="Times New Roman" w:hAnsi="Times New Roman" w:cs="Times New Roman"/>
          <w:sz w:val="24"/>
          <w:szCs w:val="24"/>
        </w:rPr>
        <w:t xml:space="preserve"> a </w:t>
      </w:r>
      <w:proofErr w:type="spellStart"/>
      <w:r w:rsidRPr="0034536A">
        <w:rPr>
          <w:rFonts w:ascii="Times New Roman" w:eastAsia="Times New Roman" w:hAnsi="Times New Roman" w:cs="Times New Roman"/>
          <w:sz w:val="24"/>
          <w:szCs w:val="24"/>
        </w:rPr>
        <w:t>Nutrient</w:t>
      </w:r>
      <w:proofErr w:type="spellEnd"/>
      <w:r w:rsidRPr="0034536A">
        <w:rPr>
          <w:rFonts w:ascii="Times New Roman" w:eastAsia="Times New Roman" w:hAnsi="Times New Roman" w:cs="Times New Roman"/>
          <w:sz w:val="24"/>
          <w:szCs w:val="24"/>
        </w:rPr>
        <w:t xml:space="preserve"> </w:t>
      </w:r>
      <w:proofErr w:type="spellStart"/>
      <w:r w:rsidRPr="0034536A">
        <w:rPr>
          <w:rFonts w:ascii="Times New Roman" w:eastAsia="Times New Roman" w:hAnsi="Times New Roman" w:cs="Times New Roman"/>
          <w:sz w:val="24"/>
          <w:szCs w:val="24"/>
        </w:rPr>
        <w:t>Adequate</w:t>
      </w:r>
      <w:proofErr w:type="spellEnd"/>
      <w:r w:rsidRPr="0034536A">
        <w:rPr>
          <w:rFonts w:ascii="Times New Roman" w:eastAsia="Times New Roman" w:hAnsi="Times New Roman" w:cs="Times New Roman"/>
          <w:sz w:val="24"/>
          <w:szCs w:val="24"/>
        </w:rPr>
        <w:t xml:space="preserve"> </w:t>
      </w:r>
      <w:proofErr w:type="spellStart"/>
      <w:r w:rsidRPr="0034536A">
        <w:rPr>
          <w:rFonts w:ascii="Times New Roman" w:eastAsia="Times New Roman" w:hAnsi="Times New Roman" w:cs="Times New Roman"/>
          <w:sz w:val="24"/>
          <w:szCs w:val="24"/>
        </w:rPr>
        <w:t>Diet</w:t>
      </w:r>
      <w:proofErr w:type="spellEnd"/>
      <w:r w:rsidRPr="0034536A">
        <w:rPr>
          <w:rFonts w:ascii="Times New Roman" w:eastAsia="Times New Roman" w:hAnsi="Times New Roman" w:cs="Times New Roman"/>
          <w:sz w:val="24"/>
          <w:szCs w:val="24"/>
        </w:rPr>
        <w:t xml:space="preserve">), </w:t>
      </w:r>
      <w:proofErr w:type="spellStart"/>
      <w:r w:rsidRPr="0034536A">
        <w:rPr>
          <w:rFonts w:ascii="Times New Roman" w:eastAsia="Times New Roman" w:hAnsi="Times New Roman" w:cs="Times New Roman"/>
          <w:sz w:val="24"/>
          <w:szCs w:val="24"/>
        </w:rPr>
        <w:t>CoRD</w:t>
      </w:r>
      <w:proofErr w:type="spellEnd"/>
      <w:r w:rsidRPr="0034536A">
        <w:rPr>
          <w:rFonts w:ascii="Times New Roman" w:eastAsia="Times New Roman" w:hAnsi="Times New Roman" w:cs="Times New Roman"/>
          <w:sz w:val="24"/>
          <w:szCs w:val="24"/>
        </w:rPr>
        <w:t xml:space="preserve"> (Cost </w:t>
      </w:r>
      <w:proofErr w:type="spellStart"/>
      <w:r w:rsidRPr="0034536A">
        <w:rPr>
          <w:rFonts w:ascii="Times New Roman" w:eastAsia="Times New Roman" w:hAnsi="Times New Roman" w:cs="Times New Roman"/>
          <w:sz w:val="24"/>
          <w:szCs w:val="24"/>
        </w:rPr>
        <w:t>of</w:t>
      </w:r>
      <w:proofErr w:type="spellEnd"/>
      <w:r w:rsidRPr="0034536A">
        <w:rPr>
          <w:rFonts w:ascii="Times New Roman" w:eastAsia="Times New Roman" w:hAnsi="Times New Roman" w:cs="Times New Roman"/>
          <w:sz w:val="24"/>
          <w:szCs w:val="24"/>
        </w:rPr>
        <w:t xml:space="preserve"> a </w:t>
      </w:r>
      <w:proofErr w:type="spellStart"/>
      <w:r w:rsidRPr="0034536A">
        <w:rPr>
          <w:rFonts w:ascii="Times New Roman" w:eastAsia="Times New Roman" w:hAnsi="Times New Roman" w:cs="Times New Roman"/>
          <w:sz w:val="24"/>
          <w:szCs w:val="24"/>
        </w:rPr>
        <w:t>Recommended</w:t>
      </w:r>
      <w:proofErr w:type="spellEnd"/>
      <w:r w:rsidRPr="0034536A">
        <w:rPr>
          <w:rFonts w:ascii="Times New Roman" w:eastAsia="Times New Roman" w:hAnsi="Times New Roman" w:cs="Times New Roman"/>
          <w:sz w:val="24"/>
          <w:szCs w:val="24"/>
        </w:rPr>
        <w:t xml:space="preserve"> </w:t>
      </w:r>
      <w:proofErr w:type="spellStart"/>
      <w:r w:rsidRPr="0034536A">
        <w:rPr>
          <w:rFonts w:ascii="Times New Roman" w:eastAsia="Times New Roman" w:hAnsi="Times New Roman" w:cs="Times New Roman"/>
          <w:sz w:val="24"/>
          <w:szCs w:val="24"/>
        </w:rPr>
        <w:t>Diet</w:t>
      </w:r>
      <w:proofErr w:type="spellEnd"/>
      <w:r w:rsidRPr="0034536A">
        <w:rPr>
          <w:rFonts w:ascii="Times New Roman" w:eastAsia="Times New Roman" w:hAnsi="Times New Roman" w:cs="Times New Roman"/>
          <w:sz w:val="24"/>
          <w:szCs w:val="24"/>
        </w:rPr>
        <w:t xml:space="preserve">) o similares; tampoco reporta cifras propias en términos reales o nominales, dado que su naturaleza es de comentario y síntesis conceptual, no de análisis cuantitativo original. El desarrollo del artículo se apoya en la revisión y discusión de literatura y reportes previos, así como en cifras publicadas por organismos internacionales, entre ellos el </w:t>
      </w:r>
      <w:proofErr w:type="spellStart"/>
      <w:r w:rsidRPr="0034536A">
        <w:rPr>
          <w:rFonts w:ascii="Times New Roman" w:eastAsia="Times New Roman" w:hAnsi="Times New Roman" w:cs="Times New Roman"/>
          <w:sz w:val="24"/>
          <w:szCs w:val="24"/>
        </w:rPr>
        <w:t>HungerMap</w:t>
      </w:r>
      <w:proofErr w:type="spellEnd"/>
      <w:r w:rsidRPr="0034536A">
        <w:rPr>
          <w:rFonts w:ascii="Times New Roman" w:eastAsia="Times New Roman" w:hAnsi="Times New Roman" w:cs="Times New Roman"/>
          <w:sz w:val="24"/>
          <w:szCs w:val="24"/>
        </w:rPr>
        <w:t xml:space="preserve"> LIVE del Programa Mundial de Alimentos, el informe The State </w:t>
      </w:r>
      <w:proofErr w:type="spellStart"/>
      <w:r w:rsidRPr="0034536A">
        <w:rPr>
          <w:rFonts w:ascii="Times New Roman" w:eastAsia="Times New Roman" w:hAnsi="Times New Roman" w:cs="Times New Roman"/>
          <w:sz w:val="24"/>
          <w:szCs w:val="24"/>
        </w:rPr>
        <w:t>of</w:t>
      </w:r>
      <w:proofErr w:type="spellEnd"/>
      <w:r w:rsidRPr="0034536A">
        <w:rPr>
          <w:rFonts w:ascii="Times New Roman" w:eastAsia="Times New Roman" w:hAnsi="Times New Roman" w:cs="Times New Roman"/>
          <w:sz w:val="24"/>
          <w:szCs w:val="24"/>
        </w:rPr>
        <w:t xml:space="preserve"> </w:t>
      </w:r>
      <w:proofErr w:type="spellStart"/>
      <w:r w:rsidRPr="0034536A">
        <w:rPr>
          <w:rFonts w:ascii="Times New Roman" w:eastAsia="Times New Roman" w:hAnsi="Times New Roman" w:cs="Times New Roman"/>
          <w:sz w:val="24"/>
          <w:szCs w:val="24"/>
        </w:rPr>
        <w:t>Food</w:t>
      </w:r>
      <w:proofErr w:type="spellEnd"/>
      <w:r w:rsidRPr="0034536A">
        <w:rPr>
          <w:rFonts w:ascii="Times New Roman" w:eastAsia="Times New Roman" w:hAnsi="Times New Roman" w:cs="Times New Roman"/>
          <w:sz w:val="24"/>
          <w:szCs w:val="24"/>
        </w:rPr>
        <w:t xml:space="preserve"> Security and </w:t>
      </w:r>
      <w:proofErr w:type="spellStart"/>
      <w:r w:rsidRPr="0034536A">
        <w:rPr>
          <w:rFonts w:ascii="Times New Roman" w:eastAsia="Times New Roman" w:hAnsi="Times New Roman" w:cs="Times New Roman"/>
          <w:sz w:val="24"/>
          <w:szCs w:val="24"/>
        </w:rPr>
        <w:t>Nutrition</w:t>
      </w:r>
      <w:proofErr w:type="spellEnd"/>
      <w:r w:rsidRPr="0034536A">
        <w:rPr>
          <w:rFonts w:ascii="Times New Roman" w:eastAsia="Times New Roman" w:hAnsi="Times New Roman" w:cs="Times New Roman"/>
          <w:sz w:val="24"/>
          <w:szCs w:val="24"/>
        </w:rPr>
        <w:t xml:space="preserve"> in </w:t>
      </w:r>
      <w:proofErr w:type="spellStart"/>
      <w:r w:rsidRPr="0034536A">
        <w:rPr>
          <w:rFonts w:ascii="Times New Roman" w:eastAsia="Times New Roman" w:hAnsi="Times New Roman" w:cs="Times New Roman"/>
          <w:sz w:val="24"/>
          <w:szCs w:val="24"/>
        </w:rPr>
        <w:t>the</w:t>
      </w:r>
      <w:proofErr w:type="spellEnd"/>
      <w:r w:rsidRPr="0034536A">
        <w:rPr>
          <w:rFonts w:ascii="Times New Roman" w:eastAsia="Times New Roman" w:hAnsi="Times New Roman" w:cs="Times New Roman"/>
          <w:sz w:val="24"/>
          <w:szCs w:val="24"/>
        </w:rPr>
        <w:t xml:space="preserve"> World 2019 de FAO, IFAD, UNICEF et al., y el documento </w:t>
      </w:r>
      <w:proofErr w:type="spellStart"/>
      <w:r w:rsidRPr="0034536A">
        <w:rPr>
          <w:rFonts w:ascii="Times New Roman" w:eastAsia="Times New Roman" w:hAnsi="Times New Roman" w:cs="Times New Roman"/>
          <w:sz w:val="24"/>
          <w:szCs w:val="24"/>
        </w:rPr>
        <w:t>del</w:t>
      </w:r>
      <w:proofErr w:type="spellEnd"/>
      <w:r w:rsidRPr="0034536A">
        <w:rPr>
          <w:rFonts w:ascii="Times New Roman" w:eastAsia="Times New Roman" w:hAnsi="Times New Roman" w:cs="Times New Roman"/>
          <w:sz w:val="24"/>
          <w:szCs w:val="24"/>
        </w:rPr>
        <w:t xml:space="preserve"> UN </w:t>
      </w:r>
      <w:proofErr w:type="spellStart"/>
      <w:r w:rsidRPr="0034536A">
        <w:rPr>
          <w:rFonts w:ascii="Times New Roman" w:eastAsia="Times New Roman" w:hAnsi="Times New Roman" w:cs="Times New Roman"/>
          <w:sz w:val="24"/>
          <w:szCs w:val="24"/>
        </w:rPr>
        <w:t>Sustainable</w:t>
      </w:r>
      <w:proofErr w:type="spellEnd"/>
      <w:r w:rsidRPr="0034536A">
        <w:rPr>
          <w:rFonts w:ascii="Times New Roman" w:eastAsia="Times New Roman" w:hAnsi="Times New Roman" w:cs="Times New Roman"/>
          <w:sz w:val="24"/>
          <w:szCs w:val="24"/>
        </w:rPr>
        <w:t xml:space="preserve"> </w:t>
      </w:r>
      <w:proofErr w:type="spellStart"/>
      <w:r w:rsidRPr="0034536A">
        <w:rPr>
          <w:rFonts w:ascii="Times New Roman" w:eastAsia="Times New Roman" w:hAnsi="Times New Roman" w:cs="Times New Roman"/>
          <w:sz w:val="24"/>
          <w:szCs w:val="24"/>
        </w:rPr>
        <w:t>Development</w:t>
      </w:r>
      <w:proofErr w:type="spellEnd"/>
      <w:r w:rsidRPr="0034536A">
        <w:rPr>
          <w:rFonts w:ascii="Times New Roman" w:eastAsia="Times New Roman" w:hAnsi="Times New Roman" w:cs="Times New Roman"/>
          <w:sz w:val="24"/>
          <w:szCs w:val="24"/>
        </w:rPr>
        <w:t xml:space="preserve"> Group sobre el impacto de la COVID-19 en la seguridad alimentaria y nutricional, además de estudios y reportes puntuales citados a lo largo del texto (por ejemplo, sobre Sudáfrica y Brasil). Como aporte conceptual propio, los autores </w:t>
      </w:r>
      <w:r w:rsidRPr="0034536A">
        <w:rPr>
          <w:rFonts w:ascii="Times New Roman" w:eastAsia="Times New Roman" w:hAnsi="Times New Roman" w:cs="Times New Roman"/>
          <w:sz w:val="24"/>
          <w:szCs w:val="24"/>
        </w:rPr>
        <w:lastRenderedPageBreak/>
        <w:t>construyen un esquema (Fig. 1) que representa los determinantes de la pobreza y la inseguridad alimentaria durante la pandemia, organizándolos en niveles individual, familiar y comunitario, y vinculando la pandemia de COVID-19 (crisis económica y desempleo, producción y distribución de alimentos comprometidas, sobrecarga de los servicios de salud, dificultades de acceso regular a agua, saneamiento e higiene, y desastres ambientales) con los determinantes sociales de la salud (acceso a alimentos saludables, acceso a servicios de salud, ubicación y entorno físico, nivel socioeconómico, educación, contexto social y comunitario, y discriminación racial y étnica), las condiciones de vida precarias preexistentes y la satisfacción limitada de necesidades básicas, y las enfermedades crónicas e infecciosas (hipertensión, enfermedad cardiovascular, obesidad, disfunción pulmonar, VIH/sida y tuberculosis), todo ello convergiendo hacia el estado de pobreza e inseguridad alimentaria y, desde allí, hacia el nivel individual de vulnerabilidad frente al virus.</w:t>
      </w:r>
    </w:p>
    <w:p w14:paraId="05CCEC03" w14:textId="77777777" w:rsidR="0034536A" w:rsidRPr="0034536A" w:rsidRDefault="0034536A" w:rsidP="0034536A">
      <w:pPr>
        <w:jc w:val="both"/>
        <w:rPr>
          <w:rFonts w:ascii="Times New Roman" w:eastAsia="Times New Roman" w:hAnsi="Times New Roman" w:cs="Times New Roman"/>
          <w:b/>
          <w:bCs/>
          <w:sz w:val="24"/>
          <w:szCs w:val="24"/>
        </w:rPr>
      </w:pPr>
      <w:r w:rsidRPr="0034536A">
        <w:rPr>
          <w:rFonts w:ascii="Times New Roman" w:eastAsia="Times New Roman" w:hAnsi="Times New Roman" w:cs="Times New Roman"/>
          <w:b/>
          <w:bCs/>
          <w:sz w:val="24"/>
          <w:szCs w:val="24"/>
        </w:rPr>
        <w:t>Resultados</w:t>
      </w:r>
    </w:p>
    <w:p w14:paraId="1476DDDB" w14:textId="703ADD2E" w:rsidR="004114DC" w:rsidRPr="0034536A" w:rsidRDefault="0034536A" w:rsidP="0034536A">
      <w:pPr>
        <w:jc w:val="both"/>
        <w:rPr>
          <w:rFonts w:ascii="Times New Roman" w:eastAsia="Times New Roman" w:hAnsi="Times New Roman" w:cs="Times New Roman"/>
          <w:b/>
          <w:bCs/>
          <w:sz w:val="24"/>
          <w:szCs w:val="24"/>
        </w:rPr>
      </w:pPr>
      <w:r w:rsidRPr="0034536A">
        <w:rPr>
          <w:rFonts w:ascii="Times New Roman" w:eastAsia="Times New Roman" w:hAnsi="Times New Roman" w:cs="Times New Roman"/>
          <w:sz w:val="24"/>
          <w:szCs w:val="24"/>
        </w:rPr>
        <w:t xml:space="preserve">El artículo señala, con base en las fuentes citadas, que como resultado de la pandemia alrededor de 49 millones de personas en el planeta habrían entrado en condiciones de pobreza en 2020, que hacia el final de ese año 820 millones de personas sufrirían hambre a nivel global, y que más de 130 millones de personas en el mundo podrían entrar en la categoría de hambre extrema. Los autores argumentan que la pobreza y la inseguridad alimentaria pueden aumentar de forma dramática en poblaciones socialmente vulnerables debido a la afectación de los ingresos en muchos países, particularmente entre trabajadores informales y personas despedidas de su empleo, y señalan que la disponibilidad de alimentos también se ve comprometida por rupturas en las cadenas de producción y comercialización de la agricultura familiar, el cierre de mercados y restaurantes de bajo costo, y restricciones a la producción y el transporte de productos agrícolas asociadas al distanciamiento social y a las restricciones de movilidad e importación. Se identifican como poblaciones particularmente vulnerables a la inseguridad alimentaria a las personas que viven en asentamientos precarios o en situación de calle, personas privadas de libertad, trabajadoras y trabajadores sexuales, y personas que viven con VIH/sida u otras enfermedades crónicas, señalando que la desnutrición y la inseguridad alimentaria moderada y severa pueden disminuir la capacidad del sistema inmunológico, lo que aumentaría el riesgo de complicaciones graves o mortalidad ante la infección por COVID-19, y que estos grupos pueden presentar deficiencias nutricionales crónicas como anemia y déficits de vitaminas A y D y minerales antioxidantes (hierro, zinc, selenio). El texto destaca además que el agravamiento de la pobreza y la inseguridad alimentaria durante la pandemia puede intensificarse según los determinantes sociales de la salud preexistentes y las repercusiones de las políticas sociales, particularmente en poblaciones indígenas, </w:t>
      </w:r>
      <w:proofErr w:type="spellStart"/>
      <w:r w:rsidRPr="0034536A">
        <w:rPr>
          <w:rFonts w:ascii="Times New Roman" w:eastAsia="Times New Roman" w:hAnsi="Times New Roman" w:cs="Times New Roman"/>
          <w:sz w:val="24"/>
          <w:szCs w:val="24"/>
        </w:rPr>
        <w:t>quilombolas</w:t>
      </w:r>
      <w:proofErr w:type="spellEnd"/>
      <w:r w:rsidRPr="0034536A">
        <w:rPr>
          <w:rFonts w:ascii="Times New Roman" w:eastAsia="Times New Roman" w:hAnsi="Times New Roman" w:cs="Times New Roman"/>
          <w:sz w:val="24"/>
          <w:szCs w:val="24"/>
        </w:rPr>
        <w:t xml:space="preserve">, negras y LGBTQI+, y menciona explícitamente que países con alta mortalidad por COVID-19, como Brasil, han mostrado escasa participación o ausencia del Estado en la formulación de políticas de prevención y control de la enfermedad, intensificando la carga de la pandemia sobre poblaciones en contexto de pobreza e inseguridad alimentaria y nutricional. Como parte de la discusión sobre estrategias, se mencionan intervenciones observadas en distintos países, como incentivos para la producción y distribución de alimentos a grupos vulnerables, financiamiento y donaciones a </w:t>
      </w:r>
      <w:r w:rsidRPr="0034536A">
        <w:rPr>
          <w:rFonts w:ascii="Times New Roman" w:eastAsia="Times New Roman" w:hAnsi="Times New Roman" w:cs="Times New Roman"/>
          <w:sz w:val="24"/>
          <w:szCs w:val="24"/>
        </w:rPr>
        <w:lastRenderedPageBreak/>
        <w:t>cooperativas de agricultores y pequeñas y medianas empresas, políticas de garantía de acceso a alimentos y transferencias financieras a poblaciones en contextos de vulnerabilidad, adaptación de programas de alimentación escolar mediante distribución de kits de alimentos y comidas, monitoreo de precios y existencias de alimentos en los principales centros urbanos de consumo afectados por la COVID-19, y donación de equipos de protección personal y desinfectantes a equipos de cocinas comunitarias y restaurantes distribuidores de alimentos.</w:t>
      </w:r>
    </w:p>
    <w:p w14:paraId="4DDC0D75" w14:textId="77777777" w:rsidR="00762B4E" w:rsidRDefault="004114DC" w:rsidP="00762B4E">
      <w:pPr>
        <w:pStyle w:val="Prrafodelista"/>
        <w:numPr>
          <w:ilvl w:val="0"/>
          <w:numId w:val="3"/>
        </w:numPr>
        <w:jc w:val="both"/>
        <w:rPr>
          <w:rFonts w:ascii="Times New Roman" w:eastAsia="Times New Roman" w:hAnsi="Times New Roman" w:cs="Times New Roman"/>
          <w:b/>
          <w:bCs/>
          <w:sz w:val="24"/>
          <w:szCs w:val="24"/>
        </w:rPr>
      </w:pPr>
      <w:r w:rsidRPr="008D646B">
        <w:rPr>
          <w:rFonts w:ascii="Times New Roman" w:eastAsia="Times New Roman" w:hAnsi="Times New Roman" w:cs="Times New Roman"/>
          <w:b/>
          <w:bCs/>
          <w:sz w:val="24"/>
          <w:szCs w:val="24"/>
        </w:rPr>
        <w:t>Cattaneo et al.</w:t>
      </w:r>
      <w:r w:rsidR="00C5012C">
        <w:rPr>
          <w:rFonts w:ascii="Times New Roman" w:eastAsia="Times New Roman" w:hAnsi="Times New Roman" w:cs="Times New Roman"/>
          <w:b/>
          <w:bCs/>
          <w:sz w:val="24"/>
          <w:szCs w:val="24"/>
        </w:rPr>
        <w:t>,</w:t>
      </w:r>
      <w:r w:rsidRPr="008D646B">
        <w:rPr>
          <w:rFonts w:ascii="Times New Roman" w:eastAsia="Times New Roman" w:hAnsi="Times New Roman" w:cs="Times New Roman"/>
          <w:b/>
          <w:bCs/>
          <w:sz w:val="24"/>
          <w:szCs w:val="24"/>
        </w:rPr>
        <w:t xml:space="preserve"> (2023)</w:t>
      </w:r>
    </w:p>
    <w:p w14:paraId="5B8737E7" w14:textId="5C3DE737" w:rsidR="00762B4E" w:rsidRPr="00762B4E" w:rsidRDefault="00762B4E" w:rsidP="00762B4E">
      <w:pPr>
        <w:jc w:val="both"/>
        <w:rPr>
          <w:rFonts w:ascii="Times New Roman" w:eastAsia="Times New Roman" w:hAnsi="Times New Roman" w:cs="Times New Roman"/>
          <w:b/>
          <w:bCs/>
          <w:sz w:val="24"/>
          <w:szCs w:val="24"/>
        </w:rPr>
      </w:pPr>
      <w:r w:rsidRPr="00762B4E">
        <w:rPr>
          <w:rFonts w:ascii="Times New Roman" w:eastAsia="Times New Roman" w:hAnsi="Times New Roman" w:cs="Times New Roman"/>
          <w:b/>
          <w:bCs/>
          <w:sz w:val="24"/>
          <w:szCs w:val="24"/>
        </w:rPr>
        <w:t>Objetivo</w:t>
      </w:r>
    </w:p>
    <w:p w14:paraId="6D7874ED" w14:textId="77777777" w:rsidR="00762B4E" w:rsidRPr="00762B4E" w:rsidRDefault="00762B4E" w:rsidP="00762B4E">
      <w:pPr>
        <w:jc w:val="both"/>
        <w:rPr>
          <w:rFonts w:ascii="Times New Roman" w:eastAsia="Times New Roman" w:hAnsi="Times New Roman" w:cs="Times New Roman"/>
          <w:sz w:val="24"/>
          <w:szCs w:val="24"/>
        </w:rPr>
      </w:pPr>
      <w:r w:rsidRPr="00762B4E">
        <w:rPr>
          <w:rFonts w:ascii="Times New Roman" w:eastAsia="Times New Roman" w:hAnsi="Times New Roman" w:cs="Times New Roman"/>
          <w:sz w:val="24"/>
          <w:szCs w:val="24"/>
        </w:rPr>
        <w:t>Examinar, para 136 países, la capacidad de las poblaciones para acceder a una dieta suficiente en energía y a una dieta saludable ante la ocurrencia de choques económicos que reduzcan el ingreso real, calculando el porcentaje de la población de cada país en riesgo de perder el acceso a dichas dietas frente a reducciones hipotéticas del ingreso real de un décimo, un quinto o un tercio, y descomponiendo los efectos de la pobreza, la desigualdad de ingresos y el costo de las dietas, en términos de su significancia estadística y magnitud relativa, sobre la proporción de población que no puede costear, o que está en riesgo de no poder costear, una dieta suficiente en energía y una dieta saludable.</w:t>
      </w:r>
    </w:p>
    <w:p w14:paraId="412AAA66" w14:textId="77777777" w:rsidR="00762B4E" w:rsidRPr="00762B4E" w:rsidRDefault="00762B4E" w:rsidP="00762B4E">
      <w:pPr>
        <w:jc w:val="both"/>
        <w:rPr>
          <w:rFonts w:ascii="Times New Roman" w:eastAsia="Times New Roman" w:hAnsi="Times New Roman" w:cs="Times New Roman"/>
          <w:b/>
          <w:bCs/>
          <w:sz w:val="24"/>
          <w:szCs w:val="24"/>
        </w:rPr>
      </w:pPr>
      <w:r w:rsidRPr="00762B4E">
        <w:rPr>
          <w:rFonts w:ascii="Times New Roman" w:eastAsia="Times New Roman" w:hAnsi="Times New Roman" w:cs="Times New Roman"/>
          <w:b/>
          <w:bCs/>
          <w:sz w:val="24"/>
          <w:szCs w:val="24"/>
        </w:rPr>
        <w:t>Metodología</w:t>
      </w:r>
    </w:p>
    <w:p w14:paraId="1CD7E01A" w14:textId="77777777" w:rsidR="00762B4E" w:rsidRPr="00762B4E" w:rsidRDefault="00762B4E" w:rsidP="00762B4E">
      <w:pPr>
        <w:jc w:val="both"/>
        <w:rPr>
          <w:rFonts w:ascii="Times New Roman" w:eastAsia="Times New Roman" w:hAnsi="Times New Roman" w:cs="Times New Roman"/>
          <w:sz w:val="24"/>
          <w:szCs w:val="24"/>
        </w:rPr>
      </w:pPr>
      <w:r w:rsidRPr="00762B4E">
        <w:rPr>
          <w:rFonts w:ascii="Times New Roman" w:eastAsia="Times New Roman" w:hAnsi="Times New Roman" w:cs="Times New Roman"/>
          <w:sz w:val="24"/>
          <w:szCs w:val="24"/>
        </w:rPr>
        <w:t xml:space="preserve">El estudio se basa en datos prepandemia de 2019 sobre costos de dietas, tomados de FAO et al. (2021), y en datos de distribución del ingreso de 143 países obtenidos de la Plataforma de Pobreza y Desigualdad del Banco Mundial (World Bank, 2022b); el análisis final se restringe a 136 países tras excluir siete casos (Argentina, Comoras, El Salvador, Liberia, Palestina, Togo y Zimbabue) por problemas metodológicos detectados con posterioridad a la publicación de la fuente de costos. La dieta suficiente en energía se define como aquella en la que el 100% del requerimiento calórico proviene de almidones, obtenidos mediante el consumo del cereal más barato disponible en el mercado local, y su función en el marco del estudio es representar un piso de privación extrema en el acceso a alimentos nutritivos; su costo se calculó siguiendo la metodología descrita en el Anexo 3 de FAO et al. (2020), la cual se mantuvo sin actualizar respecto a versiones posteriores para preservar la consistencia y comparabilidad con la dieta saludable dentro del mismo estudio. La dieta saludable, en cambio, incorpora una selección balanceada, diversa y apropiada de alimentos nutritivos que protege contra todas las formas de malnutrición, y su costo se calculó con la metodología actualizada, publicada posteriormente en FAOSTAT bajo el indicador Cost and </w:t>
      </w:r>
      <w:proofErr w:type="spellStart"/>
      <w:r w:rsidRPr="00762B4E">
        <w:rPr>
          <w:rFonts w:ascii="Times New Roman" w:eastAsia="Times New Roman" w:hAnsi="Times New Roman" w:cs="Times New Roman"/>
          <w:sz w:val="24"/>
          <w:szCs w:val="24"/>
        </w:rPr>
        <w:t>Affordability</w:t>
      </w:r>
      <w:proofErr w:type="spellEnd"/>
      <w:r w:rsidRPr="00762B4E">
        <w:rPr>
          <w:rFonts w:ascii="Times New Roman" w:eastAsia="Times New Roman" w:hAnsi="Times New Roman" w:cs="Times New Roman"/>
          <w:sz w:val="24"/>
          <w:szCs w:val="24"/>
        </w:rPr>
        <w:t xml:space="preserve"> </w:t>
      </w:r>
      <w:proofErr w:type="spellStart"/>
      <w:r w:rsidRPr="00762B4E">
        <w:rPr>
          <w:rFonts w:ascii="Times New Roman" w:eastAsia="Times New Roman" w:hAnsi="Times New Roman" w:cs="Times New Roman"/>
          <w:sz w:val="24"/>
          <w:szCs w:val="24"/>
        </w:rPr>
        <w:t>of</w:t>
      </w:r>
      <w:proofErr w:type="spellEnd"/>
      <w:r w:rsidRPr="00762B4E">
        <w:rPr>
          <w:rFonts w:ascii="Times New Roman" w:eastAsia="Times New Roman" w:hAnsi="Times New Roman" w:cs="Times New Roman"/>
          <w:sz w:val="24"/>
          <w:szCs w:val="24"/>
        </w:rPr>
        <w:t xml:space="preserve"> a </w:t>
      </w:r>
      <w:proofErr w:type="spellStart"/>
      <w:r w:rsidRPr="00762B4E">
        <w:rPr>
          <w:rFonts w:ascii="Times New Roman" w:eastAsia="Times New Roman" w:hAnsi="Times New Roman" w:cs="Times New Roman"/>
          <w:sz w:val="24"/>
          <w:szCs w:val="24"/>
        </w:rPr>
        <w:t>Healthy</w:t>
      </w:r>
      <w:proofErr w:type="spellEnd"/>
      <w:r w:rsidRPr="00762B4E">
        <w:rPr>
          <w:rFonts w:ascii="Times New Roman" w:eastAsia="Times New Roman" w:hAnsi="Times New Roman" w:cs="Times New Roman"/>
          <w:sz w:val="24"/>
          <w:szCs w:val="24"/>
        </w:rPr>
        <w:t xml:space="preserve"> Diet (FAO, 2023); los autores señalan explícitamente que el costo de la dieta saludable es, en promedio, casi cinco veces el de la dieta energética, patrón que se mantiene en todas las regiones y grupos de ingreso de países. Ambos costos de dieta corresponden únicamente al año 2019, año en el que también se anclan los datos de distribución del ingreso utilizados; al tratarse de un ejercicio de corte transversal para un solo año, y no de una comparación entre distintos períodos temporales, el texto no reporta un procedimiento de </w:t>
      </w:r>
      <w:proofErr w:type="spellStart"/>
      <w:r w:rsidRPr="00762B4E">
        <w:rPr>
          <w:rFonts w:ascii="Times New Roman" w:eastAsia="Times New Roman" w:hAnsi="Times New Roman" w:cs="Times New Roman"/>
          <w:sz w:val="24"/>
          <w:szCs w:val="24"/>
        </w:rPr>
        <w:t>deflactación</w:t>
      </w:r>
      <w:proofErr w:type="spellEnd"/>
      <w:r w:rsidRPr="00762B4E">
        <w:rPr>
          <w:rFonts w:ascii="Times New Roman" w:eastAsia="Times New Roman" w:hAnsi="Times New Roman" w:cs="Times New Roman"/>
          <w:sz w:val="24"/>
          <w:szCs w:val="24"/>
        </w:rPr>
        <w:t xml:space="preserve"> entre años para los costos de las dietas, los cuales permanecen fijos en su valor de 2019 durante todo el análisis. Los únicos ajustes por inflación mencionados en el estudio se emplean como justificación externa para la elección de la magnitud de los choques hipotéticos, citando el aumento del índice de precios de los alimentos de la FAO </w:t>
      </w:r>
      <w:r w:rsidRPr="00762B4E">
        <w:rPr>
          <w:rFonts w:ascii="Times New Roman" w:eastAsia="Times New Roman" w:hAnsi="Times New Roman" w:cs="Times New Roman"/>
          <w:sz w:val="24"/>
          <w:szCs w:val="24"/>
        </w:rPr>
        <w:lastRenderedPageBreak/>
        <w:t>(aproximadamente 35% en términos reales entre diciembre de 2019 y julio de 2022) y el aumento del índice de precios al consumidor de alimentos a nivel global reportado por Bai et al. (2022) (25% entre enero de 2019 y junio de 2021), pero estos ajustes no se aplican para recalcular los costos base de las dietas. Para determinar quién puede costear cada dieta, se asume que el 37% del gasto de un hogar debe reservarse para rubros no alimentarios (vivienda, transporte, educación, salud), con base en evidencia de que las personas más pobres en países de bajos ingresos destinan, en promedio, el 63% de su ingreso a alimentos (World Bank, 2020); a partir de esto se define un umbral de asequibilidad igual al costo de la dieta dividido entre 0.63, que representa el nivel de ingreso por debajo del cual una persona no podría costear la dieta ni siquiera priorizando el gasto en alimentos. El porcentaje de personas que no pueden costear una dieta se obtiene comparando este umbral con las distribuciones de ingreso de cada país en 2019, multiplicando después el resultado por la población total de ese año (Naciones Unidas, 2019) para obtener cifras absolutas. Para capturar la vulnerabilidad ante choques se calcula un umbral ajustado, equivalente a (1 + colchón) multiplicado por el costo de la dieta dividido entre 0.63, donde el colchón de ingreso toma tres valores posibles: 11%, 25% y 50%; estos porcentajes son matemáticamente equivalentes a reducciones del ingreso real de un décimo, un quinto y un tercio respectivamente, dado que el colchón necesario para seguir costeando la dieta corresponde al recíproco de la proporción de ingreso que queda tras el choque. Adicionalmente, el estudio utiliza la razón entre el costo de cada dieta y el ingreso medio disponible para alimentos de cada país como indicador explicativo de la asequibilidad relativa: mientras más bajo es este cociente, más barata resulta la dieta en términos relativos y mayor la probabilidad de que la población pueda costearla, salvo que la desigualdad de ingresos lo impida; estos valores se presentan por país en la Tabla S1 del material suplementario y se usan para explicar, por ejemplo, que en Angola, República Democrática del Congo, Madagascar, Nigeria y Sudán, la razón entre el costo de la dieta saludable y el ingreso medio disponible para alimentos es mayor a 1. Finalmente, para identificar los factores determinantes de la vulnerabilidad se estima un modelo de mínimos cuadrados ordinarios (MCO) en el que las variables se transforman logarítmicamente para obtener relaciones lineales interpretables como elasticidades; los predictores considerados son el nivel de ingreso medio per cápita diario de cada país (Banco Mundial, 2022b), el costo de la dieta y el grado de desigualdad en la distribución del ingreso medido mediante el índice de Gini, regresados sobre cuatro variables dependientes que corresponden a los distintos segmentos del espectro de vulnerabilidad, ordenados de mayor a menor vulnerabilidad.</w:t>
      </w:r>
    </w:p>
    <w:p w14:paraId="20BCFF24" w14:textId="77777777" w:rsidR="00762B4E" w:rsidRPr="00762B4E" w:rsidRDefault="00762B4E" w:rsidP="00762B4E">
      <w:pPr>
        <w:jc w:val="both"/>
        <w:rPr>
          <w:rFonts w:ascii="Times New Roman" w:eastAsia="Times New Roman" w:hAnsi="Times New Roman" w:cs="Times New Roman"/>
          <w:b/>
          <w:bCs/>
          <w:sz w:val="24"/>
          <w:szCs w:val="24"/>
        </w:rPr>
      </w:pPr>
      <w:r w:rsidRPr="00762B4E">
        <w:rPr>
          <w:rFonts w:ascii="Times New Roman" w:eastAsia="Times New Roman" w:hAnsi="Times New Roman" w:cs="Times New Roman"/>
          <w:b/>
          <w:bCs/>
          <w:sz w:val="24"/>
          <w:szCs w:val="24"/>
        </w:rPr>
        <w:t>Resultados</w:t>
      </w:r>
    </w:p>
    <w:p w14:paraId="0D94DCAD" w14:textId="77777777" w:rsidR="00762B4E" w:rsidRPr="00762B4E" w:rsidRDefault="00762B4E" w:rsidP="00762B4E">
      <w:pPr>
        <w:jc w:val="both"/>
        <w:rPr>
          <w:rFonts w:ascii="Times New Roman" w:eastAsia="Times New Roman" w:hAnsi="Times New Roman" w:cs="Times New Roman"/>
          <w:sz w:val="24"/>
          <w:szCs w:val="24"/>
        </w:rPr>
      </w:pPr>
      <w:r w:rsidRPr="00762B4E">
        <w:rPr>
          <w:rFonts w:ascii="Times New Roman" w:eastAsia="Times New Roman" w:hAnsi="Times New Roman" w:cs="Times New Roman"/>
          <w:sz w:val="24"/>
          <w:szCs w:val="24"/>
        </w:rPr>
        <w:t xml:space="preserve">A nivel global, además de los 152 millones de personas que no podían costear una dieta suficiente en energía en 2019, hasta 260 millones adicionales quedarían en riesgo de perder ese acceso si el ingreso real cayera hasta en un tercio, concentrándose esta vulnerabilidad principalmente en países de ingreso bajo, donde el 8% ya no puede costear la dieta energética y un 12% adicional queda en riesgo, y en países de ingreso medio bajo, con un 3% que ya no puede costearla más un 6% en riesgo. Para la dieta saludable, a los 3.000 millones de personas que ya no podían costearla antes de la pandemia se suman hasta 968 millones adicionales en </w:t>
      </w:r>
      <w:r w:rsidRPr="00762B4E">
        <w:rPr>
          <w:rFonts w:ascii="Times New Roman" w:eastAsia="Times New Roman" w:hAnsi="Times New Roman" w:cs="Times New Roman"/>
          <w:sz w:val="24"/>
          <w:szCs w:val="24"/>
        </w:rPr>
        <w:lastRenderedPageBreak/>
        <w:t xml:space="preserve">riesgo, ubicados casi en su totalidad en países de ingreso medio; solo el 1% de la población de países de ingreso alto está en riesgo de no costear la dieta saludable, mientras que en países de ingreso medio alto esa cifra llega a 18% adicional sobre un 22% que ya no puede costearla, y en países de ingreso medio bajo alcanza 16% adicional sobre un 70% que ya no puede costearla. Por regiones, en África subsahariana cerca de una cuarta parte de la población, más de 250 millones de personas, no puede costear la dieta energética o está en riesgo de perder ese acceso. En Asia meridional, aunque el 99.6% puede costear la dieta energética, más de dos tercios no podían costear la dieta saludable en 2019, y de quienes sí podían, más del 50% (300 millones) están en riesgo. En Europa, América del Norte y Oceanía, más del 95% de la población puede costear la dieta saludable incluso ante un choque que reduzca el ingreso real en un tercio. El análisis por país muestra que el acceso a la dieta energética tiende a ser más bajo en países con ingreso nacional bruto (INB) per cápita muy bajo, aunque con importantes excepciones que evidencian el papel de la desigualdad y el costo relativo de la dieta: Burundi y República Centroafricana, con INB menor a 1.000, tienen cerca de un tercio de su población sin acceso a la dieta energética independientemente de choques, mientras que la República Democrática del Congo, con un nivel de INB similar, presenta una cifra bastante menor (15%); de manera similar, países con INB considerablemente más alto, como Angola, Nigeria y Sudáfrica, presentan proporciones mayores de población sin acceso que las esperadas por su nivel de ingreso. El caso de Madagascar y Níger, con niveles de INB similares, muestra que el nivel de </w:t>
      </w:r>
      <w:proofErr w:type="spellStart"/>
      <w:r w:rsidRPr="00762B4E">
        <w:rPr>
          <w:rFonts w:ascii="Times New Roman" w:eastAsia="Times New Roman" w:hAnsi="Times New Roman" w:cs="Times New Roman"/>
          <w:sz w:val="24"/>
          <w:szCs w:val="24"/>
        </w:rPr>
        <w:t>inasequibilidad</w:t>
      </w:r>
      <w:proofErr w:type="spellEnd"/>
      <w:r w:rsidRPr="00762B4E">
        <w:rPr>
          <w:rFonts w:ascii="Times New Roman" w:eastAsia="Times New Roman" w:hAnsi="Times New Roman" w:cs="Times New Roman"/>
          <w:sz w:val="24"/>
          <w:szCs w:val="24"/>
        </w:rPr>
        <w:t xml:space="preserve"> tras un choque que requiere un colchón del 50% va de 4% en Níger a 48% en Madagascar, variación explicada principalmente porque el costo de la dieta energética respecto al ingreso medio es dos veces mayor en Madagascar, y en parte por una mayor desigualdad de ingresos. El caso de Níger y Mozambique ejemplifica también el rol de la desigualdad: ambos países tienen costos relativos de dieta e ingresos similares, pero Mozambique, con un índice de Gini de 54 frente a 37 en Níger, tiene 8% de su población sin acceso a la dieta energética y 12% adicional en riesgo, cifras significativamente mayores que en Níger. El modelo de regresión confirma que, para la población más vulnerable, aquella que no puede costear la dieta energética incluso sin choque, la desigualdad de ingresos tiene la asociación más fuerte, seguida del ingreso medio con una relación inversa significativa, mientras que el costo de la dieta no resulta estadísticamente significativo, lo cual es consistente con que esta dieta es relativamente barata incluso en países de bajos ingresos. Para quienes están en riesgo de perder acceso a la dieta energética ante un choque, la desigualdad sigue dominando pero el costo de la dieta se vuelve estadísticamente significativo, dado que un choque que reduce el ingreso real en un tercio amplifica las diferencias de costo relativo entre países. Para quienes no pueden costear la dieta saludable pero sí la energética, los tres predictores, desigualdad, ingreso medio y costo de la dieta, resultan estadísticamente significativos y de magnitud comparable. Finalmente, para quienes están en riesgo de perder acceso a la dieta saludable ante un choque, el coeficiente de Gini deja de ser estadísticamente significativo, lo que indica que la redistribución del ingreso no sería efectiva para ese grupo específico, siendo más determinante el aumento del ingreso medio y, especialmente, la reducción del costo de la dieta. El análisis de sensibilidad, reportado también para colchones menores de 11% y 25%, confirma que estos resultados se </w:t>
      </w:r>
      <w:r w:rsidRPr="00762B4E">
        <w:rPr>
          <w:rFonts w:ascii="Times New Roman" w:eastAsia="Times New Roman" w:hAnsi="Times New Roman" w:cs="Times New Roman"/>
          <w:sz w:val="24"/>
          <w:szCs w:val="24"/>
        </w:rPr>
        <w:lastRenderedPageBreak/>
        <w:t>mantienen en signo, magnitud y significancia estadística, y estima que, para las personas que luchan por costear la dieta energética, una reducción de un punto porcentual en la desigualdad de ingresos genera un beneficio entre tres y siete veces mayor que un aumento equivalente en el ingreso medio per cápita.</w:t>
      </w:r>
    </w:p>
    <w:p w14:paraId="7F60ACBC" w14:textId="77777777" w:rsidR="00762B4E" w:rsidRPr="00762B4E" w:rsidRDefault="00762B4E" w:rsidP="00762B4E">
      <w:pPr>
        <w:jc w:val="both"/>
        <w:rPr>
          <w:rFonts w:ascii="Times New Roman" w:eastAsia="Times New Roman" w:hAnsi="Times New Roman" w:cs="Times New Roman"/>
          <w:sz w:val="24"/>
          <w:szCs w:val="24"/>
        </w:rPr>
      </w:pPr>
    </w:p>
    <w:sectPr w:rsidR="00762B4E" w:rsidRPr="00762B4E">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1BF9A" w14:textId="77777777" w:rsidR="00F444B7" w:rsidRDefault="00F444B7" w:rsidP="007679A7">
      <w:pPr>
        <w:spacing w:line="240" w:lineRule="auto"/>
      </w:pPr>
      <w:r>
        <w:separator/>
      </w:r>
    </w:p>
  </w:endnote>
  <w:endnote w:type="continuationSeparator" w:id="0">
    <w:p w14:paraId="26164F7E" w14:textId="77777777" w:rsidR="00F444B7" w:rsidRDefault="00F444B7" w:rsidP="007679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6898935"/>
      <w:docPartObj>
        <w:docPartGallery w:val="Page Numbers (Bottom of Page)"/>
        <w:docPartUnique/>
      </w:docPartObj>
    </w:sdtPr>
    <w:sdtEndPr>
      <w:rPr>
        <w:rFonts w:ascii="Times New Roman" w:hAnsi="Times New Roman" w:cs="Times New Roman"/>
      </w:rPr>
    </w:sdtEndPr>
    <w:sdtContent>
      <w:p w14:paraId="74BAF50D" w14:textId="1E63F1CC" w:rsidR="007679A7" w:rsidRPr="007679A7" w:rsidRDefault="007679A7">
        <w:pPr>
          <w:pStyle w:val="Piedepgina"/>
          <w:rPr>
            <w:rFonts w:ascii="Times New Roman" w:hAnsi="Times New Roman" w:cs="Times New Roman"/>
          </w:rPr>
        </w:pPr>
        <w:r w:rsidRPr="007679A7">
          <w:rPr>
            <w:rFonts w:ascii="Times New Roman" w:hAnsi="Times New Roman" w:cs="Times New Roman"/>
          </w:rPr>
          <w:fldChar w:fldCharType="begin"/>
        </w:r>
        <w:r w:rsidRPr="007679A7">
          <w:rPr>
            <w:rFonts w:ascii="Times New Roman" w:hAnsi="Times New Roman" w:cs="Times New Roman"/>
          </w:rPr>
          <w:instrText>PAGE   \* MERGEFORMAT</w:instrText>
        </w:r>
        <w:r w:rsidRPr="007679A7">
          <w:rPr>
            <w:rFonts w:ascii="Times New Roman" w:hAnsi="Times New Roman" w:cs="Times New Roman"/>
          </w:rPr>
          <w:fldChar w:fldCharType="separate"/>
        </w:r>
        <w:r w:rsidRPr="007679A7">
          <w:rPr>
            <w:rFonts w:ascii="Times New Roman" w:hAnsi="Times New Roman" w:cs="Times New Roman"/>
            <w:lang w:val="es-MX"/>
          </w:rPr>
          <w:t>2</w:t>
        </w:r>
        <w:r w:rsidRPr="007679A7">
          <w:rPr>
            <w:rFonts w:ascii="Times New Roman" w:hAnsi="Times New Roman" w:cs="Times New Roman"/>
          </w:rPr>
          <w:fldChar w:fldCharType="end"/>
        </w:r>
      </w:p>
    </w:sdtContent>
  </w:sdt>
  <w:p w14:paraId="4D9760AE" w14:textId="77777777" w:rsidR="007679A7" w:rsidRDefault="007679A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1C2A4" w14:textId="77777777" w:rsidR="00F444B7" w:rsidRDefault="00F444B7" w:rsidP="007679A7">
      <w:pPr>
        <w:spacing w:line="240" w:lineRule="auto"/>
      </w:pPr>
      <w:r>
        <w:separator/>
      </w:r>
    </w:p>
  </w:footnote>
  <w:footnote w:type="continuationSeparator" w:id="0">
    <w:p w14:paraId="59D396EE" w14:textId="77777777" w:rsidR="00F444B7" w:rsidRDefault="00F444B7" w:rsidP="007679A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D2D2D"/>
    <w:multiLevelType w:val="hybridMultilevel"/>
    <w:tmpl w:val="0E4E12AE"/>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7972B72"/>
    <w:multiLevelType w:val="hybridMultilevel"/>
    <w:tmpl w:val="B59E1C1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6B8E016B"/>
    <w:multiLevelType w:val="hybridMultilevel"/>
    <w:tmpl w:val="0E4E12AE"/>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0C743A4"/>
    <w:multiLevelType w:val="hybridMultilevel"/>
    <w:tmpl w:val="F976D2F0"/>
    <w:lvl w:ilvl="0" w:tplc="0266463C">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79714922"/>
    <w:multiLevelType w:val="hybridMultilevel"/>
    <w:tmpl w:val="0E4E12AE"/>
    <w:lvl w:ilvl="0" w:tplc="0A223AF0">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78795030">
    <w:abstractNumId w:val="1"/>
  </w:num>
  <w:num w:numId="2" w16cid:durableId="502361832">
    <w:abstractNumId w:val="3"/>
  </w:num>
  <w:num w:numId="3" w16cid:durableId="2082824204">
    <w:abstractNumId w:val="4"/>
  </w:num>
  <w:num w:numId="4" w16cid:durableId="189535354">
    <w:abstractNumId w:val="2"/>
  </w:num>
  <w:num w:numId="5" w16cid:durableId="1337347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2BD"/>
    <w:rsid w:val="00016884"/>
    <w:rsid w:val="0005233B"/>
    <w:rsid w:val="000646F3"/>
    <w:rsid w:val="000C42EA"/>
    <w:rsid w:val="000D6CD0"/>
    <w:rsid w:val="00137682"/>
    <w:rsid w:val="001430A8"/>
    <w:rsid w:val="00183094"/>
    <w:rsid w:val="001C2A1F"/>
    <w:rsid w:val="001D5AED"/>
    <w:rsid w:val="00200026"/>
    <w:rsid w:val="0020416E"/>
    <w:rsid w:val="002255B9"/>
    <w:rsid w:val="002466AC"/>
    <w:rsid w:val="00261D6D"/>
    <w:rsid w:val="00265E4D"/>
    <w:rsid w:val="0026784E"/>
    <w:rsid w:val="00286A85"/>
    <w:rsid w:val="002B6356"/>
    <w:rsid w:val="002C00E9"/>
    <w:rsid w:val="003064E1"/>
    <w:rsid w:val="00330D71"/>
    <w:rsid w:val="0034536A"/>
    <w:rsid w:val="00373072"/>
    <w:rsid w:val="0039078B"/>
    <w:rsid w:val="003B2013"/>
    <w:rsid w:val="003B75EA"/>
    <w:rsid w:val="003C119C"/>
    <w:rsid w:val="003F0718"/>
    <w:rsid w:val="003F2913"/>
    <w:rsid w:val="003F4EF5"/>
    <w:rsid w:val="004114DC"/>
    <w:rsid w:val="00420250"/>
    <w:rsid w:val="00495315"/>
    <w:rsid w:val="004A095F"/>
    <w:rsid w:val="004B253F"/>
    <w:rsid w:val="004B2BD1"/>
    <w:rsid w:val="004B744D"/>
    <w:rsid w:val="004F0A5A"/>
    <w:rsid w:val="004F7260"/>
    <w:rsid w:val="004F733F"/>
    <w:rsid w:val="00543FFB"/>
    <w:rsid w:val="005B0AD4"/>
    <w:rsid w:val="005B54E9"/>
    <w:rsid w:val="005C3AF0"/>
    <w:rsid w:val="005D7AF0"/>
    <w:rsid w:val="005E4BAB"/>
    <w:rsid w:val="006062D3"/>
    <w:rsid w:val="00615DAC"/>
    <w:rsid w:val="006239B2"/>
    <w:rsid w:val="00671DA3"/>
    <w:rsid w:val="006C024E"/>
    <w:rsid w:val="006C5189"/>
    <w:rsid w:val="006C567A"/>
    <w:rsid w:val="00762B4E"/>
    <w:rsid w:val="007679A7"/>
    <w:rsid w:val="007C15B1"/>
    <w:rsid w:val="007D0740"/>
    <w:rsid w:val="00804564"/>
    <w:rsid w:val="00813814"/>
    <w:rsid w:val="0083184D"/>
    <w:rsid w:val="0083749A"/>
    <w:rsid w:val="00875AD1"/>
    <w:rsid w:val="008772E6"/>
    <w:rsid w:val="00885D4D"/>
    <w:rsid w:val="008B1897"/>
    <w:rsid w:val="008D24D2"/>
    <w:rsid w:val="008D646B"/>
    <w:rsid w:val="00901C19"/>
    <w:rsid w:val="00954F2E"/>
    <w:rsid w:val="00982358"/>
    <w:rsid w:val="00985212"/>
    <w:rsid w:val="00992417"/>
    <w:rsid w:val="009C7056"/>
    <w:rsid w:val="009D7D9F"/>
    <w:rsid w:val="00A1237E"/>
    <w:rsid w:val="00A347FA"/>
    <w:rsid w:val="00A53DFD"/>
    <w:rsid w:val="00A72E3A"/>
    <w:rsid w:val="00A972BD"/>
    <w:rsid w:val="00AC624C"/>
    <w:rsid w:val="00AD40CB"/>
    <w:rsid w:val="00AD5F0E"/>
    <w:rsid w:val="00AE2A70"/>
    <w:rsid w:val="00AE4D41"/>
    <w:rsid w:val="00B8678B"/>
    <w:rsid w:val="00B87DD3"/>
    <w:rsid w:val="00BA2F1A"/>
    <w:rsid w:val="00BE2669"/>
    <w:rsid w:val="00C2068A"/>
    <w:rsid w:val="00C2794A"/>
    <w:rsid w:val="00C32B58"/>
    <w:rsid w:val="00C5012C"/>
    <w:rsid w:val="00CB4805"/>
    <w:rsid w:val="00D7364A"/>
    <w:rsid w:val="00E104C9"/>
    <w:rsid w:val="00E3132D"/>
    <w:rsid w:val="00E53EA3"/>
    <w:rsid w:val="00E6040E"/>
    <w:rsid w:val="00E737AA"/>
    <w:rsid w:val="00E7514D"/>
    <w:rsid w:val="00E9485B"/>
    <w:rsid w:val="00EB082A"/>
    <w:rsid w:val="00EB1D46"/>
    <w:rsid w:val="00EB272E"/>
    <w:rsid w:val="00ED6E56"/>
    <w:rsid w:val="00EF77DB"/>
    <w:rsid w:val="00F0766C"/>
    <w:rsid w:val="00F15A9B"/>
    <w:rsid w:val="00F25686"/>
    <w:rsid w:val="00F41961"/>
    <w:rsid w:val="00F444B7"/>
    <w:rsid w:val="00F57A53"/>
    <w:rsid w:val="00F77B8E"/>
    <w:rsid w:val="00F82171"/>
    <w:rsid w:val="00FB5C2D"/>
    <w:rsid w:val="00FB6D02"/>
    <w:rsid w:val="00FC201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545C0"/>
  <w15:chartTrackingRefBased/>
  <w15:docId w15:val="{848DE7FF-AE29-40C9-BB81-2D3D0D4FF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2BD"/>
    <w:pPr>
      <w:spacing w:after="0" w:line="264" w:lineRule="auto"/>
    </w:pPr>
    <w:rPr>
      <w:rFonts w:ascii="Aptos" w:eastAsia="Aptos" w:hAnsi="Aptos" w:cs="Aptos"/>
      <w:color w:val="000000"/>
      <w:lang w:eastAsia="es-CO"/>
    </w:rPr>
  </w:style>
  <w:style w:type="paragraph" w:styleId="Ttulo1">
    <w:name w:val="heading 1"/>
    <w:basedOn w:val="Normal"/>
    <w:next w:val="Normal"/>
    <w:link w:val="Ttulo1Car"/>
    <w:uiPriority w:val="9"/>
    <w:qFormat/>
    <w:rsid w:val="00A972BD"/>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lang w:eastAsia="en-US"/>
    </w:rPr>
  </w:style>
  <w:style w:type="paragraph" w:styleId="Ttulo2">
    <w:name w:val="heading 2"/>
    <w:basedOn w:val="Normal"/>
    <w:next w:val="Normal"/>
    <w:link w:val="Ttulo2Car"/>
    <w:uiPriority w:val="9"/>
    <w:semiHidden/>
    <w:unhideWhenUsed/>
    <w:qFormat/>
    <w:rsid w:val="00A972BD"/>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lang w:eastAsia="en-US"/>
    </w:rPr>
  </w:style>
  <w:style w:type="paragraph" w:styleId="Ttulo3">
    <w:name w:val="heading 3"/>
    <w:basedOn w:val="Normal"/>
    <w:next w:val="Normal"/>
    <w:link w:val="Ttulo3Car"/>
    <w:uiPriority w:val="9"/>
    <w:unhideWhenUsed/>
    <w:qFormat/>
    <w:rsid w:val="00A972BD"/>
    <w:pPr>
      <w:keepNext/>
      <w:keepLines/>
      <w:spacing w:before="160" w:after="80" w:line="259" w:lineRule="auto"/>
      <w:outlineLvl w:val="2"/>
    </w:pPr>
    <w:rPr>
      <w:rFonts w:asciiTheme="minorHAnsi" w:eastAsiaTheme="majorEastAsia" w:hAnsiTheme="minorHAnsi" w:cstheme="majorBidi"/>
      <w:color w:val="0F4761" w:themeColor="accent1" w:themeShade="BF"/>
      <w:sz w:val="28"/>
      <w:szCs w:val="28"/>
      <w:lang w:eastAsia="en-US"/>
    </w:rPr>
  </w:style>
  <w:style w:type="paragraph" w:styleId="Ttulo4">
    <w:name w:val="heading 4"/>
    <w:basedOn w:val="Normal"/>
    <w:next w:val="Normal"/>
    <w:link w:val="Ttulo4Car"/>
    <w:uiPriority w:val="9"/>
    <w:unhideWhenUsed/>
    <w:qFormat/>
    <w:rsid w:val="00A972BD"/>
    <w:pPr>
      <w:keepNext/>
      <w:keepLines/>
      <w:spacing w:before="80" w:after="40" w:line="259" w:lineRule="auto"/>
      <w:outlineLvl w:val="3"/>
    </w:pPr>
    <w:rPr>
      <w:rFonts w:asciiTheme="minorHAnsi" w:eastAsiaTheme="majorEastAsia" w:hAnsiTheme="minorHAnsi" w:cstheme="majorBidi"/>
      <w:i/>
      <w:iCs/>
      <w:color w:val="0F4761" w:themeColor="accent1" w:themeShade="BF"/>
      <w:lang w:eastAsia="en-US"/>
    </w:rPr>
  </w:style>
  <w:style w:type="paragraph" w:styleId="Ttulo5">
    <w:name w:val="heading 5"/>
    <w:basedOn w:val="Normal"/>
    <w:next w:val="Normal"/>
    <w:link w:val="Ttulo5Car"/>
    <w:uiPriority w:val="9"/>
    <w:semiHidden/>
    <w:unhideWhenUsed/>
    <w:qFormat/>
    <w:rsid w:val="00A972BD"/>
    <w:pPr>
      <w:keepNext/>
      <w:keepLines/>
      <w:spacing w:before="80" w:after="40" w:line="259" w:lineRule="auto"/>
      <w:outlineLvl w:val="4"/>
    </w:pPr>
    <w:rPr>
      <w:rFonts w:asciiTheme="minorHAnsi" w:eastAsiaTheme="majorEastAsia" w:hAnsiTheme="minorHAnsi" w:cstheme="majorBidi"/>
      <w:color w:val="0F4761" w:themeColor="accent1" w:themeShade="BF"/>
      <w:lang w:eastAsia="en-US"/>
    </w:rPr>
  </w:style>
  <w:style w:type="paragraph" w:styleId="Ttulo6">
    <w:name w:val="heading 6"/>
    <w:basedOn w:val="Normal"/>
    <w:next w:val="Normal"/>
    <w:link w:val="Ttulo6Car"/>
    <w:uiPriority w:val="9"/>
    <w:semiHidden/>
    <w:unhideWhenUsed/>
    <w:qFormat/>
    <w:rsid w:val="00A972BD"/>
    <w:pPr>
      <w:keepNext/>
      <w:keepLines/>
      <w:spacing w:before="40" w:line="259" w:lineRule="auto"/>
      <w:outlineLvl w:val="5"/>
    </w:pPr>
    <w:rPr>
      <w:rFonts w:asciiTheme="minorHAnsi" w:eastAsiaTheme="majorEastAsia" w:hAnsiTheme="minorHAnsi" w:cstheme="majorBidi"/>
      <w:i/>
      <w:iCs/>
      <w:color w:val="595959" w:themeColor="text1" w:themeTint="A6"/>
      <w:lang w:eastAsia="en-US"/>
    </w:rPr>
  </w:style>
  <w:style w:type="paragraph" w:styleId="Ttulo7">
    <w:name w:val="heading 7"/>
    <w:basedOn w:val="Normal"/>
    <w:next w:val="Normal"/>
    <w:link w:val="Ttulo7Car"/>
    <w:uiPriority w:val="9"/>
    <w:semiHidden/>
    <w:unhideWhenUsed/>
    <w:qFormat/>
    <w:rsid w:val="00A972BD"/>
    <w:pPr>
      <w:keepNext/>
      <w:keepLines/>
      <w:spacing w:before="40" w:line="259" w:lineRule="auto"/>
      <w:outlineLvl w:val="6"/>
    </w:pPr>
    <w:rPr>
      <w:rFonts w:asciiTheme="minorHAnsi" w:eastAsiaTheme="majorEastAsia" w:hAnsiTheme="minorHAnsi" w:cstheme="majorBidi"/>
      <w:color w:val="595959" w:themeColor="text1" w:themeTint="A6"/>
      <w:lang w:eastAsia="en-US"/>
    </w:rPr>
  </w:style>
  <w:style w:type="paragraph" w:styleId="Ttulo8">
    <w:name w:val="heading 8"/>
    <w:basedOn w:val="Normal"/>
    <w:next w:val="Normal"/>
    <w:link w:val="Ttulo8Car"/>
    <w:uiPriority w:val="9"/>
    <w:semiHidden/>
    <w:unhideWhenUsed/>
    <w:qFormat/>
    <w:rsid w:val="00A972BD"/>
    <w:pPr>
      <w:keepNext/>
      <w:keepLines/>
      <w:spacing w:line="259" w:lineRule="auto"/>
      <w:outlineLvl w:val="7"/>
    </w:pPr>
    <w:rPr>
      <w:rFonts w:asciiTheme="minorHAnsi" w:eastAsiaTheme="majorEastAsia" w:hAnsiTheme="minorHAnsi" w:cstheme="majorBidi"/>
      <w:i/>
      <w:iCs/>
      <w:color w:val="272727" w:themeColor="text1" w:themeTint="D8"/>
      <w:lang w:eastAsia="en-US"/>
    </w:rPr>
  </w:style>
  <w:style w:type="paragraph" w:styleId="Ttulo9">
    <w:name w:val="heading 9"/>
    <w:basedOn w:val="Normal"/>
    <w:next w:val="Normal"/>
    <w:link w:val="Ttulo9Car"/>
    <w:uiPriority w:val="9"/>
    <w:semiHidden/>
    <w:unhideWhenUsed/>
    <w:qFormat/>
    <w:rsid w:val="00A972BD"/>
    <w:pPr>
      <w:keepNext/>
      <w:keepLines/>
      <w:spacing w:line="259" w:lineRule="auto"/>
      <w:outlineLvl w:val="8"/>
    </w:pPr>
    <w:rPr>
      <w:rFonts w:asciiTheme="minorHAnsi" w:eastAsiaTheme="majorEastAsia" w:hAnsiTheme="minorHAnsi" w:cstheme="majorBidi"/>
      <w:color w:val="272727" w:themeColor="text1" w:themeTint="D8"/>
      <w:lang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72B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972B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972B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A972B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72B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72B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72B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72B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72BD"/>
    <w:rPr>
      <w:rFonts w:eastAsiaTheme="majorEastAsia" w:cstheme="majorBidi"/>
      <w:color w:val="272727" w:themeColor="text1" w:themeTint="D8"/>
    </w:rPr>
  </w:style>
  <w:style w:type="paragraph" w:styleId="Ttulo">
    <w:name w:val="Title"/>
    <w:basedOn w:val="Normal"/>
    <w:next w:val="Normal"/>
    <w:link w:val="TtuloCar"/>
    <w:uiPriority w:val="10"/>
    <w:qFormat/>
    <w:rsid w:val="00A972BD"/>
    <w:pPr>
      <w:spacing w:after="80" w:line="240" w:lineRule="auto"/>
      <w:contextualSpacing/>
    </w:pPr>
    <w:rPr>
      <w:rFonts w:asciiTheme="majorHAnsi" w:eastAsiaTheme="majorEastAsia" w:hAnsiTheme="majorHAnsi" w:cstheme="majorBidi"/>
      <w:color w:val="auto"/>
      <w:spacing w:val="-10"/>
      <w:kern w:val="28"/>
      <w:sz w:val="56"/>
      <w:szCs w:val="56"/>
      <w:lang w:eastAsia="en-US"/>
    </w:rPr>
  </w:style>
  <w:style w:type="character" w:customStyle="1" w:styleId="TtuloCar">
    <w:name w:val="Título Car"/>
    <w:basedOn w:val="Fuentedeprrafopredeter"/>
    <w:link w:val="Ttulo"/>
    <w:uiPriority w:val="10"/>
    <w:rsid w:val="00A972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72BD"/>
    <w:pPr>
      <w:numPr>
        <w:ilvl w:val="1"/>
      </w:numPr>
      <w:spacing w:after="160" w:line="259" w:lineRule="auto"/>
    </w:pPr>
    <w:rPr>
      <w:rFonts w:asciiTheme="minorHAnsi" w:eastAsiaTheme="majorEastAsia" w:hAnsiTheme="minorHAnsi" w:cstheme="majorBidi"/>
      <w:color w:val="595959" w:themeColor="text1" w:themeTint="A6"/>
      <w:spacing w:val="15"/>
      <w:sz w:val="28"/>
      <w:szCs w:val="28"/>
      <w:lang w:eastAsia="en-US"/>
    </w:rPr>
  </w:style>
  <w:style w:type="character" w:customStyle="1" w:styleId="SubttuloCar">
    <w:name w:val="Subtítulo Car"/>
    <w:basedOn w:val="Fuentedeprrafopredeter"/>
    <w:link w:val="Subttulo"/>
    <w:uiPriority w:val="11"/>
    <w:rsid w:val="00A972B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72BD"/>
    <w:pPr>
      <w:spacing w:before="160" w:after="160" w:line="259" w:lineRule="auto"/>
      <w:jc w:val="center"/>
    </w:pPr>
    <w:rPr>
      <w:rFonts w:asciiTheme="minorHAnsi" w:eastAsiaTheme="minorHAnsi" w:hAnsiTheme="minorHAnsi" w:cstheme="minorBidi"/>
      <w:i/>
      <w:iCs/>
      <w:color w:val="404040" w:themeColor="text1" w:themeTint="BF"/>
      <w:lang w:eastAsia="en-US"/>
    </w:rPr>
  </w:style>
  <w:style w:type="character" w:customStyle="1" w:styleId="CitaCar">
    <w:name w:val="Cita Car"/>
    <w:basedOn w:val="Fuentedeprrafopredeter"/>
    <w:link w:val="Cita"/>
    <w:uiPriority w:val="29"/>
    <w:rsid w:val="00A972BD"/>
    <w:rPr>
      <w:i/>
      <w:iCs/>
      <w:color w:val="404040" w:themeColor="text1" w:themeTint="BF"/>
    </w:rPr>
  </w:style>
  <w:style w:type="paragraph" w:styleId="Prrafodelista">
    <w:name w:val="List Paragraph"/>
    <w:basedOn w:val="Normal"/>
    <w:uiPriority w:val="34"/>
    <w:qFormat/>
    <w:rsid w:val="00A972BD"/>
    <w:pPr>
      <w:spacing w:after="160" w:line="259" w:lineRule="auto"/>
      <w:ind w:left="720"/>
      <w:contextualSpacing/>
    </w:pPr>
    <w:rPr>
      <w:rFonts w:asciiTheme="minorHAnsi" w:eastAsiaTheme="minorHAnsi" w:hAnsiTheme="minorHAnsi" w:cstheme="minorBidi"/>
      <w:color w:val="auto"/>
      <w:lang w:eastAsia="en-US"/>
    </w:rPr>
  </w:style>
  <w:style w:type="character" w:styleId="nfasisintenso">
    <w:name w:val="Intense Emphasis"/>
    <w:basedOn w:val="Fuentedeprrafopredeter"/>
    <w:uiPriority w:val="21"/>
    <w:qFormat/>
    <w:rsid w:val="00A972BD"/>
    <w:rPr>
      <w:i/>
      <w:iCs/>
      <w:color w:val="0F4761" w:themeColor="accent1" w:themeShade="BF"/>
    </w:rPr>
  </w:style>
  <w:style w:type="paragraph" w:styleId="Citadestacada">
    <w:name w:val="Intense Quote"/>
    <w:basedOn w:val="Normal"/>
    <w:next w:val="Normal"/>
    <w:link w:val="CitadestacadaCar"/>
    <w:uiPriority w:val="30"/>
    <w:qFormat/>
    <w:rsid w:val="00A972BD"/>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lang w:eastAsia="en-US"/>
    </w:rPr>
  </w:style>
  <w:style w:type="character" w:customStyle="1" w:styleId="CitadestacadaCar">
    <w:name w:val="Cita destacada Car"/>
    <w:basedOn w:val="Fuentedeprrafopredeter"/>
    <w:link w:val="Citadestacada"/>
    <w:uiPriority w:val="30"/>
    <w:rsid w:val="00A972BD"/>
    <w:rPr>
      <w:i/>
      <w:iCs/>
      <w:color w:val="0F4761" w:themeColor="accent1" w:themeShade="BF"/>
    </w:rPr>
  </w:style>
  <w:style w:type="character" w:styleId="Referenciaintensa">
    <w:name w:val="Intense Reference"/>
    <w:basedOn w:val="Fuentedeprrafopredeter"/>
    <w:uiPriority w:val="32"/>
    <w:qFormat/>
    <w:rsid w:val="00A972BD"/>
    <w:rPr>
      <w:b/>
      <w:bCs/>
      <w:smallCaps/>
      <w:color w:val="0F4761" w:themeColor="accent1" w:themeShade="BF"/>
      <w:spacing w:val="5"/>
    </w:rPr>
  </w:style>
  <w:style w:type="paragraph" w:customStyle="1" w:styleId="DocTitle">
    <w:name w:val="Doc Title"/>
    <w:basedOn w:val="Normal"/>
    <w:next w:val="Normal"/>
    <w:rsid w:val="007679A7"/>
  </w:style>
  <w:style w:type="paragraph" w:styleId="Encabezado">
    <w:name w:val="header"/>
    <w:basedOn w:val="Normal"/>
    <w:link w:val="EncabezadoCar"/>
    <w:uiPriority w:val="99"/>
    <w:unhideWhenUsed/>
    <w:rsid w:val="007679A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679A7"/>
    <w:rPr>
      <w:rFonts w:ascii="Aptos" w:eastAsia="Aptos" w:hAnsi="Aptos" w:cs="Aptos"/>
      <w:color w:val="000000"/>
      <w:lang w:eastAsia="es-CO"/>
    </w:rPr>
  </w:style>
  <w:style w:type="paragraph" w:styleId="Piedepgina">
    <w:name w:val="footer"/>
    <w:basedOn w:val="Normal"/>
    <w:link w:val="PiedepginaCar"/>
    <w:uiPriority w:val="99"/>
    <w:unhideWhenUsed/>
    <w:rsid w:val="007679A7"/>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679A7"/>
    <w:rPr>
      <w:rFonts w:ascii="Aptos" w:eastAsia="Aptos" w:hAnsi="Aptos" w:cs="Aptos"/>
      <w:color w:val="000000"/>
      <w:lang w:eastAsia="es-CO"/>
    </w:rPr>
  </w:style>
  <w:style w:type="paragraph" w:customStyle="1" w:styleId="font-claude-response-body">
    <w:name w:val="font-claude-response-body"/>
    <w:basedOn w:val="Normal"/>
    <w:rsid w:val="00495315"/>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Fuerte">
    <w:name w:val="Strong"/>
    <w:basedOn w:val="Fuentedeprrafopredeter"/>
    <w:uiPriority w:val="22"/>
    <w:qFormat/>
    <w:rsid w:val="004953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9E5CF6-FD32-443E-84EC-A0F5F3FB5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494</TotalTime>
  <Pages>59</Pages>
  <Words>31672</Words>
  <Characters>174202</Characters>
  <Application>Microsoft Office Word</Application>
  <DocSecurity>0</DocSecurity>
  <Lines>1451</Lines>
  <Paragraphs>410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Valdes Cardenas</dc:creator>
  <cp:keywords/>
  <dc:description/>
  <cp:lastModifiedBy>Daniela Valdés Cárdenas</cp:lastModifiedBy>
  <cp:revision>68</cp:revision>
  <dcterms:created xsi:type="dcterms:W3CDTF">2026-07-16T21:56:00Z</dcterms:created>
  <dcterms:modified xsi:type="dcterms:W3CDTF">2026-07-17T23:29:00Z</dcterms:modified>
</cp:coreProperties>
</file>