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4720D" w14:textId="77777777" w:rsidR="006B4345" w:rsidRPr="009332F3" w:rsidRDefault="006B4345" w:rsidP="006B4345">
      <w:pPr>
        <w:pStyle w:val="DocTitle"/>
        <w:jc w:val="center"/>
        <w:rPr>
          <w:rFonts w:ascii="Times New Roman" w:eastAsia="Times New Roman" w:hAnsi="Times New Roman" w:cs="Times New Roman"/>
          <w:b/>
          <w:bCs/>
          <w:sz w:val="32"/>
          <w:szCs w:val="32"/>
        </w:rPr>
      </w:pPr>
      <w:r w:rsidRPr="009332F3">
        <w:rPr>
          <w:rFonts w:ascii="Times New Roman" w:eastAsia="Times New Roman" w:hAnsi="Times New Roman" w:cs="Times New Roman"/>
          <w:b/>
          <w:bCs/>
          <w:sz w:val="32"/>
          <w:szCs w:val="32"/>
        </w:rPr>
        <w:t>Proyecto "Análisis sobre la asequibilidad de los hogares urbanos a dietas de costo mínimo para tres ciudades principales de Colombia durante el período 2019 – 2024"</w:t>
      </w:r>
    </w:p>
    <w:p w14:paraId="375822C8" w14:textId="77777777" w:rsidR="006B4345" w:rsidRPr="009332F3" w:rsidRDefault="006B4345" w:rsidP="006B4345">
      <w:pPr>
        <w:pStyle w:val="DocTitle"/>
        <w:jc w:val="center"/>
        <w:rPr>
          <w:rFonts w:ascii="Times New Roman" w:eastAsia="Times New Roman" w:hAnsi="Times New Roman" w:cs="Times New Roman"/>
          <w:sz w:val="28"/>
          <w:szCs w:val="28"/>
        </w:rPr>
      </w:pPr>
      <w:r w:rsidRPr="009332F3">
        <w:rPr>
          <w:rFonts w:ascii="Times New Roman" w:eastAsia="Times New Roman" w:hAnsi="Times New Roman" w:cs="Times New Roman"/>
          <w:sz w:val="28"/>
          <w:szCs w:val="28"/>
        </w:rPr>
        <w:t xml:space="preserve">Proyecto 5.271 </w:t>
      </w:r>
    </w:p>
    <w:p w14:paraId="4B3B2620" w14:textId="77777777" w:rsidR="006B4345" w:rsidRPr="009332F3" w:rsidRDefault="006B4345" w:rsidP="006B4345">
      <w:pPr>
        <w:pStyle w:val="DocTitle"/>
        <w:jc w:val="center"/>
        <w:rPr>
          <w:rFonts w:ascii="Times New Roman" w:eastAsia="Times New Roman" w:hAnsi="Times New Roman" w:cs="Times New Roman"/>
          <w:sz w:val="28"/>
          <w:szCs w:val="28"/>
        </w:rPr>
      </w:pPr>
      <w:r w:rsidRPr="009332F3">
        <w:rPr>
          <w:rFonts w:ascii="Times New Roman" w:eastAsia="Times New Roman" w:hAnsi="Times New Roman" w:cs="Times New Roman"/>
          <w:sz w:val="28"/>
          <w:szCs w:val="28"/>
        </w:rPr>
        <w:t>Fundación para la Promoción de la Investigación y la Tecnología</w:t>
      </w:r>
    </w:p>
    <w:p w14:paraId="373280CD" w14:textId="77777777" w:rsidR="006B4345" w:rsidRPr="009332F3" w:rsidRDefault="006B4345" w:rsidP="006B4345">
      <w:pPr>
        <w:pStyle w:val="DocTitle"/>
        <w:jc w:val="center"/>
        <w:rPr>
          <w:rFonts w:ascii="Times New Roman" w:eastAsia="Times New Roman" w:hAnsi="Times New Roman" w:cs="Times New Roman"/>
          <w:sz w:val="28"/>
          <w:szCs w:val="28"/>
        </w:rPr>
      </w:pPr>
      <w:r w:rsidRPr="009332F3">
        <w:rPr>
          <w:rFonts w:ascii="Times New Roman" w:eastAsia="Times New Roman" w:hAnsi="Times New Roman" w:cs="Times New Roman"/>
          <w:sz w:val="28"/>
          <w:szCs w:val="28"/>
        </w:rPr>
        <w:t>Banco de la República</w:t>
      </w:r>
    </w:p>
    <w:p w14:paraId="0DDB5B70" w14:textId="364C979B" w:rsidR="00C32B58" w:rsidRPr="006B4345" w:rsidRDefault="006B4345" w:rsidP="006B4345">
      <w:pPr>
        <w:pStyle w:val="DocTitle"/>
        <w:jc w:val="center"/>
        <w:rPr>
          <w:rFonts w:ascii="Times New Roman" w:eastAsia="Times New Roman" w:hAnsi="Times New Roman" w:cs="Times New Roman"/>
        </w:rPr>
      </w:pPr>
      <w:r w:rsidRPr="009332F3">
        <w:rPr>
          <w:rFonts w:ascii="Times New Roman" w:eastAsia="Times New Roman" w:hAnsi="Times New Roman" w:cs="Times New Roman"/>
          <w:sz w:val="24"/>
          <w:szCs w:val="24"/>
        </w:rPr>
        <w:t>Julio 2026</w:t>
      </w:r>
    </w:p>
    <w:p w14:paraId="410069FF" w14:textId="77777777" w:rsidR="006B4345" w:rsidRDefault="006B4345"/>
    <w:p w14:paraId="3BFDBC5C" w14:textId="77777777" w:rsidR="006B4345" w:rsidRDefault="006B4345"/>
    <w:p w14:paraId="5780BE0C" w14:textId="51A9770D" w:rsidR="00CB322F" w:rsidRPr="00CB322F" w:rsidRDefault="00CB322F" w:rsidP="00CB322F">
      <w:pPr>
        <w:pStyle w:val="Prrafodelista"/>
        <w:numPr>
          <w:ilvl w:val="0"/>
          <w:numId w:val="1"/>
        </w:numPr>
        <w:spacing w:after="160" w:line="259" w:lineRule="auto"/>
        <w:rPr>
          <w:rFonts w:ascii="Times New Roman" w:eastAsia="Times New Roman" w:hAnsi="Times New Roman" w:cs="Times New Roman"/>
          <w:b/>
          <w:bCs/>
          <w:sz w:val="24"/>
          <w:szCs w:val="24"/>
        </w:rPr>
      </w:pPr>
      <w:r w:rsidRPr="008D24D2">
        <w:rPr>
          <w:rFonts w:ascii="Times New Roman" w:eastAsia="Times New Roman" w:hAnsi="Times New Roman" w:cs="Times New Roman"/>
          <w:b/>
          <w:bCs/>
          <w:sz w:val="24"/>
          <w:szCs w:val="24"/>
        </w:rPr>
        <w:t>Mahrt et al., 2019 y citas parecidas</w:t>
      </w:r>
      <w:r>
        <w:rPr>
          <w:rFonts w:ascii="Times New Roman" w:eastAsia="Times New Roman" w:hAnsi="Times New Roman" w:cs="Times New Roman"/>
          <w:b/>
          <w:bCs/>
          <w:sz w:val="24"/>
          <w:szCs w:val="24"/>
        </w:rPr>
        <w:t>:</w:t>
      </w:r>
    </w:p>
    <w:p w14:paraId="7CF2A116" w14:textId="69D0478B" w:rsidR="006B4345" w:rsidRPr="00CB322F" w:rsidRDefault="006B4345" w:rsidP="00CB322F">
      <w:pPr>
        <w:pStyle w:val="Prrafodelista"/>
        <w:numPr>
          <w:ilvl w:val="0"/>
          <w:numId w:val="1"/>
        </w:numPr>
        <w:spacing w:after="160" w:line="259" w:lineRule="auto"/>
        <w:rPr>
          <w:rFonts w:ascii="Times New Roman" w:eastAsia="Times New Roman" w:hAnsi="Times New Roman" w:cs="Times New Roman"/>
          <w:b/>
          <w:bCs/>
          <w:sz w:val="24"/>
          <w:szCs w:val="24"/>
        </w:rPr>
      </w:pPr>
      <w:proofErr w:type="spellStart"/>
      <w:r w:rsidRPr="008D24D2">
        <w:rPr>
          <w:rFonts w:ascii="Times New Roman" w:eastAsia="Times New Roman" w:hAnsi="Times New Roman" w:cs="Times New Roman"/>
          <w:b/>
          <w:bCs/>
          <w:sz w:val="24"/>
          <w:szCs w:val="24"/>
        </w:rPr>
        <w:t>Papers</w:t>
      </w:r>
      <w:proofErr w:type="spellEnd"/>
      <w:r w:rsidRPr="008D24D2">
        <w:rPr>
          <w:rFonts w:ascii="Times New Roman" w:eastAsia="Times New Roman" w:hAnsi="Times New Roman" w:cs="Times New Roman"/>
          <w:b/>
          <w:bCs/>
          <w:sz w:val="24"/>
          <w:szCs w:val="24"/>
        </w:rPr>
        <w:t xml:space="preserve"> parecidos a Bai et al., (2026)</w:t>
      </w:r>
      <w:r>
        <w:rPr>
          <w:rFonts w:ascii="Times New Roman" w:eastAsia="Times New Roman" w:hAnsi="Times New Roman" w:cs="Times New Roman"/>
          <w:b/>
          <w:bCs/>
          <w:sz w:val="24"/>
          <w:szCs w:val="24"/>
        </w:rPr>
        <w:t>:</w:t>
      </w:r>
    </w:p>
    <w:p w14:paraId="50679E2F" w14:textId="7A6830E6" w:rsidR="006B4345" w:rsidRPr="006B4345" w:rsidRDefault="006638B4" w:rsidP="006B4345">
      <w:pPr>
        <w:pStyle w:val="Prrafodelista"/>
        <w:numPr>
          <w:ilvl w:val="0"/>
          <w:numId w:val="1"/>
        </w:num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The </w:t>
      </w:r>
      <w:r w:rsidR="006B4345" w:rsidRPr="006B4345">
        <w:rPr>
          <w:rFonts w:ascii="Times New Roman" w:eastAsia="Times New Roman" w:hAnsi="Times New Roman" w:cs="Times New Roman"/>
          <w:sz w:val="24"/>
          <w:szCs w:val="24"/>
          <w:lang w:val="en-US"/>
        </w:rPr>
        <w:t xml:space="preserve">temporal trajectory of diet costs reveals that the 2022-2023 inflationary episode was broadly symmetric across dietary standards in nominal terms, with year-on-year variations of 32\% - 39\% across all three diet models, outpacing the general food and non-alcoholic beverages CPI, which averaged 24.6\% - 25.7\% in 2022 and 14.7\% - 15.9\% in 2023 across the three cities (see Appendix W). In real terms, the post-inflationary period revealed deep asymmetries across dietary standards. Real CoCA fell by as much as -28.7\% in Bogotá in June 2024; by contrast, </w:t>
      </w:r>
      <w:proofErr w:type="spellStart"/>
      <w:r w:rsidR="006B4345" w:rsidRPr="006B4345">
        <w:rPr>
          <w:rFonts w:ascii="Times New Roman" w:eastAsia="Times New Roman" w:hAnsi="Times New Roman" w:cs="Times New Roman"/>
          <w:sz w:val="24"/>
          <w:szCs w:val="24"/>
          <w:lang w:val="en-US"/>
        </w:rPr>
        <w:t>CoNA</w:t>
      </w:r>
      <w:proofErr w:type="spellEnd"/>
      <w:r w:rsidR="006B4345" w:rsidRPr="006B4345">
        <w:rPr>
          <w:rFonts w:ascii="Times New Roman" w:eastAsia="Times New Roman" w:hAnsi="Times New Roman" w:cs="Times New Roman"/>
          <w:sz w:val="24"/>
          <w:szCs w:val="24"/>
          <w:lang w:val="en-US"/>
        </w:rPr>
        <w:t xml:space="preserve"> and </w:t>
      </w:r>
      <w:proofErr w:type="spellStart"/>
      <w:r w:rsidR="006B4345" w:rsidRPr="006B4345">
        <w:rPr>
          <w:rFonts w:ascii="Times New Roman" w:eastAsia="Times New Roman" w:hAnsi="Times New Roman" w:cs="Times New Roman"/>
          <w:sz w:val="24"/>
          <w:szCs w:val="24"/>
          <w:lang w:val="en-US"/>
        </w:rPr>
        <w:t>CoRD</w:t>
      </w:r>
      <w:proofErr w:type="spellEnd"/>
      <w:r w:rsidR="006B4345" w:rsidRPr="006B4345">
        <w:rPr>
          <w:rFonts w:ascii="Times New Roman" w:eastAsia="Times New Roman" w:hAnsi="Times New Roman" w:cs="Times New Roman"/>
          <w:sz w:val="24"/>
          <w:szCs w:val="24"/>
          <w:lang w:val="en-US"/>
        </w:rPr>
        <w:t xml:space="preserve"> remained far more contained at -4.1\% to -7.9\%. An analogous asymmetry is documented by \</w:t>
      </w:r>
      <w:proofErr w:type="spellStart"/>
      <w:r w:rsidR="006B4345" w:rsidRPr="006B4345">
        <w:rPr>
          <w:rFonts w:ascii="Times New Roman" w:eastAsia="Times New Roman" w:hAnsi="Times New Roman" w:cs="Times New Roman"/>
          <w:sz w:val="24"/>
          <w:szCs w:val="24"/>
          <w:lang w:val="en-US"/>
        </w:rPr>
        <w:t>textcolor</w:t>
      </w:r>
      <w:proofErr w:type="spellEnd"/>
      <w:r w:rsidR="006B4345" w:rsidRPr="006B4345">
        <w:rPr>
          <w:rFonts w:ascii="Times New Roman" w:eastAsia="Times New Roman" w:hAnsi="Times New Roman" w:cs="Times New Roman"/>
          <w:sz w:val="24"/>
          <w:szCs w:val="24"/>
          <w:lang w:val="en-US"/>
        </w:rPr>
        <w:t>{red</w:t>
      </w:r>
      <w:proofErr w:type="gramStart"/>
      <w:r w:rsidR="006B4345" w:rsidRPr="006B4345">
        <w:rPr>
          <w:rFonts w:ascii="Times New Roman" w:eastAsia="Times New Roman" w:hAnsi="Times New Roman" w:cs="Times New Roman"/>
          <w:sz w:val="24"/>
          <w:szCs w:val="24"/>
          <w:lang w:val="en-US"/>
        </w:rPr>
        <w:t>}{</w:t>
      </w:r>
      <w:proofErr w:type="gramEnd"/>
      <w:r w:rsidR="006B4345" w:rsidRPr="006B4345">
        <w:rPr>
          <w:rFonts w:ascii="Times New Roman" w:eastAsia="Times New Roman" w:hAnsi="Times New Roman" w:cs="Times New Roman"/>
          <w:sz w:val="24"/>
          <w:szCs w:val="24"/>
          <w:lang w:val="en-US"/>
        </w:rPr>
        <w:t>Bai et al. (2026)} for China, where real costs of recommended diets grew more slowly than the food CPI across most provinces, revealing that the low-cost foods satisfying dietary recommendations experienced lower inflation than the average food consumed\</w:t>
      </w:r>
      <w:proofErr w:type="gramStart"/>
      <w:r w:rsidR="006B4345" w:rsidRPr="006B4345">
        <w:rPr>
          <w:rFonts w:ascii="Times New Roman" w:eastAsia="Times New Roman" w:hAnsi="Times New Roman" w:cs="Times New Roman"/>
          <w:sz w:val="24"/>
          <w:szCs w:val="24"/>
          <w:lang w:val="en-US"/>
        </w:rPr>
        <w:t>footnote{</w:t>
      </w:r>
      <w:proofErr w:type="gramEnd"/>
      <w:r w:rsidR="006B4345" w:rsidRPr="006B4345">
        <w:rPr>
          <w:rFonts w:ascii="Times New Roman" w:eastAsia="Times New Roman" w:hAnsi="Times New Roman" w:cs="Times New Roman"/>
          <w:sz w:val="24"/>
          <w:szCs w:val="24"/>
          <w:lang w:val="en-US"/>
        </w:rPr>
        <w:t xml:space="preserve">PENDIENTE DE REFERENCIA. </w:t>
      </w:r>
      <w:r w:rsidR="006B4345" w:rsidRPr="006B4345">
        <w:rPr>
          <w:rFonts w:ascii="Times New Roman" w:eastAsia="Times New Roman" w:hAnsi="Times New Roman" w:cs="Times New Roman"/>
          <w:sz w:val="24"/>
          <w:szCs w:val="24"/>
        </w:rPr>
        <w:t>HAY QUE BUSCAR EVIDENCIA ADICIONAL (PUEDEN SER OTROS CONTEXTOS) SOBRE EL DESACOPLE ENTRE PRECIOS DE FECULENTOS Y ALIMENTOS NUTRICIONALMENTE DENSOS DURANTE EPISODIOS DE DESINFLACIÓN.}.</w:t>
      </w:r>
    </w:p>
    <w:p w14:paraId="68F21CCA" w14:textId="00898791" w:rsidR="006B4345" w:rsidRPr="006B4345" w:rsidRDefault="006B4345" w:rsidP="006B4345">
      <w:pPr>
        <w:pStyle w:val="Prrafodelista"/>
        <w:numPr>
          <w:ilvl w:val="0"/>
          <w:numId w:val="1"/>
        </w:numPr>
        <w:spacing w:after="160" w:line="259" w:lineRule="auto"/>
        <w:rPr>
          <w:rFonts w:ascii="Times New Roman" w:eastAsia="Times New Roman" w:hAnsi="Times New Roman" w:cs="Times New Roman"/>
          <w:sz w:val="24"/>
          <w:szCs w:val="24"/>
          <w:lang w:val="en-US"/>
        </w:rPr>
      </w:pPr>
      <w:r w:rsidRPr="00E3132D">
        <w:rPr>
          <w:rFonts w:ascii="Times New Roman" w:eastAsia="Times New Roman" w:hAnsi="Times New Roman" w:cs="Times New Roman"/>
          <w:sz w:val="24"/>
          <w:szCs w:val="24"/>
          <w:lang w:val="en-US"/>
        </w:rPr>
        <w:t>These foods thus fell in price even in nominal terms as the general food price level continued to rise, which expanded the cost gap between caloric sufficiency and nutritional adequacy. Post-inflationary disinflation can thus cheapen basic caloric access in relative terms without proportionally relieving the cost of nutritional adequacy, and it is precisely the low-income households most dependent on starchy staple-based diets \</w:t>
      </w:r>
      <w:proofErr w:type="spellStart"/>
      <w:r w:rsidRPr="00E3132D">
        <w:rPr>
          <w:rFonts w:ascii="Times New Roman" w:eastAsia="Times New Roman" w:hAnsi="Times New Roman" w:cs="Times New Roman"/>
          <w:sz w:val="24"/>
          <w:szCs w:val="24"/>
          <w:lang w:val="en-US"/>
        </w:rPr>
        <w:t>textcolor</w:t>
      </w:r>
      <w:proofErr w:type="spellEnd"/>
      <w:r w:rsidRPr="00E3132D">
        <w:rPr>
          <w:rFonts w:ascii="Times New Roman" w:eastAsia="Times New Roman" w:hAnsi="Times New Roman" w:cs="Times New Roman"/>
          <w:sz w:val="24"/>
          <w:szCs w:val="24"/>
          <w:lang w:val="en-US"/>
        </w:rPr>
        <w:t>{red</w:t>
      </w:r>
      <w:proofErr w:type="gramStart"/>
      <w:r w:rsidRPr="00E3132D">
        <w:rPr>
          <w:rFonts w:ascii="Times New Roman" w:eastAsia="Times New Roman" w:hAnsi="Times New Roman" w:cs="Times New Roman"/>
          <w:sz w:val="24"/>
          <w:szCs w:val="24"/>
          <w:lang w:val="en-US"/>
        </w:rPr>
        <w:t>}{</w:t>
      </w:r>
      <w:proofErr w:type="gramEnd"/>
      <w:r w:rsidRPr="00E3132D">
        <w:rPr>
          <w:rFonts w:ascii="Times New Roman" w:eastAsia="Times New Roman" w:hAnsi="Times New Roman" w:cs="Times New Roman"/>
          <w:sz w:val="24"/>
          <w:szCs w:val="24"/>
          <w:lang w:val="en-US"/>
        </w:rPr>
        <w:t xml:space="preserve">(FALTA CITA)} that bear the distributional consequences of this divergence.  </w:t>
      </w:r>
    </w:p>
    <w:p w14:paraId="3F34EF3F" w14:textId="303D14D2" w:rsidR="006B4345" w:rsidRPr="006B4345" w:rsidRDefault="006B4345" w:rsidP="006B4345">
      <w:pPr>
        <w:pStyle w:val="Prrafodelista"/>
        <w:numPr>
          <w:ilvl w:val="0"/>
          <w:numId w:val="1"/>
        </w:numPr>
        <w:spacing w:after="160" w:line="259" w:lineRule="auto"/>
        <w:rPr>
          <w:rFonts w:ascii="Times New Roman" w:eastAsia="Times New Roman" w:hAnsi="Times New Roman" w:cs="Times New Roman"/>
          <w:sz w:val="24"/>
          <w:szCs w:val="24"/>
        </w:rPr>
      </w:pPr>
      <w:r w:rsidRPr="00E3132D">
        <w:rPr>
          <w:rFonts w:ascii="Times New Roman" w:eastAsia="Times New Roman" w:hAnsi="Times New Roman" w:cs="Times New Roman"/>
          <w:sz w:val="24"/>
          <w:szCs w:val="24"/>
          <w:lang w:val="en-US"/>
        </w:rPr>
        <w:t xml:space="preserve">Three nutrients emerged as limiting in the </w:t>
      </w:r>
      <w:proofErr w:type="spellStart"/>
      <w:r w:rsidRPr="00E3132D">
        <w:rPr>
          <w:rFonts w:ascii="Times New Roman" w:eastAsia="Times New Roman" w:hAnsi="Times New Roman" w:cs="Times New Roman"/>
          <w:sz w:val="24"/>
          <w:szCs w:val="24"/>
          <w:lang w:val="en-US"/>
        </w:rPr>
        <w:t>CoNA</w:t>
      </w:r>
      <w:proofErr w:type="spellEnd"/>
      <w:r w:rsidRPr="00E3132D">
        <w:rPr>
          <w:rFonts w:ascii="Times New Roman" w:eastAsia="Times New Roman" w:hAnsi="Times New Roman" w:cs="Times New Roman"/>
          <w:sz w:val="24"/>
          <w:szCs w:val="24"/>
          <w:lang w:val="en-US"/>
        </w:rPr>
        <w:t xml:space="preserve"> model ins 100\% of months across all three cities: calcium, sodium, and vitamin C. This pattern is consistent with prior studies reporting... </w:t>
      </w:r>
      <w:r w:rsidRPr="00E3132D">
        <w:rPr>
          <w:rFonts w:ascii="Times New Roman" w:eastAsia="Times New Roman" w:hAnsi="Times New Roman" w:cs="Times New Roman"/>
          <w:sz w:val="24"/>
          <w:szCs w:val="24"/>
        </w:rPr>
        <w:t>[\</w:t>
      </w:r>
      <w:proofErr w:type="spellStart"/>
      <w:r w:rsidRPr="00E3132D">
        <w:rPr>
          <w:rFonts w:ascii="Times New Roman" w:eastAsia="Times New Roman" w:hAnsi="Times New Roman" w:cs="Times New Roman"/>
          <w:sz w:val="24"/>
          <w:szCs w:val="24"/>
        </w:rPr>
        <w:t>textcolor</w:t>
      </w:r>
      <w:proofErr w:type="spellEnd"/>
      <w:r w:rsidRPr="00E3132D">
        <w:rPr>
          <w:rFonts w:ascii="Times New Roman" w:eastAsia="Times New Roman" w:hAnsi="Times New Roman" w:cs="Times New Roman"/>
          <w:sz w:val="24"/>
          <w:szCs w:val="24"/>
        </w:rPr>
        <w:t>{red</w:t>
      </w:r>
      <w:proofErr w:type="gramStart"/>
      <w:r w:rsidRPr="00E3132D">
        <w:rPr>
          <w:rFonts w:ascii="Times New Roman" w:eastAsia="Times New Roman" w:hAnsi="Times New Roman" w:cs="Times New Roman"/>
          <w:sz w:val="24"/>
          <w:szCs w:val="24"/>
        </w:rPr>
        <w:t>}{</w:t>
      </w:r>
      <w:proofErr w:type="gramEnd"/>
      <w:r w:rsidRPr="00E3132D">
        <w:rPr>
          <w:rFonts w:ascii="Times New Roman" w:eastAsia="Times New Roman" w:hAnsi="Times New Roman" w:cs="Times New Roman"/>
          <w:sz w:val="24"/>
          <w:szCs w:val="24"/>
        </w:rPr>
        <w:t>AÑADIR CITAS: BUSCAR ESTUDIOS QUE REPORTEN ESTOS COMO NUTRIENTES LIMITANTES O, INCLUSO, ALGUNO DE LOS OTROS NUTRIENTES IDENTIFICADOS COMO LIMITANTES EN NUESTRO ESTUDIO. AÑADIR UNA O DOS ORACIONES QUE MUESTREN ESTO.}].</w:t>
      </w:r>
    </w:p>
    <w:p w14:paraId="46884285" w14:textId="6871409A" w:rsidR="006B4345" w:rsidRPr="006B4345" w:rsidRDefault="006B4345" w:rsidP="006B4345">
      <w:pPr>
        <w:pStyle w:val="Prrafodelista"/>
        <w:numPr>
          <w:ilvl w:val="0"/>
          <w:numId w:val="1"/>
        </w:numPr>
        <w:spacing w:after="160" w:line="259" w:lineRule="auto"/>
        <w:rPr>
          <w:rFonts w:ascii="Times New Roman" w:eastAsia="Times New Roman" w:hAnsi="Times New Roman" w:cs="Times New Roman"/>
          <w:sz w:val="24"/>
          <w:szCs w:val="24"/>
          <w:lang w:val="en-US"/>
        </w:rPr>
      </w:pPr>
      <w:r w:rsidRPr="00E3132D">
        <w:rPr>
          <w:rFonts w:ascii="Times New Roman" w:eastAsia="Times New Roman" w:hAnsi="Times New Roman" w:cs="Times New Roman"/>
          <w:sz w:val="24"/>
          <w:szCs w:val="24"/>
          <w:lang w:val="en-US"/>
        </w:rPr>
        <w:lastRenderedPageBreak/>
        <w:t>This strengthens the argument for targeted interventions on critical food items over general dietary approaches, following \</w:t>
      </w:r>
      <w:proofErr w:type="gramStart"/>
      <w:r w:rsidRPr="00E3132D">
        <w:rPr>
          <w:rFonts w:ascii="Times New Roman" w:eastAsia="Times New Roman" w:hAnsi="Times New Roman" w:cs="Times New Roman"/>
          <w:sz w:val="24"/>
          <w:szCs w:val="24"/>
          <w:lang w:val="en-US"/>
        </w:rPr>
        <w:t>cite{</w:t>
      </w:r>
      <w:proofErr w:type="gramEnd"/>
      <w:r w:rsidRPr="00E3132D">
        <w:rPr>
          <w:rFonts w:ascii="Times New Roman" w:eastAsia="Times New Roman" w:hAnsi="Times New Roman" w:cs="Times New Roman"/>
          <w:sz w:val="24"/>
          <w:szCs w:val="24"/>
          <w:lang w:val="en-US"/>
        </w:rPr>
        <w:t>Frega2012} and \</w:t>
      </w:r>
      <w:proofErr w:type="gramStart"/>
      <w:r w:rsidRPr="00E3132D">
        <w:rPr>
          <w:rFonts w:ascii="Times New Roman" w:eastAsia="Times New Roman" w:hAnsi="Times New Roman" w:cs="Times New Roman"/>
          <w:sz w:val="24"/>
          <w:szCs w:val="24"/>
          <w:lang w:val="en-US"/>
        </w:rPr>
        <w:t>cite{</w:t>
      </w:r>
      <w:proofErr w:type="gramEnd"/>
      <w:r w:rsidRPr="00E3132D">
        <w:rPr>
          <w:rFonts w:ascii="Times New Roman" w:eastAsia="Times New Roman" w:hAnsi="Times New Roman" w:cs="Times New Roman"/>
          <w:sz w:val="24"/>
          <w:szCs w:val="24"/>
          <w:lang w:val="en-US"/>
        </w:rPr>
        <w:t>Schneider2021} (\</w:t>
      </w:r>
      <w:proofErr w:type="spellStart"/>
      <w:r w:rsidRPr="00E3132D">
        <w:rPr>
          <w:rFonts w:ascii="Times New Roman" w:eastAsia="Times New Roman" w:hAnsi="Times New Roman" w:cs="Times New Roman"/>
          <w:sz w:val="24"/>
          <w:szCs w:val="24"/>
          <w:lang w:val="en-US"/>
        </w:rPr>
        <w:t>textcolor</w:t>
      </w:r>
      <w:proofErr w:type="spellEnd"/>
      <w:r w:rsidRPr="00E3132D">
        <w:rPr>
          <w:rFonts w:ascii="Times New Roman" w:eastAsia="Times New Roman" w:hAnsi="Times New Roman" w:cs="Times New Roman"/>
          <w:sz w:val="24"/>
          <w:szCs w:val="24"/>
          <w:lang w:val="en-US"/>
        </w:rPr>
        <w:t>{red</w:t>
      </w:r>
      <w:proofErr w:type="gramStart"/>
      <w:r w:rsidRPr="00E3132D">
        <w:rPr>
          <w:rFonts w:ascii="Times New Roman" w:eastAsia="Times New Roman" w:hAnsi="Times New Roman" w:cs="Times New Roman"/>
          <w:sz w:val="24"/>
          <w:szCs w:val="24"/>
          <w:lang w:val="en-US"/>
        </w:rPr>
        <w:t>}{</w:t>
      </w:r>
      <w:proofErr w:type="gramEnd"/>
      <w:r w:rsidRPr="00E3132D">
        <w:rPr>
          <w:rFonts w:ascii="Times New Roman" w:eastAsia="Times New Roman" w:hAnsi="Times New Roman" w:cs="Times New Roman"/>
          <w:sz w:val="24"/>
          <w:szCs w:val="24"/>
          <w:lang w:val="en-US"/>
        </w:rPr>
        <w:t xml:space="preserve">AYÚDAME REVISANDO SI AQUÍ HAY OTRAS REFERENCIAS. ESTAMOS REPITIENDO MUCHOS </w:t>
      </w:r>
      <w:proofErr w:type="gramStart"/>
      <w:r w:rsidRPr="00E3132D">
        <w:rPr>
          <w:rFonts w:ascii="Times New Roman" w:eastAsia="Times New Roman" w:hAnsi="Times New Roman" w:cs="Times New Roman"/>
          <w:sz w:val="24"/>
          <w:szCs w:val="24"/>
          <w:lang w:val="en-US"/>
        </w:rPr>
        <w:t>ESTUDIOS})</w:t>
      </w:r>
      <w:proofErr w:type="gramEnd"/>
      <w:r w:rsidRPr="00E3132D">
        <w:rPr>
          <w:rFonts w:ascii="Times New Roman" w:eastAsia="Times New Roman" w:hAnsi="Times New Roman" w:cs="Times New Roman"/>
          <w:sz w:val="24"/>
          <w:szCs w:val="24"/>
          <w:lang w:val="en-US"/>
        </w:rPr>
        <w:t>.</w:t>
      </w:r>
    </w:p>
    <w:p w14:paraId="0A9DD300" w14:textId="7F2EDE97" w:rsidR="006B4345" w:rsidRPr="006B4345" w:rsidRDefault="006B4345" w:rsidP="006B4345">
      <w:pPr>
        <w:pStyle w:val="Prrafodelista"/>
        <w:numPr>
          <w:ilvl w:val="0"/>
          <w:numId w:val="1"/>
        </w:numPr>
        <w:spacing w:after="160" w:line="259" w:lineRule="auto"/>
        <w:rPr>
          <w:rFonts w:ascii="Times New Roman" w:eastAsia="Times New Roman" w:hAnsi="Times New Roman" w:cs="Times New Roman"/>
          <w:sz w:val="24"/>
          <w:szCs w:val="24"/>
          <w:lang w:val="en-US"/>
        </w:rPr>
      </w:pPr>
      <w:r w:rsidRPr="00E3132D">
        <w:rPr>
          <w:rFonts w:ascii="Times New Roman" w:eastAsia="Times New Roman" w:hAnsi="Times New Roman" w:cs="Times New Roman"/>
          <w:sz w:val="24"/>
          <w:szCs w:val="24"/>
          <w:lang w:val="en-US"/>
        </w:rPr>
        <w:t xml:space="preserve">Calcium bears its greatest economic weight for the 10 - </w:t>
      </w:r>
      <w:proofErr w:type="gramStart"/>
      <w:r w:rsidRPr="00E3132D">
        <w:rPr>
          <w:rFonts w:ascii="Times New Roman" w:eastAsia="Times New Roman" w:hAnsi="Times New Roman" w:cs="Times New Roman"/>
          <w:sz w:val="24"/>
          <w:szCs w:val="24"/>
          <w:lang w:val="en-US"/>
        </w:rPr>
        <w:t>14 year-old</w:t>
      </w:r>
      <w:proofErr w:type="gramEnd"/>
      <w:r w:rsidRPr="00E3132D">
        <w:rPr>
          <w:rFonts w:ascii="Times New Roman" w:eastAsia="Times New Roman" w:hAnsi="Times New Roman" w:cs="Times New Roman"/>
          <w:sz w:val="24"/>
          <w:szCs w:val="24"/>
          <w:lang w:val="en-US"/>
        </w:rPr>
        <w:t xml:space="preserve"> girl, whose elevated growth-phase requirements translate into SPE of 0.486 - 0.523; as global evidence would lead one to expect for adult males \</w:t>
      </w:r>
      <w:proofErr w:type="spellStart"/>
      <w:r w:rsidRPr="00E3132D">
        <w:rPr>
          <w:rFonts w:ascii="Times New Roman" w:eastAsia="Times New Roman" w:hAnsi="Times New Roman" w:cs="Times New Roman"/>
          <w:sz w:val="24"/>
          <w:szCs w:val="24"/>
          <w:lang w:val="en-US"/>
        </w:rPr>
        <w:t>textcolor</w:t>
      </w:r>
      <w:proofErr w:type="spellEnd"/>
      <w:r w:rsidRPr="00E3132D">
        <w:rPr>
          <w:rFonts w:ascii="Times New Roman" w:eastAsia="Times New Roman" w:hAnsi="Times New Roman" w:cs="Times New Roman"/>
          <w:sz w:val="24"/>
          <w:szCs w:val="24"/>
          <w:lang w:val="en-US"/>
        </w:rPr>
        <w:t>{red</w:t>
      </w:r>
      <w:proofErr w:type="gramStart"/>
      <w:r w:rsidRPr="00E3132D">
        <w:rPr>
          <w:rFonts w:ascii="Times New Roman" w:eastAsia="Times New Roman" w:hAnsi="Times New Roman" w:cs="Times New Roman"/>
          <w:sz w:val="24"/>
          <w:szCs w:val="24"/>
          <w:lang w:val="en-US"/>
        </w:rPr>
        <w:t>}{</w:t>
      </w:r>
      <w:proofErr w:type="gramEnd"/>
      <w:r w:rsidRPr="00E3132D">
        <w:rPr>
          <w:rFonts w:ascii="Times New Roman" w:eastAsia="Times New Roman" w:hAnsi="Times New Roman" w:cs="Times New Roman"/>
          <w:sz w:val="24"/>
          <w:szCs w:val="24"/>
          <w:lang w:val="en-US"/>
        </w:rPr>
        <w:t>(Bai et al., 2022b; OTRA REFERENCIA SOBRE ADULT MALES Y ZINC)}, zinc displaces calcium as the dominant constraint, precisely in Bogotá and Medellín (SPE: 0.564 and 0.486).</w:t>
      </w:r>
    </w:p>
    <w:p w14:paraId="1AB4B856" w14:textId="27DF0439" w:rsidR="006B4345" w:rsidRPr="006B4345" w:rsidRDefault="006B4345" w:rsidP="006B4345">
      <w:pPr>
        <w:pStyle w:val="Prrafodelista"/>
        <w:numPr>
          <w:ilvl w:val="0"/>
          <w:numId w:val="1"/>
        </w:numPr>
        <w:spacing w:after="160" w:line="259" w:lineRule="auto"/>
        <w:rPr>
          <w:rFonts w:ascii="Times New Roman" w:eastAsia="Times New Roman" w:hAnsi="Times New Roman" w:cs="Times New Roman"/>
          <w:sz w:val="24"/>
          <w:szCs w:val="24"/>
          <w:lang w:val="en-US"/>
        </w:rPr>
      </w:pPr>
      <w:r w:rsidRPr="00E3132D">
        <w:rPr>
          <w:rFonts w:ascii="Times New Roman" w:eastAsia="Times New Roman" w:hAnsi="Times New Roman" w:cs="Times New Roman"/>
          <w:sz w:val="24"/>
          <w:szCs w:val="24"/>
          <w:lang w:val="en-US"/>
        </w:rPr>
        <w:t xml:space="preserve">The compositional analysis of </w:t>
      </w:r>
      <w:proofErr w:type="spellStart"/>
      <w:r w:rsidRPr="00E3132D">
        <w:rPr>
          <w:rFonts w:ascii="Times New Roman" w:eastAsia="Times New Roman" w:hAnsi="Times New Roman" w:cs="Times New Roman"/>
          <w:sz w:val="24"/>
          <w:szCs w:val="24"/>
          <w:lang w:val="en-US"/>
        </w:rPr>
        <w:t>CoRD</w:t>
      </w:r>
      <w:proofErr w:type="spellEnd"/>
      <w:r w:rsidRPr="00E3132D">
        <w:rPr>
          <w:rFonts w:ascii="Times New Roman" w:eastAsia="Times New Roman" w:hAnsi="Times New Roman" w:cs="Times New Roman"/>
          <w:sz w:val="24"/>
          <w:szCs w:val="24"/>
          <w:lang w:val="en-US"/>
        </w:rPr>
        <w:t xml:space="preserve"> adds a fundamental insight to the </w:t>
      </w:r>
      <w:proofErr w:type="spellStart"/>
      <w:r w:rsidRPr="00E3132D">
        <w:rPr>
          <w:rFonts w:ascii="Times New Roman" w:eastAsia="Times New Roman" w:hAnsi="Times New Roman" w:cs="Times New Roman"/>
          <w:sz w:val="24"/>
          <w:szCs w:val="24"/>
          <w:lang w:val="en-US"/>
        </w:rPr>
        <w:t>CoNA</w:t>
      </w:r>
      <w:proofErr w:type="spellEnd"/>
      <w:r w:rsidRPr="00E3132D">
        <w:rPr>
          <w:rFonts w:ascii="Times New Roman" w:eastAsia="Times New Roman" w:hAnsi="Times New Roman" w:cs="Times New Roman"/>
          <w:sz w:val="24"/>
          <w:szCs w:val="24"/>
          <w:lang w:val="en-US"/>
        </w:rPr>
        <w:t xml:space="preserve"> findings, demonstrating that the cost of recommended dietary diversity is determined not by which food groups demand more servings, but by the relative price of the foods the model selects within each group. Indeed, dairy products, with only 4.16 - 4.31 daily servings, account for between 63.3\% and 68\% of total </w:t>
      </w:r>
      <w:proofErr w:type="spellStart"/>
      <w:r w:rsidRPr="00E3132D">
        <w:rPr>
          <w:rFonts w:ascii="Times New Roman" w:eastAsia="Times New Roman" w:hAnsi="Times New Roman" w:cs="Times New Roman"/>
          <w:sz w:val="24"/>
          <w:szCs w:val="24"/>
          <w:lang w:val="en-US"/>
        </w:rPr>
        <w:t>CoRD</w:t>
      </w:r>
      <w:proofErr w:type="spellEnd"/>
      <w:r w:rsidRPr="00E3132D">
        <w:rPr>
          <w:rFonts w:ascii="Times New Roman" w:eastAsia="Times New Roman" w:hAnsi="Times New Roman" w:cs="Times New Roman"/>
          <w:sz w:val="24"/>
          <w:szCs w:val="24"/>
          <w:lang w:val="en-US"/>
        </w:rPr>
        <w:t xml:space="preserve"> across the three cities; in contrast to fats, the highest-volume group in terms of servings, which represent just 3.2\% - 4.4\% of total cost [\</w:t>
      </w:r>
      <w:proofErr w:type="spellStart"/>
      <w:r w:rsidRPr="00E3132D">
        <w:rPr>
          <w:rFonts w:ascii="Times New Roman" w:eastAsia="Times New Roman" w:hAnsi="Times New Roman" w:cs="Times New Roman"/>
          <w:sz w:val="24"/>
          <w:szCs w:val="24"/>
          <w:lang w:val="en-US"/>
        </w:rPr>
        <w:t>textcolor</w:t>
      </w:r>
      <w:proofErr w:type="spellEnd"/>
      <w:r w:rsidRPr="00E3132D">
        <w:rPr>
          <w:rFonts w:ascii="Times New Roman" w:eastAsia="Times New Roman" w:hAnsi="Times New Roman" w:cs="Times New Roman"/>
          <w:sz w:val="24"/>
          <w:szCs w:val="24"/>
          <w:lang w:val="en-US"/>
        </w:rPr>
        <w:t>{red</w:t>
      </w:r>
      <w:proofErr w:type="gramStart"/>
      <w:r w:rsidRPr="00E3132D">
        <w:rPr>
          <w:rFonts w:ascii="Times New Roman" w:eastAsia="Times New Roman" w:hAnsi="Times New Roman" w:cs="Times New Roman"/>
          <w:sz w:val="24"/>
          <w:szCs w:val="24"/>
          <w:lang w:val="en-US"/>
        </w:rPr>
        <w:t>}{</w:t>
      </w:r>
      <w:proofErr w:type="gramEnd"/>
      <w:r w:rsidRPr="00E3132D">
        <w:rPr>
          <w:rFonts w:ascii="Times New Roman" w:eastAsia="Times New Roman" w:hAnsi="Times New Roman" w:cs="Times New Roman"/>
          <w:sz w:val="24"/>
          <w:szCs w:val="24"/>
          <w:lang w:val="en-US"/>
        </w:rPr>
        <w:t xml:space="preserve">AÑADIR REFERENCIA. ¿QUÉ ESTUDIO ENCUENTRA LA MISMA </w:t>
      </w:r>
      <w:proofErr w:type="gramStart"/>
      <w:r w:rsidRPr="00E3132D">
        <w:rPr>
          <w:rFonts w:ascii="Times New Roman" w:eastAsia="Times New Roman" w:hAnsi="Times New Roman" w:cs="Times New Roman"/>
          <w:sz w:val="24"/>
          <w:szCs w:val="24"/>
          <w:lang w:val="en-US"/>
        </w:rPr>
        <w:t>IDEA?}</w:t>
      </w:r>
      <w:proofErr w:type="gramEnd"/>
      <w:r w:rsidRPr="00E3132D">
        <w:rPr>
          <w:rFonts w:ascii="Times New Roman" w:eastAsia="Times New Roman" w:hAnsi="Times New Roman" w:cs="Times New Roman"/>
          <w:sz w:val="24"/>
          <w:szCs w:val="24"/>
          <w:lang w:val="en-US"/>
        </w:rPr>
        <w:t>].</w:t>
      </w:r>
    </w:p>
    <w:p w14:paraId="501319B4" w14:textId="7E56A3EC" w:rsidR="00720858" w:rsidRDefault="006B4345" w:rsidP="00B3355B">
      <w:pPr>
        <w:pStyle w:val="Prrafodelista"/>
        <w:numPr>
          <w:ilvl w:val="0"/>
          <w:numId w:val="1"/>
        </w:numPr>
        <w:spacing w:after="160" w:line="259" w:lineRule="auto"/>
        <w:rPr>
          <w:rFonts w:ascii="Times New Roman" w:eastAsia="Times New Roman" w:hAnsi="Times New Roman" w:cs="Times New Roman"/>
          <w:sz w:val="24"/>
          <w:szCs w:val="24"/>
          <w:lang w:val="en-US"/>
        </w:rPr>
      </w:pPr>
      <w:r w:rsidRPr="00E3132D">
        <w:rPr>
          <w:rFonts w:ascii="Times New Roman" w:eastAsia="Times New Roman" w:hAnsi="Times New Roman" w:cs="Times New Roman"/>
          <w:sz w:val="24"/>
          <w:szCs w:val="24"/>
          <w:lang w:val="en-US"/>
        </w:rPr>
        <w:t xml:space="preserve">Food selection within each food group is governed by local relative prices, and it is precisely this feature that drives intercity cost heterogeneity in the </w:t>
      </w:r>
      <w:proofErr w:type="spellStart"/>
      <w:r w:rsidRPr="00E3132D">
        <w:rPr>
          <w:rFonts w:ascii="Times New Roman" w:eastAsia="Times New Roman" w:hAnsi="Times New Roman" w:cs="Times New Roman"/>
          <w:sz w:val="24"/>
          <w:szCs w:val="24"/>
          <w:lang w:val="en-US"/>
        </w:rPr>
        <w:t>CoRD</w:t>
      </w:r>
      <w:proofErr w:type="spellEnd"/>
      <w:r w:rsidRPr="00E3132D">
        <w:rPr>
          <w:rFonts w:ascii="Times New Roman" w:eastAsia="Times New Roman" w:hAnsi="Times New Roman" w:cs="Times New Roman"/>
          <w:sz w:val="24"/>
          <w:szCs w:val="24"/>
          <w:lang w:val="en-US"/>
        </w:rPr>
        <w:t>, since the FBDG's serving structure does not vary significantly across cities, by construction [\</w:t>
      </w:r>
      <w:proofErr w:type="spellStart"/>
      <w:r w:rsidRPr="00E3132D">
        <w:rPr>
          <w:rFonts w:ascii="Times New Roman" w:eastAsia="Times New Roman" w:hAnsi="Times New Roman" w:cs="Times New Roman"/>
          <w:sz w:val="24"/>
          <w:szCs w:val="24"/>
          <w:lang w:val="en-US"/>
        </w:rPr>
        <w:t>textcolor</w:t>
      </w:r>
      <w:proofErr w:type="spellEnd"/>
      <w:r w:rsidRPr="00E3132D">
        <w:rPr>
          <w:rFonts w:ascii="Times New Roman" w:eastAsia="Times New Roman" w:hAnsi="Times New Roman" w:cs="Times New Roman"/>
          <w:sz w:val="24"/>
          <w:szCs w:val="24"/>
          <w:lang w:val="en-US"/>
        </w:rPr>
        <w:t>{red</w:t>
      </w:r>
      <w:proofErr w:type="gramStart"/>
      <w:r w:rsidRPr="00E3132D">
        <w:rPr>
          <w:rFonts w:ascii="Times New Roman" w:eastAsia="Times New Roman" w:hAnsi="Times New Roman" w:cs="Times New Roman"/>
          <w:sz w:val="24"/>
          <w:szCs w:val="24"/>
          <w:lang w:val="en-US"/>
        </w:rPr>
        <w:t>}{</w:t>
      </w:r>
      <w:proofErr w:type="gramEnd"/>
      <w:r w:rsidRPr="00E3132D">
        <w:rPr>
          <w:rFonts w:ascii="Times New Roman" w:eastAsia="Times New Roman" w:hAnsi="Times New Roman" w:cs="Times New Roman"/>
          <w:sz w:val="24"/>
          <w:szCs w:val="24"/>
          <w:lang w:val="en-US"/>
        </w:rPr>
        <w:t xml:space="preserve">AÑADIR REFERENCIA. ¿QUÉ ESTUDIO ENCUENTRA LA MISMA </w:t>
      </w:r>
      <w:proofErr w:type="gramStart"/>
      <w:r w:rsidRPr="00E3132D">
        <w:rPr>
          <w:rFonts w:ascii="Times New Roman" w:eastAsia="Times New Roman" w:hAnsi="Times New Roman" w:cs="Times New Roman"/>
          <w:sz w:val="24"/>
          <w:szCs w:val="24"/>
          <w:lang w:val="en-US"/>
        </w:rPr>
        <w:t>IDEA?}</w:t>
      </w:r>
      <w:proofErr w:type="gramEnd"/>
      <w:r w:rsidRPr="00E3132D">
        <w:rPr>
          <w:rFonts w:ascii="Times New Roman" w:eastAsia="Times New Roman" w:hAnsi="Times New Roman" w:cs="Times New Roman"/>
          <w:sz w:val="24"/>
          <w:szCs w:val="24"/>
          <w:lang w:val="en-US"/>
        </w:rPr>
        <w:t>].</w:t>
      </w:r>
    </w:p>
    <w:p w14:paraId="0C01EBCA" w14:textId="1FA33A9B" w:rsidR="00076701" w:rsidRPr="00B3355B" w:rsidRDefault="00076701" w:rsidP="00B3355B">
      <w:pPr>
        <w:pStyle w:val="Prrafodelista"/>
        <w:numPr>
          <w:ilvl w:val="0"/>
          <w:numId w:val="1"/>
        </w:numPr>
        <w:spacing w:after="160" w:line="259" w:lineRule="auto"/>
        <w:rPr>
          <w:rFonts w:ascii="Times New Roman" w:eastAsia="Times New Roman" w:hAnsi="Times New Roman" w:cs="Times New Roman"/>
          <w:sz w:val="24"/>
          <w:szCs w:val="24"/>
          <w:lang w:val="en-US"/>
        </w:rPr>
      </w:pPr>
      <w:r w:rsidRPr="00076701">
        <w:rPr>
          <w:rFonts w:ascii="Times New Roman" w:eastAsia="Times New Roman" w:hAnsi="Times New Roman" w:cs="Times New Roman"/>
          <w:sz w:val="24"/>
          <w:szCs w:val="24"/>
          <w:lang w:val="en-US"/>
        </w:rPr>
        <w:t xml:space="preserve">A single food source, pasteurized milk, </w:t>
      </w:r>
      <w:proofErr w:type="gramStart"/>
      <w:r w:rsidRPr="00076701">
        <w:rPr>
          <w:rFonts w:ascii="Times New Roman" w:eastAsia="Times New Roman" w:hAnsi="Times New Roman" w:cs="Times New Roman"/>
          <w:sz w:val="24"/>
          <w:szCs w:val="24"/>
          <w:lang w:val="en-US"/>
        </w:rPr>
        <w:t>drive</w:t>
      </w:r>
      <w:proofErr w:type="gramEnd"/>
      <w:r w:rsidRPr="00076701">
        <w:rPr>
          <w:rFonts w:ascii="Times New Roman" w:eastAsia="Times New Roman" w:hAnsi="Times New Roman" w:cs="Times New Roman"/>
          <w:sz w:val="24"/>
          <w:szCs w:val="24"/>
          <w:lang w:val="en-US"/>
        </w:rPr>
        <w:t xml:space="preserve"> this concentration, and it supplies between 64\% and 85\% of total dietary calcium in the optimal </w:t>
      </w:r>
      <w:proofErr w:type="spellStart"/>
      <w:r w:rsidRPr="00076701">
        <w:rPr>
          <w:rFonts w:ascii="Times New Roman" w:eastAsia="Times New Roman" w:hAnsi="Times New Roman" w:cs="Times New Roman"/>
          <w:sz w:val="24"/>
          <w:szCs w:val="24"/>
          <w:lang w:val="en-US"/>
        </w:rPr>
        <w:t>CoNA</w:t>
      </w:r>
      <w:proofErr w:type="spellEnd"/>
      <w:r w:rsidRPr="00076701">
        <w:rPr>
          <w:rFonts w:ascii="Times New Roman" w:eastAsia="Times New Roman" w:hAnsi="Times New Roman" w:cs="Times New Roman"/>
          <w:sz w:val="24"/>
          <w:szCs w:val="24"/>
          <w:lang w:val="en-US"/>
        </w:rPr>
        <w:t xml:space="preserve"> and between 97\% and 99\% of vitamin B12, which translates into a cost share of 35.1\% - 40.6\% of total minimum diet cost. Such dependence on a single food item, both nutritionally and economically, exposes </w:t>
      </w:r>
      <w:proofErr w:type="spellStart"/>
      <w:r w:rsidRPr="00076701">
        <w:rPr>
          <w:rFonts w:ascii="Times New Roman" w:eastAsia="Times New Roman" w:hAnsi="Times New Roman" w:cs="Times New Roman"/>
          <w:sz w:val="24"/>
          <w:szCs w:val="24"/>
          <w:lang w:val="en-US"/>
        </w:rPr>
        <w:t>CoNA</w:t>
      </w:r>
      <w:proofErr w:type="spellEnd"/>
      <w:r w:rsidRPr="00076701">
        <w:rPr>
          <w:rFonts w:ascii="Times New Roman" w:eastAsia="Times New Roman" w:hAnsi="Times New Roman" w:cs="Times New Roman"/>
          <w:sz w:val="24"/>
          <w:szCs w:val="24"/>
          <w:lang w:val="en-US"/>
        </w:rPr>
        <w:t xml:space="preserve"> to dairy price fluctuations, in line with evidence from middle-income countries where dairy products are relatively expensive and unsubsidized \</w:t>
      </w:r>
      <w:proofErr w:type="spellStart"/>
      <w:r w:rsidRPr="00076701">
        <w:rPr>
          <w:rFonts w:ascii="Times New Roman" w:eastAsia="Times New Roman" w:hAnsi="Times New Roman" w:cs="Times New Roman"/>
          <w:sz w:val="24"/>
          <w:szCs w:val="24"/>
          <w:lang w:val="en-US"/>
        </w:rPr>
        <w:t>textcolor</w:t>
      </w:r>
      <w:proofErr w:type="spellEnd"/>
      <w:r w:rsidRPr="00076701">
        <w:rPr>
          <w:rFonts w:ascii="Times New Roman" w:eastAsia="Times New Roman" w:hAnsi="Times New Roman" w:cs="Times New Roman"/>
          <w:sz w:val="24"/>
          <w:szCs w:val="24"/>
          <w:lang w:val="en-US"/>
        </w:rPr>
        <w:t>{red</w:t>
      </w:r>
      <w:proofErr w:type="gramStart"/>
      <w:r w:rsidRPr="00076701">
        <w:rPr>
          <w:rFonts w:ascii="Times New Roman" w:eastAsia="Times New Roman" w:hAnsi="Times New Roman" w:cs="Times New Roman"/>
          <w:sz w:val="24"/>
          <w:szCs w:val="24"/>
          <w:lang w:val="en-US"/>
        </w:rPr>
        <w:t>}{</w:t>
      </w:r>
      <w:proofErr w:type="gramEnd"/>
      <w:r w:rsidRPr="00076701">
        <w:rPr>
          <w:rFonts w:ascii="Times New Roman" w:eastAsia="Times New Roman" w:hAnsi="Times New Roman" w:cs="Times New Roman"/>
          <w:sz w:val="24"/>
          <w:szCs w:val="24"/>
          <w:lang w:val="en-US"/>
        </w:rPr>
        <w:t>(Passarelli et al., 2024; Bai et al., 2022b; HAY QUE REVISAR ESTAS REFERENCIAS)}.</w:t>
      </w:r>
      <w:r>
        <w:rPr>
          <w:rFonts w:ascii="Times New Roman" w:eastAsia="Times New Roman" w:hAnsi="Times New Roman" w:cs="Times New Roman"/>
          <w:sz w:val="24"/>
          <w:szCs w:val="24"/>
          <w:lang w:val="en-US"/>
        </w:rPr>
        <w:t xml:space="preserve"> </w:t>
      </w:r>
      <w:r w:rsidRPr="00076701">
        <w:rPr>
          <w:rFonts w:ascii="Times New Roman" w:eastAsia="Times New Roman" w:hAnsi="Times New Roman" w:cs="Times New Roman"/>
          <w:sz w:val="24"/>
          <w:szCs w:val="24"/>
          <w:highlight w:val="yellow"/>
          <w:lang w:val="en-US"/>
        </w:rPr>
        <w:t>(REEMPLAZAR A PASSARELLI)</w:t>
      </w:r>
    </w:p>
    <w:sectPr w:rsidR="00076701" w:rsidRPr="00B335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14922"/>
    <w:multiLevelType w:val="hybridMultilevel"/>
    <w:tmpl w:val="0E4E12AE"/>
    <w:lvl w:ilvl="0" w:tplc="0A223AF0">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82824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345"/>
    <w:rsid w:val="00076701"/>
    <w:rsid w:val="00226942"/>
    <w:rsid w:val="002C00E9"/>
    <w:rsid w:val="00373072"/>
    <w:rsid w:val="003B2013"/>
    <w:rsid w:val="006638B4"/>
    <w:rsid w:val="006B4345"/>
    <w:rsid w:val="00720858"/>
    <w:rsid w:val="00722DA4"/>
    <w:rsid w:val="00B3355B"/>
    <w:rsid w:val="00BA2F1A"/>
    <w:rsid w:val="00C32B58"/>
    <w:rsid w:val="00CB322F"/>
    <w:rsid w:val="00E7514D"/>
    <w:rsid w:val="00F076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26F24"/>
  <w15:chartTrackingRefBased/>
  <w15:docId w15:val="{74D81440-536C-4802-B557-8C9338E96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345"/>
    <w:pPr>
      <w:spacing w:after="0" w:line="264" w:lineRule="auto"/>
    </w:pPr>
    <w:rPr>
      <w:rFonts w:ascii="Aptos" w:eastAsia="Aptos" w:hAnsi="Aptos" w:cs="Aptos"/>
      <w:color w:val="000000"/>
      <w:lang w:eastAsia="es-CO"/>
    </w:rPr>
  </w:style>
  <w:style w:type="paragraph" w:styleId="Ttulo1">
    <w:name w:val="heading 1"/>
    <w:basedOn w:val="Normal"/>
    <w:next w:val="Normal"/>
    <w:link w:val="Ttulo1Car"/>
    <w:uiPriority w:val="9"/>
    <w:qFormat/>
    <w:rsid w:val="006B4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4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43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43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43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434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434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434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434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43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43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43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43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43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43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43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43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4345"/>
    <w:rPr>
      <w:rFonts w:eastAsiaTheme="majorEastAsia" w:cstheme="majorBidi"/>
      <w:color w:val="272727" w:themeColor="text1" w:themeTint="D8"/>
    </w:rPr>
  </w:style>
  <w:style w:type="paragraph" w:styleId="Ttulo">
    <w:name w:val="Title"/>
    <w:basedOn w:val="Normal"/>
    <w:next w:val="Normal"/>
    <w:link w:val="TtuloCar"/>
    <w:uiPriority w:val="10"/>
    <w:qFormat/>
    <w:rsid w:val="006B4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43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43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43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4345"/>
    <w:pPr>
      <w:spacing w:before="160"/>
      <w:jc w:val="center"/>
    </w:pPr>
    <w:rPr>
      <w:i/>
      <w:iCs/>
      <w:color w:val="404040" w:themeColor="text1" w:themeTint="BF"/>
    </w:rPr>
  </w:style>
  <w:style w:type="character" w:customStyle="1" w:styleId="CitaCar">
    <w:name w:val="Cita Car"/>
    <w:basedOn w:val="Fuentedeprrafopredeter"/>
    <w:link w:val="Cita"/>
    <w:uiPriority w:val="29"/>
    <w:rsid w:val="006B4345"/>
    <w:rPr>
      <w:i/>
      <w:iCs/>
      <w:color w:val="404040" w:themeColor="text1" w:themeTint="BF"/>
    </w:rPr>
  </w:style>
  <w:style w:type="paragraph" w:styleId="Prrafodelista">
    <w:name w:val="List Paragraph"/>
    <w:basedOn w:val="Normal"/>
    <w:uiPriority w:val="34"/>
    <w:qFormat/>
    <w:rsid w:val="006B4345"/>
    <w:pPr>
      <w:ind w:left="720"/>
      <w:contextualSpacing/>
    </w:pPr>
  </w:style>
  <w:style w:type="character" w:styleId="nfasisintenso">
    <w:name w:val="Intense Emphasis"/>
    <w:basedOn w:val="Fuentedeprrafopredeter"/>
    <w:uiPriority w:val="21"/>
    <w:qFormat/>
    <w:rsid w:val="006B4345"/>
    <w:rPr>
      <w:i/>
      <w:iCs/>
      <w:color w:val="0F4761" w:themeColor="accent1" w:themeShade="BF"/>
    </w:rPr>
  </w:style>
  <w:style w:type="paragraph" w:styleId="Citadestacada">
    <w:name w:val="Intense Quote"/>
    <w:basedOn w:val="Normal"/>
    <w:next w:val="Normal"/>
    <w:link w:val="CitadestacadaCar"/>
    <w:uiPriority w:val="30"/>
    <w:qFormat/>
    <w:rsid w:val="006B4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4345"/>
    <w:rPr>
      <w:i/>
      <w:iCs/>
      <w:color w:val="0F4761" w:themeColor="accent1" w:themeShade="BF"/>
    </w:rPr>
  </w:style>
  <w:style w:type="character" w:styleId="Referenciaintensa">
    <w:name w:val="Intense Reference"/>
    <w:basedOn w:val="Fuentedeprrafopredeter"/>
    <w:uiPriority w:val="32"/>
    <w:qFormat/>
    <w:rsid w:val="006B4345"/>
    <w:rPr>
      <w:b/>
      <w:bCs/>
      <w:smallCaps/>
      <w:color w:val="0F4761" w:themeColor="accent1" w:themeShade="BF"/>
      <w:spacing w:val="5"/>
    </w:rPr>
  </w:style>
  <w:style w:type="paragraph" w:customStyle="1" w:styleId="DocTitle">
    <w:name w:val="Doc Title"/>
    <w:basedOn w:val="Normal"/>
    <w:next w:val="Normal"/>
    <w:rsid w:val="006B43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798</TotalTime>
  <Pages>2</Pages>
  <Words>724</Words>
  <Characters>3983</Characters>
  <Application>Microsoft Office Word</Application>
  <DocSecurity>0</DocSecurity>
  <Lines>33</Lines>
  <Paragraphs>9</Paragraphs>
  <ScaleCrop>false</ScaleCrop>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Valdés Cárdenas</dc:creator>
  <cp:keywords/>
  <dc:description/>
  <cp:lastModifiedBy>Daniela Valdés Cárdenas</cp:lastModifiedBy>
  <cp:revision>8</cp:revision>
  <dcterms:created xsi:type="dcterms:W3CDTF">2026-07-16T21:55:00Z</dcterms:created>
  <dcterms:modified xsi:type="dcterms:W3CDTF">2026-07-17T21:01:00Z</dcterms:modified>
</cp:coreProperties>
</file>