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84E631" w14:textId="24E3D19A" w:rsidR="00D174F1" w:rsidRPr="00D174F1" w:rsidRDefault="00D174F1" w:rsidP="004160D4">
      <w:pPr>
        <w:rPr>
          <w:rFonts w:ascii="Candara" w:hAnsi="Candara"/>
          <w:b/>
          <w:bCs/>
        </w:rPr>
      </w:pPr>
      <w:bookmarkStart w:id="0" w:name="_GoBack"/>
      <w:bookmarkEnd w:id="0"/>
      <w:r w:rsidRPr="00CA4BBF">
        <w:rPr>
          <w:rFonts w:ascii="Candara" w:hAnsi="Candara"/>
          <w:b/>
          <w:bCs/>
        </w:rPr>
        <w:t>PÁ</w:t>
      </w:r>
      <w:r>
        <w:rPr>
          <w:rFonts w:ascii="Candara" w:hAnsi="Candara"/>
          <w:b/>
          <w:bCs/>
        </w:rPr>
        <w:t xml:space="preserve">RRAFO </w:t>
      </w:r>
      <w:r>
        <w:rPr>
          <w:rFonts w:ascii="Candara" w:hAnsi="Candara"/>
          <w:b/>
          <w:bCs/>
        </w:rPr>
        <w:t>5</w:t>
      </w:r>
    </w:p>
    <w:p w14:paraId="49B3E473" w14:textId="7432A974" w:rsidR="00D174F1" w:rsidRDefault="004160D4" w:rsidP="00104F23">
      <w:pPr>
        <w:rPr>
          <w:rFonts w:ascii="Tahoma" w:hAnsi="Tahoma" w:cs="Tahoma"/>
          <w:i/>
          <w:lang w:val="en-US"/>
        </w:rPr>
      </w:pPr>
      <w:r>
        <w:rPr>
          <w:rFonts w:ascii="Tahoma" w:hAnsi="Tahoma" w:cs="Tahoma"/>
          <w:i/>
        </w:rPr>
        <w:t xml:space="preserve">En el plano temporal, el costo y la asequibilidad de las dietas de mínimo costo cambian con la disponibilidad local de los alimentos, los precios relativos, los recursos de los hogares y los choques macroeconómicos. </w:t>
      </w:r>
      <w:r w:rsidRPr="004160D4">
        <w:rPr>
          <w:rFonts w:ascii="Tahoma" w:hAnsi="Tahoma" w:cs="Tahoma"/>
          <w:i/>
        </w:rPr>
        <w:t xml:space="preserve">Evidencia mensual proveniente de Ghana y Tanzania muestra que el costo de alcanzar la diversidad dietética mínima recomendada en Ghana aumentó cerca de 10 % anual por encima de la inflación a partir de 2010, impulsado principalmente por el alza sostenida en el precio relativo de la fruta; en el mismo periodo, el </w:t>
      </w:r>
      <w:proofErr w:type="spellStart"/>
      <w:r w:rsidRPr="004160D4">
        <w:rPr>
          <w:rFonts w:ascii="Tahoma" w:hAnsi="Tahoma" w:cs="Tahoma"/>
          <w:i/>
        </w:rPr>
        <w:t>CoNA</w:t>
      </w:r>
      <w:proofErr w:type="spellEnd"/>
      <w:r w:rsidRPr="004160D4">
        <w:rPr>
          <w:rFonts w:ascii="Tahoma" w:hAnsi="Tahoma" w:cs="Tahoma"/>
          <w:i/>
        </w:rPr>
        <w:t xml:space="preserve"> se incrementó de manera aún más acelerada, sobre todo por el mayor precio de los alimentos ricos en vitamina A y calcio (Masters et al., 2018).</w:t>
      </w:r>
      <w:r w:rsidR="00104F23" w:rsidRPr="00104F23">
        <w:t xml:space="preserve"> </w:t>
      </w:r>
      <w:r w:rsidR="00104F23" w:rsidRPr="00104F23">
        <w:rPr>
          <w:rFonts w:ascii="Tahoma" w:hAnsi="Tahoma" w:cs="Tahoma"/>
          <w:i/>
        </w:rPr>
        <w:t xml:space="preserve">El componente estacional es igualmente importante: en Etiopía, Malaui y Tanzania, y en general en el este de África, los incrementos sincronizados en los precios de los alimentos densos en nutrientes generan una marcada estacionalidad en el </w:t>
      </w:r>
      <w:proofErr w:type="spellStart"/>
      <w:r w:rsidR="00104F23" w:rsidRPr="00104F23">
        <w:rPr>
          <w:rFonts w:ascii="Tahoma" w:hAnsi="Tahoma" w:cs="Tahoma"/>
          <w:i/>
        </w:rPr>
        <w:t>CoNA</w:t>
      </w:r>
      <w:proofErr w:type="spellEnd"/>
      <w:r w:rsidR="00104F23" w:rsidRPr="00104F23">
        <w:rPr>
          <w:rFonts w:ascii="Tahoma" w:hAnsi="Tahoma" w:cs="Tahoma"/>
          <w:i/>
        </w:rPr>
        <w:t>, incluso cuando la sustitución entre alimentos disponibles amortigua parte de esa variación (Bai et al., 2020). La pandemia de COVID-19 ilustró con claridad que la asequibilidad de la dieta puede deteriorarse por cambios simultáneos en los precios de los alimentos y en el poder adquisitivo de los hogares: estimaciones basadas en modelos de equilibrio general para 63 países de ingreso bajo y medio sugirieron que la proporción de personas incapaces de costear siquiera la mitad de una dieta saludable podría aumentar de 43 % a 50 % por el efecto combinado de la pérdida de ingresos y los cambios de precios (Laborde et al., 2021).</w:t>
      </w:r>
      <w:r w:rsidR="00104F23">
        <w:rPr>
          <w:rFonts w:ascii="Tahoma" w:hAnsi="Tahoma" w:cs="Tahoma"/>
          <w:i/>
        </w:rPr>
        <w:t xml:space="preserve"> </w:t>
      </w:r>
      <w:r w:rsidR="00104F23" w:rsidRPr="00104F23">
        <w:rPr>
          <w:rFonts w:ascii="Tahoma" w:hAnsi="Tahoma" w:cs="Tahoma"/>
          <w:i/>
          <w:lang w:val="en-US"/>
        </w:rPr>
        <w:t>Furthermore, evidence suggests that temporary</w:t>
      </w:r>
      <w:r w:rsidR="00104F23">
        <w:rPr>
          <w:rFonts w:ascii="Tahoma" w:hAnsi="Tahoma" w:cs="Tahoma"/>
          <w:i/>
          <w:lang w:val="en-US"/>
        </w:rPr>
        <w:t xml:space="preserve"> </w:t>
      </w:r>
      <w:r w:rsidR="00104F23" w:rsidRPr="00104F23">
        <w:rPr>
          <w:rFonts w:ascii="Tahoma" w:hAnsi="Tahoma" w:cs="Tahoma"/>
          <w:i/>
          <w:lang w:val="en-US"/>
        </w:rPr>
        <w:t xml:space="preserve">income support during the pandemic improved the </w:t>
      </w:r>
      <w:proofErr w:type="spellStart"/>
      <w:r w:rsidR="00104F23" w:rsidRPr="00104F23">
        <w:rPr>
          <w:rFonts w:ascii="Tahoma" w:hAnsi="Tahoma" w:cs="Tahoma"/>
          <w:i/>
          <w:lang w:val="en-US"/>
        </w:rPr>
        <w:t>shortterm</w:t>
      </w:r>
      <w:proofErr w:type="spellEnd"/>
      <w:r w:rsidR="00104F23" w:rsidRPr="00104F23">
        <w:rPr>
          <w:rFonts w:ascii="Tahoma" w:hAnsi="Tahoma" w:cs="Tahoma"/>
          <w:i/>
          <w:lang w:val="en-US"/>
        </w:rPr>
        <w:t xml:space="preserve"> affordability of healthy diets, but this effect reversed</w:t>
      </w:r>
      <w:r w:rsidR="00104F23">
        <w:rPr>
          <w:rFonts w:ascii="Tahoma" w:hAnsi="Tahoma" w:cs="Tahoma"/>
          <w:i/>
          <w:lang w:val="en-US"/>
        </w:rPr>
        <w:t xml:space="preserve"> </w:t>
      </w:r>
      <w:r w:rsidR="00104F23" w:rsidRPr="00104F23">
        <w:rPr>
          <w:rFonts w:ascii="Tahoma" w:hAnsi="Tahoma" w:cs="Tahoma"/>
          <w:i/>
          <w:lang w:val="en-US"/>
        </w:rPr>
        <w:t>abruptly when the observation period extends beyond the</w:t>
      </w:r>
      <w:r w:rsidR="00104F23">
        <w:rPr>
          <w:rFonts w:ascii="Tahoma" w:hAnsi="Tahoma" w:cs="Tahoma"/>
          <w:i/>
          <w:lang w:val="en-US"/>
        </w:rPr>
        <w:t xml:space="preserve"> </w:t>
      </w:r>
      <w:r w:rsidR="00104F23" w:rsidRPr="00104F23">
        <w:rPr>
          <w:rFonts w:ascii="Tahoma" w:hAnsi="Tahoma" w:cs="Tahoma"/>
          <w:i/>
          <w:lang w:val="en-US"/>
        </w:rPr>
        <w:t>first year after the shock (Lee et al. 2021; Lewis et al. 2023).</w:t>
      </w:r>
    </w:p>
    <w:p w14:paraId="5FEBAC4F" w14:textId="71BD64E9" w:rsidR="00D174F1" w:rsidRPr="00D174F1" w:rsidRDefault="00D174F1" w:rsidP="00104F23">
      <w:pPr>
        <w:rPr>
          <w:rFonts w:ascii="Candara" w:hAnsi="Candara"/>
          <w:b/>
          <w:bCs/>
        </w:rPr>
      </w:pPr>
      <w:r w:rsidRPr="00CA4BBF">
        <w:rPr>
          <w:rFonts w:ascii="Candara" w:hAnsi="Candara"/>
          <w:b/>
          <w:bCs/>
        </w:rPr>
        <w:t>PÁ</w:t>
      </w:r>
      <w:r>
        <w:rPr>
          <w:rFonts w:ascii="Candara" w:hAnsi="Candara"/>
          <w:b/>
          <w:bCs/>
        </w:rPr>
        <w:t xml:space="preserve">RRAFO </w:t>
      </w:r>
      <w:r>
        <w:rPr>
          <w:rFonts w:ascii="Candara" w:hAnsi="Candara"/>
          <w:b/>
          <w:bCs/>
        </w:rPr>
        <w:t>6</w:t>
      </w:r>
    </w:p>
    <w:p w14:paraId="32A5B4DD" w14:textId="154FDADC" w:rsidR="00271359" w:rsidRDefault="00104F23" w:rsidP="00271359">
      <w:pPr>
        <w:rPr>
          <w:rFonts w:ascii="Tahoma" w:hAnsi="Tahoma" w:cs="Tahoma"/>
          <w:i/>
        </w:rPr>
      </w:pPr>
      <w:r>
        <w:rPr>
          <w:rFonts w:ascii="Tahoma" w:hAnsi="Tahoma" w:cs="Tahoma"/>
          <w:i/>
        </w:rPr>
        <w:t xml:space="preserve">Los </w:t>
      </w:r>
      <w:r w:rsidRPr="00104F23">
        <w:rPr>
          <w:rFonts w:ascii="Tahoma" w:hAnsi="Tahoma" w:cs="Tahoma"/>
        </w:rPr>
        <w:t xml:space="preserve">promedios nacionales, sin embargo, usualmente ocultan diferencias sustanciales en disponibilidad de alimentos, distribución de ingresos, acceso a mercados y desempeño de las cadenas de suministros. </w:t>
      </w:r>
      <w:r w:rsidRPr="00104F23">
        <w:rPr>
          <w:rFonts w:ascii="Tahoma" w:hAnsi="Tahoma" w:cs="Tahoma"/>
        </w:rPr>
        <w:t xml:space="preserve">Análisis subnacionales en Bangladesh, Bután, India y Nepal han </w:t>
      </w:r>
      <w:r w:rsidRPr="00104F23">
        <w:rPr>
          <w:rFonts w:ascii="Tahoma" w:hAnsi="Tahoma" w:cs="Tahoma"/>
          <w:i/>
        </w:rPr>
        <w:t xml:space="preserve">documentado diferenciales de costo de hasta 133 % entre unidades administrativas, magnitudes comparables a las observadas entre países de una misma región; dentro de cada país, la relación entre el costo de la dieta y la </w:t>
      </w:r>
      <w:proofErr w:type="spellStart"/>
      <w:r w:rsidRPr="00104F23">
        <w:rPr>
          <w:rFonts w:ascii="Tahoma" w:hAnsi="Tahoma" w:cs="Tahoma"/>
          <w:i/>
        </w:rPr>
        <w:t>inasequibilidad</w:t>
      </w:r>
      <w:proofErr w:type="spellEnd"/>
      <w:r w:rsidRPr="00104F23">
        <w:rPr>
          <w:rFonts w:ascii="Tahoma" w:hAnsi="Tahoma" w:cs="Tahoma"/>
          <w:i/>
        </w:rPr>
        <w:t xml:space="preserve"> varía según si el precio local o los recursos del hogar constituyen la restricción más vinculante (</w:t>
      </w:r>
      <w:proofErr w:type="spellStart"/>
      <w:r w:rsidRPr="00104F23">
        <w:rPr>
          <w:rFonts w:ascii="Tahoma" w:hAnsi="Tahoma" w:cs="Tahoma"/>
          <w:i/>
        </w:rPr>
        <w:t>Dizon</w:t>
      </w:r>
      <w:proofErr w:type="spellEnd"/>
      <w:r w:rsidRPr="00104F23">
        <w:rPr>
          <w:rFonts w:ascii="Tahoma" w:hAnsi="Tahoma" w:cs="Tahoma"/>
          <w:i/>
        </w:rPr>
        <w:t xml:space="preserve"> et al., 2021).</w:t>
      </w:r>
      <w:r w:rsidRPr="00104F23">
        <w:rPr>
          <w:rFonts w:ascii="Tahoma" w:hAnsi="Tahoma" w:cs="Tahoma"/>
          <w:i/>
        </w:rPr>
        <w:t xml:space="preserve"> </w:t>
      </w:r>
      <w:r w:rsidRPr="00104F23">
        <w:rPr>
          <w:rFonts w:ascii="Tahoma" w:hAnsi="Tahoma" w:cs="Tahoma"/>
          <w:i/>
        </w:rPr>
        <w:t>Evidencia relacionada para países africanos muestra que las canastas construidas con precios y patrones de consumo locales capturan diferencias geográficas que las estimaciones nacionales no logran identificar, lo que respalda el uso de indicadores espacialmente desagregados para focalizar intervenciones de política alimentaria y de protección social (Latino et al., 2024). Estudios de monitoreo por país muestran también que los datos mensuales y subnacionales de precios pueden revelar patrones estacionales y regionales en la contribución de grupos específicos de alimentos al costo total, como se ha documentado para Vietnam y Etiopía (</w:t>
      </w:r>
      <w:proofErr w:type="spellStart"/>
      <w:r w:rsidRPr="00104F23">
        <w:rPr>
          <w:rFonts w:ascii="Tahoma" w:hAnsi="Tahoma" w:cs="Tahoma"/>
          <w:i/>
        </w:rPr>
        <w:t>Alemayehu</w:t>
      </w:r>
      <w:proofErr w:type="spellEnd"/>
      <w:r w:rsidRPr="00104F23">
        <w:rPr>
          <w:rFonts w:ascii="Tahoma" w:hAnsi="Tahoma" w:cs="Tahoma"/>
          <w:i/>
        </w:rPr>
        <w:t xml:space="preserve"> et al., 2023; Van et al., 2024)</w:t>
      </w:r>
      <w:r>
        <w:rPr>
          <w:rStyle w:val="Refdenotaalpie"/>
          <w:rFonts w:ascii="Tahoma" w:hAnsi="Tahoma" w:cs="Tahoma"/>
          <w:i/>
        </w:rPr>
        <w:footnoteReference w:id="1"/>
      </w:r>
      <w:r w:rsidRPr="00104F23">
        <w:rPr>
          <w:rFonts w:ascii="Tahoma" w:hAnsi="Tahoma" w:cs="Tahoma"/>
          <w:i/>
        </w:rPr>
        <w:t>.</w:t>
      </w:r>
    </w:p>
    <w:p w14:paraId="338BDD8C" w14:textId="10FBFB44" w:rsidR="00D174F1" w:rsidRPr="00D174F1" w:rsidRDefault="00D174F1" w:rsidP="00271359">
      <w:pPr>
        <w:rPr>
          <w:rFonts w:ascii="Candara" w:hAnsi="Candara"/>
          <w:b/>
          <w:bCs/>
        </w:rPr>
      </w:pPr>
      <w:r w:rsidRPr="00CA4BBF">
        <w:rPr>
          <w:rFonts w:ascii="Candara" w:hAnsi="Candara"/>
          <w:b/>
          <w:bCs/>
        </w:rPr>
        <w:lastRenderedPageBreak/>
        <w:t>PÁ</w:t>
      </w:r>
      <w:r>
        <w:rPr>
          <w:rFonts w:ascii="Candara" w:hAnsi="Candara"/>
          <w:b/>
          <w:bCs/>
        </w:rPr>
        <w:t xml:space="preserve">RRAFO </w:t>
      </w:r>
      <w:r>
        <w:rPr>
          <w:rFonts w:ascii="Candara" w:hAnsi="Candara"/>
          <w:b/>
          <w:bCs/>
        </w:rPr>
        <w:t>7</w:t>
      </w:r>
    </w:p>
    <w:p w14:paraId="6AB5F0C0" w14:textId="569BB3C9" w:rsidR="00D174F1" w:rsidRDefault="00104F23" w:rsidP="00271359">
      <w:pPr>
        <w:rPr>
          <w:rFonts w:ascii="Tahoma" w:hAnsi="Tahoma" w:cs="Tahoma"/>
          <w:i/>
        </w:rPr>
      </w:pPr>
      <w:r w:rsidRPr="00742B06">
        <w:rPr>
          <w:rFonts w:ascii="Tahoma" w:hAnsi="Tahoma" w:cs="Tahoma"/>
          <w:i/>
        </w:rPr>
        <w:t xml:space="preserve">Colombia constituye un contexto particularmente apropiado para examinar la interacción entre la variación temporal y subnacional de las dietas de mínimo costo y su asequibilidad. Las tres ciudades más importantes del país, Bogotá, Medellín y Cali comparten un mismo entorno de política nacional; sin embargo, exhiben estructuras de mercado, corredores de abastecimiento y dinámicas de ajuste de precios claramente distintas. </w:t>
      </w:r>
      <w:r w:rsidRPr="00742B06">
        <w:rPr>
          <w:rFonts w:ascii="Tahoma" w:hAnsi="Tahoma" w:cs="Tahoma"/>
          <w:i/>
          <w:lang w:val="en-US"/>
        </w:rPr>
        <w:t>Prior research reveals that, across Colombia’s main cities, price adjustments for perishable foods are significantly slower than for storable foods and that price shocks tend to persist especially in cities like Cali, in contrast to Bogota and Medell</w:t>
      </w:r>
      <w:r w:rsidR="003D753B" w:rsidRPr="00742B06">
        <w:rPr>
          <w:rFonts w:ascii="Tahoma" w:hAnsi="Tahoma" w:cs="Tahoma"/>
          <w:i/>
          <w:lang w:val="en-US"/>
        </w:rPr>
        <w:t>i</w:t>
      </w:r>
      <w:r w:rsidRPr="00742B06">
        <w:rPr>
          <w:rFonts w:ascii="Tahoma" w:hAnsi="Tahoma" w:cs="Tahoma"/>
          <w:i/>
          <w:lang w:val="en-US"/>
        </w:rPr>
        <w:t>n (</w:t>
      </w:r>
      <w:proofErr w:type="spellStart"/>
      <w:r w:rsidRPr="00742B06">
        <w:rPr>
          <w:rFonts w:ascii="Tahoma" w:hAnsi="Tahoma" w:cs="Tahoma"/>
          <w:i/>
          <w:lang w:val="en-US"/>
        </w:rPr>
        <w:t>Iregui</w:t>
      </w:r>
      <w:proofErr w:type="spellEnd"/>
      <w:r w:rsidRPr="00742B06">
        <w:rPr>
          <w:rFonts w:ascii="Tahoma" w:hAnsi="Tahoma" w:cs="Tahoma"/>
          <w:i/>
          <w:lang w:val="en-US"/>
        </w:rPr>
        <w:t xml:space="preserve"> and Otero 2017; </w:t>
      </w:r>
      <w:proofErr w:type="spellStart"/>
      <w:r w:rsidRPr="00742B06">
        <w:rPr>
          <w:rFonts w:ascii="Tahoma" w:hAnsi="Tahoma" w:cs="Tahoma"/>
          <w:i/>
          <w:lang w:val="en-US"/>
        </w:rPr>
        <w:t>Gafaro</w:t>
      </w:r>
      <w:proofErr w:type="spellEnd"/>
      <w:r w:rsidRPr="00742B06">
        <w:rPr>
          <w:rFonts w:ascii="Tahoma" w:hAnsi="Tahoma" w:cs="Tahoma"/>
          <w:i/>
          <w:lang w:val="en-US"/>
        </w:rPr>
        <w:t xml:space="preserve"> et al.</w:t>
      </w:r>
      <w:r w:rsidRPr="00742B06">
        <w:rPr>
          <w:rFonts w:ascii="Tahoma" w:hAnsi="Tahoma" w:cs="Tahoma"/>
          <w:i/>
          <w:lang w:val="en-US"/>
        </w:rPr>
        <w:t xml:space="preserve">, </w:t>
      </w:r>
      <w:r w:rsidRPr="00742B06">
        <w:rPr>
          <w:rFonts w:ascii="Tahoma" w:hAnsi="Tahoma" w:cs="Tahoma"/>
          <w:i/>
          <w:lang w:val="en-US"/>
        </w:rPr>
        <w:t>2020), a pattern that unfolds in a setting where Cali exhibits structural dependence on external supply flows and a highly concentrated retail market (Temple et al. 2015; Rankin et al. 2021).</w:t>
      </w:r>
      <w:r w:rsidR="003D753B" w:rsidRPr="00742B06">
        <w:rPr>
          <w:rFonts w:ascii="Tahoma" w:hAnsi="Tahoma" w:cs="Tahoma"/>
          <w:i/>
          <w:lang w:val="en-US"/>
        </w:rPr>
        <w:t xml:space="preserve"> </w:t>
      </w:r>
      <w:r w:rsidR="00271359" w:rsidRPr="00742B06">
        <w:rPr>
          <w:rFonts w:ascii="Tahoma" w:hAnsi="Tahoma" w:cs="Tahoma"/>
          <w:i/>
          <w:lang w:val="en-US"/>
        </w:rPr>
        <w:t>Existing research has already established a cross-sectional benchmark for urban households in Cali</w:t>
      </w:r>
      <w:r w:rsidR="00742B06" w:rsidRPr="00742B06">
        <w:rPr>
          <w:rFonts w:ascii="Tahoma" w:hAnsi="Tahoma" w:cs="Tahoma"/>
          <w:i/>
          <w:lang w:val="en-US"/>
        </w:rPr>
        <w:t xml:space="preserve"> for September 2022</w:t>
      </w:r>
      <w:r w:rsidR="00271359" w:rsidRPr="00742B06">
        <w:rPr>
          <w:rFonts w:ascii="Tahoma" w:hAnsi="Tahoma" w:cs="Tahoma"/>
          <w:i/>
          <w:lang w:val="en-US"/>
        </w:rPr>
        <w:t xml:space="preserve">, showing that the transition from caloric sufficiency to nutrient adequacy and adherence to Colombian food-based dietary guidelines entails substantial cost increases and leaves part of the urban population unable to afford higher-quality diets (Yoshioka Vargas et al., 2026). </w:t>
      </w:r>
      <w:r w:rsidR="003D753B" w:rsidRPr="00742B06">
        <w:rPr>
          <w:rFonts w:ascii="Tahoma" w:hAnsi="Tahoma" w:cs="Tahoma"/>
          <w:i/>
          <w:lang w:val="en-US"/>
        </w:rPr>
        <w:t xml:space="preserve">A similar cross-sectional study provides a cross-sectional benchmark for Bogotá </w:t>
      </w:r>
      <w:r w:rsidR="00742B06" w:rsidRPr="00742B06">
        <w:rPr>
          <w:rFonts w:ascii="Tahoma" w:hAnsi="Tahoma" w:cs="Tahoma"/>
          <w:i/>
          <w:lang w:val="en-US"/>
        </w:rPr>
        <w:t xml:space="preserve">for the same period of reference, as an empirical application of </w:t>
      </w:r>
      <w:proofErr w:type="spellStart"/>
      <w:r w:rsidR="00742B06" w:rsidRPr="00742B06">
        <w:rPr>
          <w:rFonts w:ascii="Tahoma" w:hAnsi="Tahoma" w:cs="Tahoma"/>
          <w:i/>
          <w:lang w:val="en-US"/>
        </w:rPr>
        <w:t>th</w:t>
      </w:r>
      <w:proofErr w:type="spellEnd"/>
      <w:r w:rsidR="00742B06" w:rsidRPr="00742B06">
        <w:rPr>
          <w:rFonts w:ascii="Tahoma" w:hAnsi="Tahoma" w:cs="Tahoma"/>
          <w:i/>
          <w:lang w:val="en-US"/>
        </w:rPr>
        <w:t xml:space="preserve"> R Package </w:t>
      </w:r>
      <w:proofErr w:type="spellStart"/>
      <w:r w:rsidR="00742B06" w:rsidRPr="00742B06">
        <w:rPr>
          <w:rFonts w:ascii="Tahoma" w:hAnsi="Tahoma" w:cs="Tahoma"/>
          <w:i/>
          <w:lang w:val="en-US"/>
        </w:rPr>
        <w:t>FoodpriceR</w:t>
      </w:r>
      <w:proofErr w:type="spellEnd"/>
      <w:r w:rsidR="00742B06" w:rsidRPr="00742B06">
        <w:rPr>
          <w:rFonts w:ascii="Tahoma" w:hAnsi="Tahoma" w:cs="Tahoma"/>
          <w:i/>
          <w:lang w:val="en-US"/>
        </w:rPr>
        <w:t xml:space="preserve">, a R package for assessing the affordability of least-cost diets. </w:t>
      </w:r>
      <w:r w:rsidR="00742B06" w:rsidRPr="00742B06">
        <w:rPr>
          <w:rFonts w:ascii="Tahoma" w:hAnsi="Tahoma" w:cs="Tahoma"/>
          <w:i/>
        </w:rPr>
        <w:t xml:space="preserve">No obstante, la literatura aún no ha ofrecido una evaluación longitudinal común del </w:t>
      </w:r>
      <w:proofErr w:type="spellStart"/>
      <w:r w:rsidR="00742B06" w:rsidRPr="00742B06">
        <w:rPr>
          <w:rFonts w:ascii="Tahoma" w:hAnsi="Tahoma" w:cs="Tahoma"/>
          <w:i/>
        </w:rPr>
        <w:t>CoCA</w:t>
      </w:r>
      <w:proofErr w:type="spellEnd"/>
      <w:r w:rsidR="00742B06" w:rsidRPr="00742B06">
        <w:rPr>
          <w:rFonts w:ascii="Tahoma" w:hAnsi="Tahoma" w:cs="Tahoma"/>
          <w:i/>
        </w:rPr>
        <w:t xml:space="preserve">, el </w:t>
      </w:r>
      <w:proofErr w:type="spellStart"/>
      <w:r w:rsidR="00742B06" w:rsidRPr="00742B06">
        <w:rPr>
          <w:rFonts w:ascii="Tahoma" w:hAnsi="Tahoma" w:cs="Tahoma"/>
          <w:i/>
        </w:rPr>
        <w:t>CoNA</w:t>
      </w:r>
      <w:proofErr w:type="spellEnd"/>
      <w:r w:rsidR="00742B06" w:rsidRPr="00742B06">
        <w:rPr>
          <w:rFonts w:ascii="Tahoma" w:hAnsi="Tahoma" w:cs="Tahoma"/>
          <w:i/>
        </w:rPr>
        <w:t xml:space="preserve"> y el </w:t>
      </w:r>
      <w:proofErr w:type="spellStart"/>
      <w:r w:rsidR="00742B06" w:rsidRPr="00742B06">
        <w:rPr>
          <w:rFonts w:ascii="Tahoma" w:hAnsi="Tahoma" w:cs="Tahoma"/>
          <w:i/>
        </w:rPr>
        <w:t>CoRD</w:t>
      </w:r>
      <w:proofErr w:type="spellEnd"/>
      <w:r w:rsidR="00742B06" w:rsidRPr="00742B06">
        <w:rPr>
          <w:rFonts w:ascii="Tahoma" w:hAnsi="Tahoma" w:cs="Tahoma"/>
          <w:i/>
        </w:rPr>
        <w:t xml:space="preserve"> para las tres principales economías urbanas del país durante el periodo pandémico y la posterior fase inflacionaria.</w:t>
      </w:r>
    </w:p>
    <w:p w14:paraId="54C2A48C" w14:textId="705AACF0" w:rsidR="00D174F1" w:rsidRPr="00D174F1" w:rsidRDefault="00D174F1" w:rsidP="00271359">
      <w:pPr>
        <w:rPr>
          <w:rFonts w:ascii="Candara" w:hAnsi="Candara"/>
          <w:b/>
          <w:bCs/>
        </w:rPr>
      </w:pPr>
      <w:r w:rsidRPr="00CA4BBF">
        <w:rPr>
          <w:rFonts w:ascii="Candara" w:hAnsi="Candara"/>
          <w:b/>
          <w:bCs/>
        </w:rPr>
        <w:t>PÁ</w:t>
      </w:r>
      <w:r>
        <w:rPr>
          <w:rFonts w:ascii="Candara" w:hAnsi="Candara"/>
          <w:b/>
          <w:bCs/>
        </w:rPr>
        <w:t xml:space="preserve">RRAFO </w:t>
      </w:r>
      <w:r>
        <w:rPr>
          <w:rFonts w:ascii="Candara" w:hAnsi="Candara"/>
          <w:b/>
          <w:bCs/>
        </w:rPr>
        <w:t>8</w:t>
      </w:r>
    </w:p>
    <w:p w14:paraId="1C46E55F" w14:textId="61A96560" w:rsidR="00271359" w:rsidRDefault="00742B06" w:rsidP="00271359">
      <w:pPr>
        <w:rPr>
          <w:rFonts w:ascii="Tahoma" w:hAnsi="Tahoma" w:cs="Tahoma"/>
          <w:i/>
          <w:lang w:val="en-US"/>
        </w:rPr>
      </w:pPr>
      <w:r w:rsidRPr="00742B06">
        <w:rPr>
          <w:rFonts w:ascii="Tahoma" w:hAnsi="Tahoma" w:cs="Tahoma"/>
          <w:i/>
        </w:rPr>
        <w:t xml:space="preserve">En este contexto, el presente estudio estima el costo y la asequibilidad de las dietas de </w:t>
      </w:r>
      <w:r w:rsidRPr="00A0396D">
        <w:rPr>
          <w:rFonts w:ascii="Tahoma" w:hAnsi="Tahoma" w:cs="Tahoma"/>
          <w:i/>
        </w:rPr>
        <w:t xml:space="preserve">mínimo costo para Bogotá, Medellín y Cali entre enero de 2019 y diciembre de 2024, con datos de frecuencia mensual. </w:t>
      </w:r>
      <w:r w:rsidR="00271359" w:rsidRPr="00A0396D">
        <w:rPr>
          <w:rFonts w:ascii="Tahoma" w:hAnsi="Tahoma" w:cs="Tahoma"/>
          <w:i/>
          <w:lang w:val="en-US"/>
        </w:rPr>
        <w:t>The analysis uses a constructed monthly item-level price panel that combines the last available observed prices for foods in the Consumer Price Index basket with subsequent city- and subclass-specific CPI movements, allowing individual food prices to evolve according to estimated pass-through parameters. Food items are matched with the Colombian Food Composition Table, while energy and nutrient requirements are differentiated by age and sex and the recommended diet is defined using the Colombian Food-Based Dietary Guidelines</w:t>
      </w:r>
      <w:r w:rsidR="00A0396D" w:rsidRPr="00A0396D">
        <w:rPr>
          <w:rFonts w:ascii="Tahoma" w:hAnsi="Tahoma" w:cs="Tahoma"/>
          <w:i/>
          <w:lang w:val="en-US"/>
        </w:rPr>
        <w:t xml:space="preserve"> (ICBF). </w:t>
      </w:r>
      <w:r w:rsidR="00271359" w:rsidRPr="00A0396D">
        <w:rPr>
          <w:rFonts w:ascii="Tahoma" w:hAnsi="Tahoma" w:cs="Tahoma"/>
          <w:i/>
          <w:lang w:val="en-US"/>
        </w:rPr>
        <w:t>The empirical unit is a representative three-person household composed of an adult man, an adult woman, and an adolescent girl, for whom individualized diet costs are estimated separately and subsequently aggregated on a per capita basis.</w:t>
      </w:r>
    </w:p>
    <w:p w14:paraId="3AA30D2F" w14:textId="273E5915" w:rsidR="00D174F1" w:rsidRPr="00D174F1" w:rsidRDefault="00D174F1" w:rsidP="00271359">
      <w:pPr>
        <w:rPr>
          <w:rFonts w:ascii="Candara" w:hAnsi="Candara"/>
          <w:b/>
          <w:bCs/>
        </w:rPr>
      </w:pPr>
      <w:r w:rsidRPr="00CA4BBF">
        <w:rPr>
          <w:rFonts w:ascii="Candara" w:hAnsi="Candara"/>
          <w:b/>
          <w:bCs/>
        </w:rPr>
        <w:t>PÁ</w:t>
      </w:r>
      <w:r>
        <w:rPr>
          <w:rFonts w:ascii="Candara" w:hAnsi="Candara"/>
          <w:b/>
          <w:bCs/>
        </w:rPr>
        <w:t xml:space="preserve">RRAFO </w:t>
      </w:r>
      <w:r>
        <w:rPr>
          <w:rFonts w:ascii="Candara" w:hAnsi="Candara"/>
          <w:b/>
          <w:bCs/>
        </w:rPr>
        <w:t>9</w:t>
      </w:r>
    </w:p>
    <w:p w14:paraId="515FADF1" w14:textId="1DEC4722" w:rsidR="00A0396D" w:rsidRDefault="00A0396D" w:rsidP="00271359">
      <w:pPr>
        <w:rPr>
          <w:rFonts w:ascii="Tahoma" w:hAnsi="Tahoma" w:cs="Tahoma"/>
          <w:i/>
        </w:rPr>
      </w:pPr>
      <w:r w:rsidRPr="00A0396D">
        <w:rPr>
          <w:rFonts w:ascii="Tahoma" w:hAnsi="Tahoma" w:cs="Tahoma"/>
          <w:i/>
        </w:rPr>
        <w:t xml:space="preserve">El estudio realiza cuatro contribuciones principales a la literatura. Primero, estima el </w:t>
      </w:r>
      <w:proofErr w:type="spellStart"/>
      <w:r w:rsidRPr="00A0396D">
        <w:rPr>
          <w:rFonts w:ascii="Tahoma" w:hAnsi="Tahoma" w:cs="Tahoma"/>
          <w:i/>
        </w:rPr>
        <w:t>CoCA</w:t>
      </w:r>
      <w:proofErr w:type="spellEnd"/>
      <w:r w:rsidRPr="00A0396D">
        <w:rPr>
          <w:rFonts w:ascii="Tahoma" w:hAnsi="Tahoma" w:cs="Tahoma"/>
          <w:i/>
        </w:rPr>
        <w:t xml:space="preserve">, el </w:t>
      </w:r>
      <w:proofErr w:type="spellStart"/>
      <w:r w:rsidRPr="00A0396D">
        <w:rPr>
          <w:rFonts w:ascii="Tahoma" w:hAnsi="Tahoma" w:cs="Tahoma"/>
          <w:i/>
        </w:rPr>
        <w:t>CoNA</w:t>
      </w:r>
      <w:proofErr w:type="spellEnd"/>
      <w:r w:rsidRPr="00A0396D">
        <w:rPr>
          <w:rFonts w:ascii="Tahoma" w:hAnsi="Tahoma" w:cs="Tahoma"/>
          <w:i/>
        </w:rPr>
        <w:t xml:space="preserve"> y el </w:t>
      </w:r>
      <w:proofErr w:type="spellStart"/>
      <w:r w:rsidRPr="00A0396D">
        <w:rPr>
          <w:rFonts w:ascii="Tahoma" w:hAnsi="Tahoma" w:cs="Tahoma"/>
          <w:i/>
        </w:rPr>
        <w:t>CoRD</w:t>
      </w:r>
      <w:proofErr w:type="spellEnd"/>
      <w:r w:rsidRPr="00A0396D">
        <w:rPr>
          <w:rFonts w:ascii="Tahoma" w:hAnsi="Tahoma" w:cs="Tahoma"/>
          <w:i/>
        </w:rPr>
        <w:t xml:space="preserve"> bajo un marco común de precios, demografía y geografía, lo que permite comparar entre ciudades y a lo largo del tiempo las primas asociadas con la adecuación de nutrientes y el cumplimiento de las guías alimentarias nacionales (</w:t>
      </w:r>
      <w:proofErr w:type="spellStart"/>
      <w:r w:rsidRPr="00A0396D">
        <w:rPr>
          <w:rFonts w:ascii="Tahoma" w:hAnsi="Tahoma" w:cs="Tahoma"/>
          <w:i/>
        </w:rPr>
        <w:t>Herforth</w:t>
      </w:r>
      <w:proofErr w:type="spellEnd"/>
      <w:r w:rsidRPr="00A0396D">
        <w:rPr>
          <w:rFonts w:ascii="Tahoma" w:hAnsi="Tahoma" w:cs="Tahoma"/>
          <w:i/>
        </w:rPr>
        <w:t xml:space="preserve"> et al., 2020; Masters et al., 2018). Segundo, utiliza la solución dual del modelo de programación lineal del </w:t>
      </w:r>
      <w:proofErr w:type="spellStart"/>
      <w:r w:rsidRPr="00A0396D">
        <w:rPr>
          <w:rFonts w:ascii="Tahoma" w:hAnsi="Tahoma" w:cs="Tahoma"/>
          <w:i/>
        </w:rPr>
        <w:t>CoNA</w:t>
      </w:r>
      <w:proofErr w:type="spellEnd"/>
      <w:r w:rsidRPr="00A0396D">
        <w:rPr>
          <w:rFonts w:ascii="Tahoma" w:hAnsi="Tahoma" w:cs="Tahoma"/>
          <w:i/>
        </w:rPr>
        <w:t xml:space="preserve"> para identificar los nutrientes limitantes y estimar elasticidades de precio sombra, cuantificando así el efecto marginal de cada requerimiento </w:t>
      </w:r>
      <w:r w:rsidRPr="00A0396D">
        <w:rPr>
          <w:rFonts w:ascii="Tahoma" w:hAnsi="Tahoma" w:cs="Tahoma"/>
          <w:i/>
        </w:rPr>
        <w:lastRenderedPageBreak/>
        <w:t xml:space="preserve">nutricional sobre el costo mínimo de la dieta y su evolución a lo largo del periodo de estudio (Masters et al., 2018). Tercero, examina la heterogeneidad espacial en el grado de integración de los mercados de alimentos entre las tres ciudades, comparando el </w:t>
      </w:r>
      <w:proofErr w:type="spellStart"/>
      <w:r w:rsidRPr="00A0396D">
        <w:rPr>
          <w:rFonts w:ascii="Tahoma" w:hAnsi="Tahoma" w:cs="Tahoma"/>
          <w:i/>
        </w:rPr>
        <w:t>co-movimiento</w:t>
      </w:r>
      <w:proofErr w:type="spellEnd"/>
      <w:r w:rsidRPr="00A0396D">
        <w:rPr>
          <w:rFonts w:ascii="Tahoma" w:hAnsi="Tahoma" w:cs="Tahoma"/>
          <w:i/>
        </w:rPr>
        <w:t xml:space="preserve"> de los costos de dieta entre ellas y vinculando estos patrones con diferencias en la estructura y concentración de los mercados minoristas locales. Cuarto, evalúa la incidencia y la profundidad de la </w:t>
      </w:r>
      <w:proofErr w:type="spellStart"/>
      <w:r w:rsidRPr="00A0396D">
        <w:rPr>
          <w:rFonts w:ascii="Tahoma" w:hAnsi="Tahoma" w:cs="Tahoma"/>
          <w:i/>
        </w:rPr>
        <w:t>inasequibilidad</w:t>
      </w:r>
      <w:proofErr w:type="spellEnd"/>
      <w:r w:rsidRPr="00A0396D">
        <w:rPr>
          <w:rFonts w:ascii="Tahoma" w:hAnsi="Tahoma" w:cs="Tahoma"/>
          <w:i/>
        </w:rPr>
        <w:t xml:space="preserve"> a lo largo de la distribución del ingreso y en el tiempo, comparando el costo per cápita de la dieta con los presupuestos alimentarios estimados por ciudad, decil de ingreso y periodo, y distinguiendo la proporción de hogares por debajo de cada umbral dietético de la magnitud de su respectiva brecha de asequibilidad (</w:t>
      </w:r>
      <w:proofErr w:type="spellStart"/>
      <w:r w:rsidRPr="00A0396D">
        <w:rPr>
          <w:rFonts w:ascii="Tahoma" w:hAnsi="Tahoma" w:cs="Tahoma"/>
          <w:i/>
        </w:rPr>
        <w:t>Balagamwala</w:t>
      </w:r>
      <w:proofErr w:type="spellEnd"/>
      <w:r w:rsidRPr="00A0396D">
        <w:rPr>
          <w:rFonts w:ascii="Tahoma" w:hAnsi="Tahoma" w:cs="Tahoma"/>
          <w:i/>
        </w:rPr>
        <w:t xml:space="preserve"> et al., 2024; Schneider et al., 2023). Adicionalmente, se desarrolla una especificación de Costo de Adecuación de Nutrientes Consistente con el Consumo (CC-</w:t>
      </w:r>
      <w:proofErr w:type="spellStart"/>
      <w:r w:rsidRPr="00A0396D">
        <w:rPr>
          <w:rFonts w:ascii="Tahoma" w:hAnsi="Tahoma" w:cs="Tahoma"/>
          <w:i/>
        </w:rPr>
        <w:t>CoNA</w:t>
      </w:r>
      <w:proofErr w:type="spellEnd"/>
      <w:r w:rsidRPr="00A0396D">
        <w:rPr>
          <w:rFonts w:ascii="Tahoma" w:hAnsi="Tahoma" w:cs="Tahoma"/>
          <w:i/>
        </w:rPr>
        <w:t xml:space="preserve">), que introduce restricciones derivadas de los patrones de gasto representados en la canasta de alimentos del IPC, y se verifica que la prima resultante —el costo de acercar la dieta optimizada a esos patrones de gasto— es modesta y no introduce una fuente independiente de volatilidad frente al </w:t>
      </w:r>
      <w:proofErr w:type="spellStart"/>
      <w:r w:rsidRPr="00A0396D">
        <w:rPr>
          <w:rFonts w:ascii="Tahoma" w:hAnsi="Tahoma" w:cs="Tahoma"/>
          <w:i/>
        </w:rPr>
        <w:t>CoNA</w:t>
      </w:r>
      <w:proofErr w:type="spellEnd"/>
      <w:r w:rsidRPr="00A0396D">
        <w:rPr>
          <w:rFonts w:ascii="Tahoma" w:hAnsi="Tahoma" w:cs="Tahoma"/>
          <w:i/>
        </w:rPr>
        <w:t xml:space="preserve"> estándar (</w:t>
      </w:r>
      <w:proofErr w:type="spellStart"/>
      <w:r w:rsidRPr="00A0396D">
        <w:rPr>
          <w:rFonts w:ascii="Tahoma" w:hAnsi="Tahoma" w:cs="Tahoma"/>
          <w:i/>
        </w:rPr>
        <w:t>Headey</w:t>
      </w:r>
      <w:proofErr w:type="spellEnd"/>
      <w:r w:rsidRPr="00A0396D">
        <w:rPr>
          <w:rFonts w:ascii="Tahoma" w:hAnsi="Tahoma" w:cs="Tahoma"/>
          <w:i/>
        </w:rPr>
        <w:t xml:space="preserve"> et al., 2024; </w:t>
      </w:r>
      <w:proofErr w:type="spellStart"/>
      <w:r w:rsidRPr="00A0396D">
        <w:rPr>
          <w:rFonts w:ascii="Tahoma" w:hAnsi="Tahoma" w:cs="Tahoma"/>
          <w:i/>
        </w:rPr>
        <w:t>Mahrt</w:t>
      </w:r>
      <w:proofErr w:type="spellEnd"/>
      <w:r w:rsidRPr="00A0396D">
        <w:rPr>
          <w:rFonts w:ascii="Tahoma" w:hAnsi="Tahoma" w:cs="Tahoma"/>
          <w:i/>
        </w:rPr>
        <w:t xml:space="preserve"> et al., 2019).</w:t>
      </w:r>
    </w:p>
    <w:p w14:paraId="0C71A84A" w14:textId="136BCD23" w:rsidR="00D174F1" w:rsidRPr="00D174F1" w:rsidRDefault="00D174F1" w:rsidP="00271359">
      <w:pPr>
        <w:rPr>
          <w:rFonts w:ascii="Candara" w:hAnsi="Candara"/>
          <w:b/>
          <w:bCs/>
          <w:lang w:val="en-US"/>
        </w:rPr>
      </w:pPr>
      <w:r w:rsidRPr="00D174F1">
        <w:rPr>
          <w:rFonts w:ascii="Candara" w:hAnsi="Candara"/>
          <w:b/>
          <w:bCs/>
          <w:lang w:val="en-US"/>
        </w:rPr>
        <w:t>PÁRRAFO 1</w:t>
      </w:r>
      <w:r w:rsidRPr="00D174F1">
        <w:rPr>
          <w:rFonts w:ascii="Candara" w:hAnsi="Candara"/>
          <w:b/>
          <w:bCs/>
          <w:lang w:val="en-US"/>
        </w:rPr>
        <w:t>0</w:t>
      </w:r>
    </w:p>
    <w:p w14:paraId="6DABCA2E" w14:textId="29A9827F" w:rsidR="00271359" w:rsidRDefault="00A0396D" w:rsidP="00271359">
      <w:pPr>
        <w:rPr>
          <w:rFonts w:ascii="Candara" w:hAnsi="Candara"/>
          <w:lang w:val="en-US"/>
        </w:rPr>
      </w:pPr>
      <w:r>
        <w:rPr>
          <w:rFonts w:ascii="Candara" w:hAnsi="Candara"/>
          <w:b/>
          <w:lang w:val="en-US"/>
        </w:rPr>
        <w:t xml:space="preserve">DE ESTO SOLO CAMBIARÉ LA REDACCIÓN: </w:t>
      </w:r>
      <w:r w:rsidR="00271359" w:rsidRPr="00271359">
        <w:rPr>
          <w:rFonts w:ascii="Candara" w:hAnsi="Candara"/>
          <w:lang w:val="en-US"/>
        </w:rPr>
        <w:t>Taken together, these contributions allow the analysis to distinguish whether changes in urban diet affordability arise from the cost of caloric energy, the marginal expense of satisfying specific nutrient requirements, the cost of complying with food-group recommendations, or the evolution of household resources. This distinction has direct policy relevance because high prices for the foods that supply binding nutrients call for interventions in production, distribution, storage, or market access, whereas insufficient food budgets call for income growth, wage policies, or nutrition-sensitive social protection (</w:t>
      </w:r>
      <w:proofErr w:type="spellStart"/>
      <w:r w:rsidR="00271359" w:rsidRPr="00271359">
        <w:rPr>
          <w:rFonts w:ascii="Candara" w:hAnsi="Candara"/>
          <w:lang w:val="en-US"/>
        </w:rPr>
        <w:t>Balagamwala</w:t>
      </w:r>
      <w:proofErr w:type="spellEnd"/>
      <w:r w:rsidR="00271359" w:rsidRPr="00271359">
        <w:rPr>
          <w:rFonts w:ascii="Candara" w:hAnsi="Candara"/>
          <w:lang w:val="en-US"/>
        </w:rPr>
        <w:t xml:space="preserve"> et al., 2024; Wallingford et al., 2024). The comparison across three cities and multiple phases of the price cycle also provides evidence on whether nationally shared shocks produce similar affordability outcomes or interact with local market conditions and income distributions.</w:t>
      </w:r>
    </w:p>
    <w:p w14:paraId="67000BC0" w14:textId="2C0BD3A6" w:rsidR="00D174F1" w:rsidRPr="00D174F1" w:rsidRDefault="00D174F1" w:rsidP="00271359">
      <w:pPr>
        <w:rPr>
          <w:rFonts w:ascii="Candara" w:hAnsi="Candara"/>
          <w:b/>
          <w:bCs/>
        </w:rPr>
      </w:pPr>
      <w:r w:rsidRPr="00CA4BBF">
        <w:rPr>
          <w:rFonts w:ascii="Candara" w:hAnsi="Candara"/>
          <w:b/>
          <w:bCs/>
        </w:rPr>
        <w:t>PÁ</w:t>
      </w:r>
      <w:r>
        <w:rPr>
          <w:rFonts w:ascii="Candara" w:hAnsi="Candara"/>
          <w:b/>
          <w:bCs/>
        </w:rPr>
        <w:t>RRAFO 1</w:t>
      </w:r>
      <w:r>
        <w:rPr>
          <w:rFonts w:ascii="Candara" w:hAnsi="Candara"/>
          <w:b/>
          <w:bCs/>
        </w:rPr>
        <w:t>1</w:t>
      </w:r>
    </w:p>
    <w:p w14:paraId="28162497" w14:textId="2E4D0E8C" w:rsidR="00271359" w:rsidRDefault="00A0396D" w:rsidP="00271359">
      <w:pPr>
        <w:spacing w:after="0" w:line="240" w:lineRule="atLeast"/>
        <w:rPr>
          <w:rFonts w:ascii="Candara" w:hAnsi="Candara"/>
        </w:rPr>
      </w:pPr>
      <w:r w:rsidRPr="00A0396D">
        <w:rPr>
          <w:rFonts w:ascii="Candara" w:hAnsi="Candara"/>
        </w:rPr>
        <w:t xml:space="preserve">El resto del artículo se organiza de la siguiente manera. La sección 2 describe el área de estudio, presentando el contexto demográfico, económico y del sistema alimentario urbano de Bogotá, Medellín y Cali. La sección 3 detalla los datos de precios y composición nutricional, el hogar representativo, los requerimientos nutricionales, las guías alimentarias y el marco metodológico utilizado para estimar los costos y la asequibilidad de la dieta. La sección 4 presenta los resultados empíricos, comenzando por la evolución temporal e intermunicipal del </w:t>
      </w:r>
      <w:proofErr w:type="spellStart"/>
      <w:r w:rsidRPr="00A0396D">
        <w:rPr>
          <w:rFonts w:ascii="Candara" w:hAnsi="Candara"/>
        </w:rPr>
        <w:t>CoCA</w:t>
      </w:r>
      <w:proofErr w:type="spellEnd"/>
      <w:r w:rsidRPr="00A0396D">
        <w:rPr>
          <w:rFonts w:ascii="Candara" w:hAnsi="Candara"/>
        </w:rPr>
        <w:t xml:space="preserve">, el </w:t>
      </w:r>
      <w:proofErr w:type="spellStart"/>
      <w:r w:rsidRPr="00A0396D">
        <w:rPr>
          <w:rFonts w:ascii="Candara" w:hAnsi="Candara"/>
        </w:rPr>
        <w:t>CoNA</w:t>
      </w:r>
      <w:proofErr w:type="spellEnd"/>
      <w:r w:rsidRPr="00A0396D">
        <w:rPr>
          <w:rFonts w:ascii="Candara" w:hAnsi="Candara"/>
        </w:rPr>
        <w:t xml:space="preserve"> y el </w:t>
      </w:r>
      <w:proofErr w:type="spellStart"/>
      <w:r w:rsidRPr="00A0396D">
        <w:rPr>
          <w:rFonts w:ascii="Candara" w:hAnsi="Candara"/>
        </w:rPr>
        <w:t>CoRD</w:t>
      </w:r>
      <w:proofErr w:type="spellEnd"/>
      <w:r w:rsidRPr="00A0396D">
        <w:rPr>
          <w:rFonts w:ascii="Candara" w:hAnsi="Candara"/>
        </w:rPr>
        <w:t>, seguida del análisis de las primas de costo, la composición de la dieta, los nutrientes limitantes, las elasticidades de precio sombra, la heterogeneidad espacial entre mercados, el CC-</w:t>
      </w:r>
      <w:proofErr w:type="spellStart"/>
      <w:r w:rsidRPr="00A0396D">
        <w:rPr>
          <w:rFonts w:ascii="Candara" w:hAnsi="Candara"/>
        </w:rPr>
        <w:t>CoNA</w:t>
      </w:r>
      <w:proofErr w:type="spellEnd"/>
      <w:r w:rsidRPr="00A0396D">
        <w:rPr>
          <w:rFonts w:ascii="Candara" w:hAnsi="Candara"/>
        </w:rPr>
        <w:t xml:space="preserve"> y la asequibilidad por decil de ingreso. La sección 5 discute los hallazgos en relación con la literatura internacional y colombiana, e identifica sus implicaciones para las políticas de sistemas alimentarios y protección social. La sección 6 expone las principales limitaciones del análisis, y la sección 7 concluye resumiendo las contribuciones del estudio y planteando prioridades para investigaciones futuras.</w:t>
      </w:r>
    </w:p>
    <w:p w14:paraId="5D33D33F" w14:textId="77777777" w:rsidR="00694861" w:rsidRPr="00A0396D" w:rsidRDefault="00694861" w:rsidP="00271359">
      <w:pPr>
        <w:spacing w:after="0" w:line="240" w:lineRule="atLeast"/>
        <w:rPr>
          <w:rFonts w:ascii="Candara" w:hAnsi="Candara"/>
        </w:rPr>
      </w:pPr>
    </w:p>
    <w:p w14:paraId="2E8DD3F8" w14:textId="77777777" w:rsidR="00271359" w:rsidRPr="00271359" w:rsidRDefault="00271359" w:rsidP="00271359">
      <w:pPr>
        <w:spacing w:after="0" w:line="240" w:lineRule="atLeast"/>
        <w:rPr>
          <w:rFonts w:ascii="Candara" w:hAnsi="Candara"/>
          <w:b/>
          <w:bCs/>
          <w:lang w:val="en-US"/>
        </w:rPr>
      </w:pPr>
      <w:proofErr w:type="spellStart"/>
      <w:r w:rsidRPr="00271359">
        <w:rPr>
          <w:rFonts w:ascii="Candara" w:hAnsi="Candara"/>
          <w:b/>
          <w:bCs/>
          <w:lang w:val="en-US"/>
        </w:rPr>
        <w:lastRenderedPageBreak/>
        <w:t>Referencias</w:t>
      </w:r>
      <w:proofErr w:type="spellEnd"/>
    </w:p>
    <w:p w14:paraId="12098F23"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Alemayehu, D., </w:t>
      </w:r>
      <w:proofErr w:type="spellStart"/>
      <w:r w:rsidRPr="00271359">
        <w:rPr>
          <w:rFonts w:ascii="Candara" w:hAnsi="Candara"/>
          <w:lang w:val="en-US"/>
        </w:rPr>
        <w:t>Bachewe</w:t>
      </w:r>
      <w:proofErr w:type="spellEnd"/>
      <w:r w:rsidRPr="00271359">
        <w:rPr>
          <w:rFonts w:ascii="Candara" w:hAnsi="Candara"/>
          <w:lang w:val="en-US"/>
        </w:rPr>
        <w:t xml:space="preserve">, F., </w:t>
      </w:r>
      <w:proofErr w:type="spellStart"/>
      <w:r w:rsidRPr="00271359">
        <w:rPr>
          <w:rFonts w:ascii="Candara" w:hAnsi="Candara"/>
          <w:lang w:val="en-US"/>
        </w:rPr>
        <w:t>Genye</w:t>
      </w:r>
      <w:proofErr w:type="spellEnd"/>
      <w:r w:rsidRPr="00271359">
        <w:rPr>
          <w:rFonts w:ascii="Candara" w:hAnsi="Candara"/>
          <w:lang w:val="en-US"/>
        </w:rPr>
        <w:t xml:space="preserve">, T., Gilbert, R., Haile, H., Headey, D., Masters, W. A., Herforth, A., &amp; Tessema, M. (2023). </w:t>
      </w:r>
      <w:r w:rsidRPr="00271359">
        <w:rPr>
          <w:rFonts w:ascii="Candara" w:hAnsi="Candara"/>
          <w:i/>
          <w:iCs/>
          <w:lang w:val="en-US"/>
        </w:rPr>
        <w:t>Implementation of the Ethiopian food-based dietary guidelines: Analysis of cost and affordability of healthy diets, January 2020–December 2022</w:t>
      </w:r>
      <w:r w:rsidRPr="00271359">
        <w:rPr>
          <w:rFonts w:ascii="Candara" w:hAnsi="Candara"/>
          <w:lang w:val="en-US"/>
        </w:rPr>
        <w:t>. Ethiopian Public Health Institute.</w:t>
      </w:r>
    </w:p>
    <w:p w14:paraId="13C4F47B"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Bai, Y., Alemu, R., Block, S. A., Headey, D., &amp; Masters, W. A. (2020). Cost and affordability of nutritious diets at retail prices: Evidence from 177 countries. </w:t>
      </w:r>
      <w:r w:rsidRPr="00271359">
        <w:rPr>
          <w:rFonts w:ascii="Candara" w:hAnsi="Candara"/>
          <w:i/>
          <w:iCs/>
          <w:lang w:val="en-US"/>
        </w:rPr>
        <w:t>Food Policy, 99</w:t>
      </w:r>
      <w:r w:rsidRPr="00271359">
        <w:rPr>
          <w:rFonts w:ascii="Candara" w:hAnsi="Candara"/>
          <w:lang w:val="en-US"/>
        </w:rPr>
        <w:t xml:space="preserve">, 101983. </w:t>
      </w:r>
      <w:hyperlink r:id="rId7" w:tgtFrame="_new" w:history="1">
        <w:r w:rsidRPr="00271359">
          <w:rPr>
            <w:rStyle w:val="Hipervnculo"/>
            <w:rFonts w:ascii="Candara" w:hAnsi="Candara"/>
            <w:lang w:val="en-US"/>
          </w:rPr>
          <w:t>https://doi.org/10.1016/j.foodpol.2020.101983</w:t>
        </w:r>
      </w:hyperlink>
    </w:p>
    <w:p w14:paraId="05E3C018"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Bai, Y., Herforth, A., &amp; Masters, W. A. (2022). Global variation in the cost of a nutrient-adequate diet by population group: An observational study. </w:t>
      </w:r>
      <w:r w:rsidRPr="00271359">
        <w:rPr>
          <w:rFonts w:ascii="Candara" w:hAnsi="Candara"/>
          <w:i/>
          <w:iCs/>
          <w:lang w:val="en-US"/>
        </w:rPr>
        <w:t>The Lancet Planetary Health, 6</w:t>
      </w:r>
      <w:r w:rsidRPr="00271359">
        <w:rPr>
          <w:rFonts w:ascii="Candara" w:hAnsi="Candara"/>
          <w:lang w:val="en-US"/>
        </w:rPr>
        <w:t xml:space="preserve">(1), e19–e28. </w:t>
      </w:r>
      <w:hyperlink r:id="rId8" w:tgtFrame="_new" w:history="1">
        <w:r w:rsidRPr="00271359">
          <w:rPr>
            <w:rStyle w:val="Hipervnculo"/>
            <w:rFonts w:ascii="Candara" w:hAnsi="Candara"/>
            <w:lang w:val="en-US"/>
          </w:rPr>
          <w:t>https://doi.org/10.1016/S2542-5196(21)00285-0</w:t>
        </w:r>
      </w:hyperlink>
    </w:p>
    <w:p w14:paraId="0D4D0F0C" w14:textId="77777777" w:rsidR="00271359" w:rsidRPr="00271359" w:rsidRDefault="00271359" w:rsidP="00271359">
      <w:pPr>
        <w:spacing w:after="0" w:line="240" w:lineRule="atLeast"/>
        <w:ind w:firstLine="426"/>
        <w:rPr>
          <w:rFonts w:ascii="Candara" w:hAnsi="Candara"/>
        </w:rPr>
      </w:pPr>
      <w:r w:rsidRPr="00271359">
        <w:rPr>
          <w:rFonts w:ascii="Candara" w:hAnsi="Candara"/>
          <w:lang w:val="en-US"/>
        </w:rPr>
        <w:t xml:space="preserve">Bai, Y., Naumova, E. N., &amp; Masters, W. A. (2020). Seasonality of diet costs reveals food system performance in East Africa. </w:t>
      </w:r>
      <w:proofErr w:type="spellStart"/>
      <w:r w:rsidRPr="00271359">
        <w:rPr>
          <w:rFonts w:ascii="Candara" w:hAnsi="Candara"/>
          <w:i/>
          <w:iCs/>
        </w:rPr>
        <w:t>Science</w:t>
      </w:r>
      <w:proofErr w:type="spellEnd"/>
      <w:r w:rsidRPr="00271359">
        <w:rPr>
          <w:rFonts w:ascii="Candara" w:hAnsi="Candara"/>
          <w:i/>
          <w:iCs/>
        </w:rPr>
        <w:t xml:space="preserve"> </w:t>
      </w:r>
      <w:proofErr w:type="spellStart"/>
      <w:r w:rsidRPr="00271359">
        <w:rPr>
          <w:rFonts w:ascii="Candara" w:hAnsi="Candara"/>
          <w:i/>
          <w:iCs/>
        </w:rPr>
        <w:t>Advances</w:t>
      </w:r>
      <w:proofErr w:type="spellEnd"/>
      <w:r w:rsidRPr="00271359">
        <w:rPr>
          <w:rFonts w:ascii="Candara" w:hAnsi="Candara"/>
          <w:i/>
          <w:iCs/>
        </w:rPr>
        <w:t>, 6</w:t>
      </w:r>
      <w:r w:rsidRPr="00271359">
        <w:rPr>
          <w:rFonts w:ascii="Candara" w:hAnsi="Candara"/>
        </w:rPr>
        <w:t xml:space="preserve">(49), eabc2162. </w:t>
      </w:r>
      <w:hyperlink r:id="rId9" w:tgtFrame="_new" w:history="1">
        <w:r w:rsidRPr="00271359">
          <w:rPr>
            <w:rStyle w:val="Hipervnculo"/>
            <w:rFonts w:ascii="Candara" w:hAnsi="Candara"/>
          </w:rPr>
          <w:t>https://doi.org/10.1126/sciadv.abc2162</w:t>
        </w:r>
      </w:hyperlink>
    </w:p>
    <w:p w14:paraId="6046E6EB" w14:textId="77777777" w:rsidR="00271359" w:rsidRPr="00271359" w:rsidRDefault="00271359" w:rsidP="00271359">
      <w:pPr>
        <w:spacing w:after="0" w:line="240" w:lineRule="atLeast"/>
        <w:ind w:firstLine="426"/>
        <w:rPr>
          <w:rFonts w:ascii="Candara" w:hAnsi="Candara"/>
          <w:lang w:val="en-US"/>
        </w:rPr>
      </w:pPr>
      <w:proofErr w:type="spellStart"/>
      <w:r w:rsidRPr="00271359">
        <w:rPr>
          <w:rFonts w:ascii="Candara" w:hAnsi="Candara"/>
        </w:rPr>
        <w:t>Balagamwala</w:t>
      </w:r>
      <w:proofErr w:type="spellEnd"/>
      <w:r w:rsidRPr="00271359">
        <w:rPr>
          <w:rFonts w:ascii="Candara" w:hAnsi="Candara"/>
        </w:rPr>
        <w:t xml:space="preserve">, M., Kuri, S., Jaramillo Mejia, J. G., &amp; de Pee, S. (2024). </w:t>
      </w:r>
      <w:r w:rsidRPr="00271359">
        <w:rPr>
          <w:rFonts w:ascii="Candara" w:hAnsi="Candara"/>
          <w:lang w:val="en-US"/>
        </w:rPr>
        <w:t xml:space="preserve">The affordability gap for nutritious diets: How big is it and how to close it? </w:t>
      </w:r>
      <w:r w:rsidRPr="00271359">
        <w:rPr>
          <w:rFonts w:ascii="Candara" w:hAnsi="Candara"/>
          <w:i/>
          <w:iCs/>
          <w:lang w:val="en-US"/>
        </w:rPr>
        <w:t>Global Food Security, 41</w:t>
      </w:r>
      <w:r w:rsidRPr="00271359">
        <w:rPr>
          <w:rFonts w:ascii="Candara" w:hAnsi="Candara"/>
          <w:lang w:val="en-US"/>
        </w:rPr>
        <w:t xml:space="preserve">, 100757. </w:t>
      </w:r>
      <w:hyperlink r:id="rId10" w:tgtFrame="_new" w:history="1">
        <w:r w:rsidRPr="00271359">
          <w:rPr>
            <w:rStyle w:val="Hipervnculo"/>
            <w:rFonts w:ascii="Candara" w:hAnsi="Candara"/>
            <w:lang w:val="en-US"/>
          </w:rPr>
          <w:t>https://doi.org/10.1016/j.gfs.2024.100757</w:t>
        </w:r>
      </w:hyperlink>
    </w:p>
    <w:p w14:paraId="1B15C1FB"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Barrett, C. B. (2010). Measuring food insecurity. </w:t>
      </w:r>
      <w:r w:rsidRPr="00271359">
        <w:rPr>
          <w:rFonts w:ascii="Candara" w:hAnsi="Candara"/>
          <w:i/>
          <w:iCs/>
          <w:lang w:val="en-US"/>
        </w:rPr>
        <w:t>Science, 327</w:t>
      </w:r>
      <w:r w:rsidRPr="00271359">
        <w:rPr>
          <w:rFonts w:ascii="Candara" w:hAnsi="Candara"/>
          <w:lang w:val="en-US"/>
        </w:rPr>
        <w:t xml:space="preserve">(5967), 825–828. </w:t>
      </w:r>
      <w:hyperlink r:id="rId11" w:tgtFrame="_new" w:history="1">
        <w:r w:rsidRPr="00271359">
          <w:rPr>
            <w:rStyle w:val="Hipervnculo"/>
            <w:rFonts w:ascii="Candara" w:hAnsi="Candara"/>
            <w:lang w:val="en-US"/>
          </w:rPr>
          <w:t>https://doi.org/10.1126/science.1182768</w:t>
        </w:r>
      </w:hyperlink>
    </w:p>
    <w:p w14:paraId="2CBF7049"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rPr>
        <w:t xml:space="preserve">Departamento Administrativo Nacional de Estadística. (2018). </w:t>
      </w:r>
      <w:r w:rsidRPr="00271359">
        <w:rPr>
          <w:rFonts w:ascii="Candara" w:hAnsi="Candara"/>
          <w:i/>
          <w:iCs/>
        </w:rPr>
        <w:t>Censo Nacional de Población y Vivienda 2018</w:t>
      </w:r>
      <w:r w:rsidRPr="00271359">
        <w:rPr>
          <w:rFonts w:ascii="Candara" w:hAnsi="Candara"/>
        </w:rPr>
        <w:t xml:space="preserve">. </w:t>
      </w:r>
      <w:r w:rsidRPr="00271359">
        <w:rPr>
          <w:rFonts w:ascii="Candara" w:hAnsi="Candara"/>
          <w:lang w:val="en-US"/>
        </w:rPr>
        <w:t>DANE.</w:t>
      </w:r>
    </w:p>
    <w:p w14:paraId="4743598A"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Dizon, F., Herforth, A. W., &amp; Wang, Z. (2019). The cost of a nutritious diet in Afghanistan, Bangladesh, Pakistan, and Sri Lanka. </w:t>
      </w:r>
      <w:r w:rsidRPr="00271359">
        <w:rPr>
          <w:rFonts w:ascii="Candara" w:hAnsi="Candara"/>
          <w:i/>
          <w:iCs/>
          <w:lang w:val="en-US"/>
        </w:rPr>
        <w:t>Global Food Security, 21</w:t>
      </w:r>
      <w:r w:rsidRPr="00271359">
        <w:rPr>
          <w:rFonts w:ascii="Candara" w:hAnsi="Candara"/>
          <w:lang w:val="en-US"/>
        </w:rPr>
        <w:t>, 38–51.</w:t>
      </w:r>
    </w:p>
    <w:p w14:paraId="7DCEE5BC" w14:textId="77777777" w:rsidR="00271359" w:rsidRPr="00882BA3" w:rsidRDefault="00271359" w:rsidP="00271359">
      <w:pPr>
        <w:spacing w:after="0" w:line="240" w:lineRule="atLeast"/>
        <w:ind w:firstLine="426"/>
        <w:rPr>
          <w:rFonts w:ascii="Candara" w:hAnsi="Candara"/>
          <w:lang w:val="en-US"/>
        </w:rPr>
      </w:pPr>
      <w:r w:rsidRPr="00271359">
        <w:rPr>
          <w:rFonts w:ascii="Candara" w:hAnsi="Candara"/>
          <w:lang w:val="en-US"/>
        </w:rPr>
        <w:t xml:space="preserve">Dizon, F., Wang, Z., &amp; </w:t>
      </w:r>
      <w:proofErr w:type="spellStart"/>
      <w:r w:rsidRPr="00271359">
        <w:rPr>
          <w:rFonts w:ascii="Candara" w:hAnsi="Candara"/>
          <w:lang w:val="en-US"/>
        </w:rPr>
        <w:t>Mulmi</w:t>
      </w:r>
      <w:proofErr w:type="spellEnd"/>
      <w:r w:rsidRPr="00271359">
        <w:rPr>
          <w:rFonts w:ascii="Candara" w:hAnsi="Candara"/>
          <w:lang w:val="en-US"/>
        </w:rPr>
        <w:t xml:space="preserve">, P. (2021). </w:t>
      </w:r>
      <w:r w:rsidRPr="00271359">
        <w:rPr>
          <w:rFonts w:ascii="Candara" w:hAnsi="Candara"/>
          <w:i/>
          <w:iCs/>
          <w:lang w:val="en-US"/>
        </w:rPr>
        <w:t>The cost of a nutritious diet in Bangladesh, Bhutan, India, and Nepal</w:t>
      </w:r>
      <w:r w:rsidRPr="00271359">
        <w:rPr>
          <w:rFonts w:ascii="Candara" w:hAnsi="Candara"/>
          <w:lang w:val="en-US"/>
        </w:rPr>
        <w:t xml:space="preserve"> (Policy Research Working Paper No. 9578). </w:t>
      </w:r>
      <w:r w:rsidRPr="00882BA3">
        <w:rPr>
          <w:rFonts w:ascii="Candara" w:hAnsi="Candara"/>
          <w:lang w:val="en-US"/>
        </w:rPr>
        <w:t>World Bank.</w:t>
      </w:r>
    </w:p>
    <w:p w14:paraId="05505F00"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Food and Agriculture Organization of the United Nations, &amp; Instituto </w:t>
      </w:r>
      <w:proofErr w:type="spellStart"/>
      <w:r w:rsidRPr="00271359">
        <w:rPr>
          <w:rFonts w:ascii="Candara" w:hAnsi="Candara"/>
          <w:lang w:val="en-US"/>
        </w:rPr>
        <w:t>Colombiano</w:t>
      </w:r>
      <w:proofErr w:type="spellEnd"/>
      <w:r w:rsidRPr="00271359">
        <w:rPr>
          <w:rFonts w:ascii="Candara" w:hAnsi="Candara"/>
          <w:lang w:val="en-US"/>
        </w:rPr>
        <w:t xml:space="preserve"> de </w:t>
      </w:r>
      <w:proofErr w:type="spellStart"/>
      <w:r w:rsidRPr="00271359">
        <w:rPr>
          <w:rFonts w:ascii="Candara" w:hAnsi="Candara"/>
          <w:lang w:val="en-US"/>
        </w:rPr>
        <w:t>Bienestar</w:t>
      </w:r>
      <w:proofErr w:type="spellEnd"/>
      <w:r w:rsidRPr="00271359">
        <w:rPr>
          <w:rFonts w:ascii="Candara" w:hAnsi="Candara"/>
          <w:lang w:val="en-US"/>
        </w:rPr>
        <w:t xml:space="preserve"> Familiar. </w:t>
      </w:r>
      <w:r w:rsidRPr="00271359">
        <w:rPr>
          <w:rFonts w:ascii="Candara" w:hAnsi="Candara"/>
        </w:rPr>
        <w:t xml:space="preserve">(2021). </w:t>
      </w:r>
      <w:r w:rsidRPr="00271359">
        <w:rPr>
          <w:rFonts w:ascii="Candara" w:hAnsi="Candara"/>
          <w:i/>
          <w:iCs/>
        </w:rPr>
        <w:t>Guías alimentarias basadas en alimentos para la población colombiana mayor de 2 años</w:t>
      </w:r>
      <w:r w:rsidRPr="00271359">
        <w:rPr>
          <w:rFonts w:ascii="Candara" w:hAnsi="Candara"/>
        </w:rPr>
        <w:t xml:space="preserve">. </w:t>
      </w:r>
      <w:r w:rsidRPr="00271359">
        <w:rPr>
          <w:rFonts w:ascii="Candara" w:hAnsi="Candara"/>
          <w:lang w:val="en-US"/>
        </w:rPr>
        <w:t>FAO e ICBF.</w:t>
      </w:r>
    </w:p>
    <w:p w14:paraId="775946A8"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Headey, D. D., Hirvonen, K., &amp; Alderman, H. (2024). Estimating the cost and affordability of healthy diets: How much do methods matter? </w:t>
      </w:r>
      <w:r w:rsidRPr="00271359">
        <w:rPr>
          <w:rFonts w:ascii="Candara" w:hAnsi="Candara"/>
          <w:i/>
          <w:iCs/>
          <w:lang w:val="en-US"/>
        </w:rPr>
        <w:t>Food Policy, 126</w:t>
      </w:r>
      <w:r w:rsidRPr="00271359">
        <w:rPr>
          <w:rFonts w:ascii="Candara" w:hAnsi="Candara"/>
          <w:lang w:val="en-US"/>
        </w:rPr>
        <w:t xml:space="preserve">, 102654. </w:t>
      </w:r>
      <w:hyperlink r:id="rId12" w:tgtFrame="_new" w:history="1">
        <w:r w:rsidRPr="00271359">
          <w:rPr>
            <w:rStyle w:val="Hipervnculo"/>
            <w:rFonts w:ascii="Candara" w:hAnsi="Candara"/>
            <w:lang w:val="en-US"/>
          </w:rPr>
          <w:t>https://doi.org/10.1016/j.foodpol.2024.102654</w:t>
        </w:r>
      </w:hyperlink>
    </w:p>
    <w:p w14:paraId="36F89C0F"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Herforth, A., Bai, Y., Venkat, A., Mahrt, K., Ebel, A., &amp; Masters, W. A. (2020). </w:t>
      </w:r>
      <w:r w:rsidRPr="00271359">
        <w:rPr>
          <w:rFonts w:ascii="Candara" w:hAnsi="Candara"/>
          <w:i/>
          <w:iCs/>
          <w:lang w:val="en-US"/>
        </w:rPr>
        <w:t>Cost and affordability of healthy diets across and within countries</w:t>
      </w:r>
      <w:r w:rsidRPr="00271359">
        <w:rPr>
          <w:rFonts w:ascii="Candara" w:hAnsi="Candara"/>
          <w:lang w:val="en-US"/>
        </w:rPr>
        <w:t xml:space="preserve"> (FAO Agricultural Development Economics Technical Study No. 9). Food and Agriculture Organization of the United Nations. </w:t>
      </w:r>
      <w:hyperlink r:id="rId13" w:tgtFrame="_new" w:history="1">
        <w:r w:rsidRPr="00271359">
          <w:rPr>
            <w:rStyle w:val="Hipervnculo"/>
            <w:rFonts w:ascii="Candara" w:hAnsi="Candara"/>
            <w:lang w:val="en-US"/>
          </w:rPr>
          <w:t>https://doi.org/10.4060/cb2431en</w:t>
        </w:r>
      </w:hyperlink>
    </w:p>
    <w:p w14:paraId="7A87BD31"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Herforth, A., Venkat, A., Bai, Y., Costlow, L., Holleman, C., &amp; Masters, W. A. (2022). </w:t>
      </w:r>
      <w:r w:rsidRPr="00271359">
        <w:rPr>
          <w:rFonts w:ascii="Candara" w:hAnsi="Candara"/>
          <w:i/>
          <w:iCs/>
          <w:lang w:val="en-US"/>
        </w:rPr>
        <w:t>Methods and options to monitor the cost and affordability of a healthy diet globally</w:t>
      </w:r>
      <w:r w:rsidRPr="00271359">
        <w:rPr>
          <w:rFonts w:ascii="Candara" w:hAnsi="Candara"/>
          <w:lang w:val="en-US"/>
        </w:rPr>
        <w:t xml:space="preserve"> (FAO Agricultural Development Economics Working Paper No. 22-03). Food and Agriculture Organization of the United Nations. </w:t>
      </w:r>
      <w:hyperlink r:id="rId14" w:tgtFrame="_new" w:history="1">
        <w:r w:rsidRPr="00271359">
          <w:rPr>
            <w:rStyle w:val="Hipervnculo"/>
            <w:rFonts w:ascii="Candara" w:hAnsi="Candara"/>
            <w:lang w:val="en-US"/>
          </w:rPr>
          <w:t>https://doi.org/10.4060/cc1169en</w:t>
        </w:r>
      </w:hyperlink>
    </w:p>
    <w:p w14:paraId="44720786"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rPr>
        <w:t xml:space="preserve">Iregui, A. M., &amp; Otero, J. (2017). </w:t>
      </w:r>
      <w:r w:rsidRPr="00271359">
        <w:rPr>
          <w:rFonts w:ascii="Candara" w:hAnsi="Candara"/>
          <w:lang w:val="en-US"/>
        </w:rPr>
        <w:t xml:space="preserve">Testing for spatial market integration: Evidence for Colombia using a pairwise approach. </w:t>
      </w:r>
      <w:r w:rsidRPr="00271359">
        <w:rPr>
          <w:rFonts w:ascii="Candara" w:hAnsi="Candara"/>
          <w:i/>
          <w:iCs/>
          <w:lang w:val="en-US"/>
        </w:rPr>
        <w:t>Agricultural Economics, 48</w:t>
      </w:r>
      <w:r w:rsidRPr="00271359">
        <w:rPr>
          <w:rFonts w:ascii="Candara" w:hAnsi="Candara"/>
          <w:lang w:val="en-US"/>
        </w:rPr>
        <w:t>(6), 743–753. https://doi.org/10.1111/agec.12366</w:t>
      </w:r>
    </w:p>
    <w:p w14:paraId="659769EF"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Laborde, D., Herforth, A., Headey, D., &amp; de Pee, S. (2021). COVID-19 pandemic leads to greater depth of unaffordability of healthy and nutrient-adequate diets in low- and middle-income countries. </w:t>
      </w:r>
      <w:r w:rsidRPr="00271359">
        <w:rPr>
          <w:rFonts w:ascii="Candara" w:hAnsi="Candara"/>
          <w:i/>
          <w:iCs/>
          <w:lang w:val="en-US"/>
        </w:rPr>
        <w:t>Nature Food, 2</w:t>
      </w:r>
      <w:r w:rsidRPr="00271359">
        <w:rPr>
          <w:rFonts w:ascii="Candara" w:hAnsi="Candara"/>
          <w:lang w:val="en-US"/>
        </w:rPr>
        <w:t xml:space="preserve">(7), 473–475. </w:t>
      </w:r>
      <w:hyperlink r:id="rId15" w:tgtFrame="_new" w:history="1">
        <w:r w:rsidRPr="00271359">
          <w:rPr>
            <w:rStyle w:val="Hipervnculo"/>
            <w:rFonts w:ascii="Candara" w:hAnsi="Candara"/>
            <w:lang w:val="en-US"/>
          </w:rPr>
          <w:t>https://doi.org/10.1038/s43016-021-00323-8</w:t>
        </w:r>
      </w:hyperlink>
    </w:p>
    <w:p w14:paraId="7CC7CFE2"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Latino, L., Holleman, C., &amp; Cafiero, C. (2024). Spatial variation in the cost and affordability of the global healthy diet basket: Evidence from household surveys in five African countries. </w:t>
      </w:r>
      <w:r w:rsidRPr="00271359">
        <w:rPr>
          <w:rFonts w:ascii="Candara" w:hAnsi="Candara"/>
          <w:i/>
          <w:iCs/>
          <w:lang w:val="en-US"/>
        </w:rPr>
        <w:t>Global Food Security, 41</w:t>
      </w:r>
      <w:r w:rsidRPr="00271359">
        <w:rPr>
          <w:rFonts w:ascii="Candara" w:hAnsi="Candara"/>
          <w:lang w:val="en-US"/>
        </w:rPr>
        <w:t xml:space="preserve">, 100746. </w:t>
      </w:r>
      <w:hyperlink r:id="rId16" w:tgtFrame="_new" w:history="1">
        <w:r w:rsidRPr="00271359">
          <w:rPr>
            <w:rStyle w:val="Hipervnculo"/>
            <w:rFonts w:ascii="Candara" w:hAnsi="Candara"/>
            <w:lang w:val="en-US"/>
          </w:rPr>
          <w:t>https://doi.org/10.1016/j.gfs.2024.100746</w:t>
        </w:r>
      </w:hyperlink>
    </w:p>
    <w:p w14:paraId="187F1E0B"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lastRenderedPageBreak/>
        <w:t xml:space="preserve">Mahrt, K., Mather, D. L., Herforth, A., &amp; Headey, D. (2019). </w:t>
      </w:r>
      <w:r w:rsidRPr="00271359">
        <w:rPr>
          <w:rFonts w:ascii="Candara" w:hAnsi="Candara"/>
          <w:i/>
          <w:iCs/>
          <w:lang w:val="en-US"/>
        </w:rPr>
        <w:t>Household dietary patterns and the cost of a nutritious diet in Myanmar</w:t>
      </w:r>
      <w:r w:rsidRPr="00271359">
        <w:rPr>
          <w:rFonts w:ascii="Candara" w:hAnsi="Candara"/>
          <w:lang w:val="en-US"/>
        </w:rPr>
        <w:t xml:space="preserve"> (IFPRI Discussion Paper No. 1854). International Food Policy Research Institute. </w:t>
      </w:r>
      <w:hyperlink r:id="rId17" w:tgtFrame="_new" w:history="1">
        <w:r w:rsidRPr="00271359">
          <w:rPr>
            <w:rStyle w:val="Hipervnculo"/>
            <w:rFonts w:ascii="Candara" w:hAnsi="Candara"/>
            <w:lang w:val="en-US"/>
          </w:rPr>
          <w:t>https://doi.org/10.2499/p15738coll2.133344</w:t>
        </w:r>
      </w:hyperlink>
    </w:p>
    <w:p w14:paraId="5FB05918"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Masters, W. A., Bai, Y., &amp; Herforth, A. (2018). Measuring the affordability of nutritious diets. </w:t>
      </w:r>
      <w:r w:rsidRPr="00271359">
        <w:rPr>
          <w:rFonts w:ascii="Candara" w:hAnsi="Candara"/>
          <w:i/>
          <w:iCs/>
          <w:lang w:val="en-US"/>
        </w:rPr>
        <w:t>Global Food Security, 18</w:t>
      </w:r>
      <w:r w:rsidRPr="00271359">
        <w:rPr>
          <w:rFonts w:ascii="Candara" w:hAnsi="Candara"/>
          <w:lang w:val="en-US"/>
        </w:rPr>
        <w:t>, 66–75. https://doi.org/10.1016/j.gfs.2018.06.007</w:t>
      </w:r>
    </w:p>
    <w:p w14:paraId="0B56EA67" w14:textId="77777777" w:rsidR="00271359" w:rsidRPr="00271359" w:rsidRDefault="00271359" w:rsidP="00271359">
      <w:pPr>
        <w:spacing w:after="0" w:line="240" w:lineRule="atLeast"/>
        <w:ind w:firstLine="426"/>
        <w:rPr>
          <w:rFonts w:ascii="Candara" w:hAnsi="Candara"/>
          <w:lang w:val="en-US"/>
        </w:rPr>
      </w:pPr>
      <w:proofErr w:type="spellStart"/>
      <w:r w:rsidRPr="00271359">
        <w:rPr>
          <w:rFonts w:ascii="Candara" w:hAnsi="Candara"/>
          <w:lang w:val="en-US"/>
        </w:rPr>
        <w:t>Mwambi</w:t>
      </w:r>
      <w:proofErr w:type="spellEnd"/>
      <w:r w:rsidRPr="00271359">
        <w:rPr>
          <w:rFonts w:ascii="Candara" w:hAnsi="Candara"/>
          <w:lang w:val="en-US"/>
        </w:rPr>
        <w:t xml:space="preserve">, M., </w:t>
      </w:r>
      <w:proofErr w:type="spellStart"/>
      <w:r w:rsidRPr="00271359">
        <w:rPr>
          <w:rFonts w:ascii="Candara" w:hAnsi="Candara"/>
          <w:lang w:val="en-US"/>
        </w:rPr>
        <w:t>Schreinemachers</w:t>
      </w:r>
      <w:proofErr w:type="spellEnd"/>
      <w:r w:rsidRPr="00271359">
        <w:rPr>
          <w:rFonts w:ascii="Candara" w:hAnsi="Candara"/>
          <w:lang w:val="en-US"/>
        </w:rPr>
        <w:t xml:space="preserve">, P., </w:t>
      </w:r>
      <w:proofErr w:type="spellStart"/>
      <w:r w:rsidRPr="00271359">
        <w:rPr>
          <w:rFonts w:ascii="Candara" w:hAnsi="Candara"/>
          <w:lang w:val="en-US"/>
        </w:rPr>
        <w:t>Praneetvatakul</w:t>
      </w:r>
      <w:proofErr w:type="spellEnd"/>
      <w:r w:rsidRPr="00271359">
        <w:rPr>
          <w:rFonts w:ascii="Candara" w:hAnsi="Candara"/>
          <w:lang w:val="en-US"/>
        </w:rPr>
        <w:t xml:space="preserve">, S., &amp; Harris, J. (2023). Cost and affordability of a healthy diet for urban populations in Thailand and the Philippines before and during the COVID-19 pandemic. </w:t>
      </w:r>
      <w:r w:rsidRPr="00271359">
        <w:rPr>
          <w:rFonts w:ascii="Candara" w:hAnsi="Candara"/>
          <w:i/>
          <w:iCs/>
          <w:lang w:val="en-US"/>
        </w:rPr>
        <w:t>BMC Public Health, 23</w:t>
      </w:r>
      <w:r w:rsidRPr="00271359">
        <w:rPr>
          <w:rFonts w:ascii="Candara" w:hAnsi="Candara"/>
          <w:lang w:val="en-US"/>
        </w:rPr>
        <w:t>, 1398. https://doi.org/10.1186/s12889-023-16207-4</w:t>
      </w:r>
    </w:p>
    <w:p w14:paraId="206B2E7D"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National Academies of Sciences, Engineering, and Medicine. (2023). </w:t>
      </w:r>
      <w:r w:rsidRPr="00271359">
        <w:rPr>
          <w:rFonts w:ascii="Candara" w:hAnsi="Candara"/>
          <w:i/>
          <w:iCs/>
          <w:lang w:val="en-US"/>
        </w:rPr>
        <w:t>Dietary reference intakes for energy</w:t>
      </w:r>
      <w:r w:rsidRPr="00271359">
        <w:rPr>
          <w:rFonts w:ascii="Candara" w:hAnsi="Candara"/>
          <w:lang w:val="en-US"/>
        </w:rPr>
        <w:t>. The National Academies Press.</w:t>
      </w:r>
    </w:p>
    <w:p w14:paraId="4AE3264F" w14:textId="77777777" w:rsidR="00271359" w:rsidRPr="00271359" w:rsidRDefault="00271359" w:rsidP="00271359">
      <w:pPr>
        <w:spacing w:after="0" w:line="240" w:lineRule="atLeast"/>
        <w:ind w:firstLine="426"/>
        <w:rPr>
          <w:rFonts w:ascii="Candara" w:hAnsi="Candara"/>
          <w:lang w:val="en-US"/>
        </w:rPr>
      </w:pPr>
      <w:proofErr w:type="spellStart"/>
      <w:r w:rsidRPr="00271359">
        <w:rPr>
          <w:rFonts w:ascii="Candara" w:hAnsi="Candara"/>
          <w:lang w:val="en-US"/>
        </w:rPr>
        <w:t>Ravallion</w:t>
      </w:r>
      <w:proofErr w:type="spellEnd"/>
      <w:r w:rsidRPr="00271359">
        <w:rPr>
          <w:rFonts w:ascii="Candara" w:hAnsi="Candara"/>
          <w:lang w:val="en-US"/>
        </w:rPr>
        <w:t xml:space="preserve">, M. (2010). Poverty lines across the world. </w:t>
      </w:r>
      <w:r w:rsidRPr="00271359">
        <w:rPr>
          <w:rFonts w:ascii="Candara" w:hAnsi="Candara"/>
          <w:i/>
          <w:iCs/>
          <w:lang w:val="en-US"/>
        </w:rPr>
        <w:t>World Bank Policy Research Working Paper</w:t>
      </w:r>
      <w:r w:rsidRPr="00271359">
        <w:rPr>
          <w:rFonts w:ascii="Candara" w:hAnsi="Candara"/>
          <w:lang w:val="en-US"/>
        </w:rPr>
        <w:t>, 5284.</w:t>
      </w:r>
    </w:p>
    <w:p w14:paraId="074187AF"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Schneider, K. R., </w:t>
      </w:r>
      <w:proofErr w:type="spellStart"/>
      <w:r w:rsidRPr="00271359">
        <w:rPr>
          <w:rFonts w:ascii="Candara" w:hAnsi="Candara"/>
          <w:lang w:val="en-US"/>
        </w:rPr>
        <w:t>Christiaensen</w:t>
      </w:r>
      <w:proofErr w:type="spellEnd"/>
      <w:r w:rsidRPr="00271359">
        <w:rPr>
          <w:rFonts w:ascii="Candara" w:hAnsi="Candara"/>
          <w:lang w:val="en-US"/>
        </w:rPr>
        <w:t xml:space="preserve">, L., Webb, P., &amp; Masters, W. A. (2023). Assessing the affordability of nutrient-adequate diets. </w:t>
      </w:r>
      <w:r w:rsidRPr="00271359">
        <w:rPr>
          <w:rFonts w:ascii="Candara" w:hAnsi="Candara"/>
          <w:i/>
          <w:iCs/>
          <w:lang w:val="en-US"/>
        </w:rPr>
        <w:t>American Journal of Agricultural Economics, 105</w:t>
      </w:r>
      <w:r w:rsidRPr="00271359">
        <w:rPr>
          <w:rFonts w:ascii="Candara" w:hAnsi="Candara"/>
          <w:lang w:val="en-US"/>
        </w:rPr>
        <w:t xml:space="preserve">(2), 503–524. </w:t>
      </w:r>
      <w:hyperlink r:id="rId18" w:tgtFrame="_new" w:history="1">
        <w:r w:rsidRPr="00271359">
          <w:rPr>
            <w:rStyle w:val="Hipervnculo"/>
            <w:rFonts w:ascii="Candara" w:hAnsi="Candara"/>
            <w:lang w:val="en-US"/>
          </w:rPr>
          <w:t>https://doi.org/10.1111/ajae.12334</w:t>
        </w:r>
      </w:hyperlink>
    </w:p>
    <w:p w14:paraId="77FEF606" w14:textId="77777777" w:rsidR="00271359" w:rsidRPr="00271359" w:rsidRDefault="00271359" w:rsidP="00271359">
      <w:pPr>
        <w:spacing w:after="0" w:line="240" w:lineRule="atLeast"/>
        <w:ind w:firstLine="426"/>
        <w:rPr>
          <w:rFonts w:ascii="Candara" w:hAnsi="Candara"/>
          <w:lang w:val="en-US"/>
        </w:rPr>
      </w:pPr>
      <w:r w:rsidRPr="00271359">
        <w:rPr>
          <w:rFonts w:ascii="Candara" w:hAnsi="Candara"/>
          <w:lang w:val="en-US"/>
        </w:rPr>
        <w:t xml:space="preserve">Van, D. T. T., Herforth, A. W., Trinh, H. T., Dao, B. T. T., Do, H. T. P., Talsma, E. F., &amp; </w:t>
      </w:r>
      <w:proofErr w:type="spellStart"/>
      <w:r w:rsidRPr="00271359">
        <w:rPr>
          <w:rFonts w:ascii="Candara" w:hAnsi="Candara"/>
          <w:lang w:val="en-US"/>
        </w:rPr>
        <w:t>Feskens</w:t>
      </w:r>
      <w:proofErr w:type="spellEnd"/>
      <w:r w:rsidRPr="00271359">
        <w:rPr>
          <w:rFonts w:ascii="Candara" w:hAnsi="Candara"/>
          <w:lang w:val="en-US"/>
        </w:rPr>
        <w:t xml:space="preserve">, E. J. M. (2024). Cost and affordability of healthy diets in Vietnam. </w:t>
      </w:r>
      <w:r w:rsidRPr="00271359">
        <w:rPr>
          <w:rFonts w:ascii="Candara" w:hAnsi="Candara"/>
          <w:i/>
          <w:iCs/>
          <w:lang w:val="en-US"/>
        </w:rPr>
        <w:t>Public Health Nutrition, 27</w:t>
      </w:r>
      <w:r w:rsidRPr="00271359">
        <w:rPr>
          <w:rFonts w:ascii="Candara" w:hAnsi="Candara"/>
          <w:lang w:val="en-US"/>
        </w:rPr>
        <w:t xml:space="preserve">, e3. </w:t>
      </w:r>
      <w:hyperlink r:id="rId19" w:tgtFrame="_new" w:history="1">
        <w:r w:rsidRPr="00271359">
          <w:rPr>
            <w:rStyle w:val="Hipervnculo"/>
            <w:rFonts w:ascii="Candara" w:hAnsi="Candara"/>
            <w:lang w:val="en-US"/>
          </w:rPr>
          <w:t>https://doi.org/10.1017/S1368980023002665</w:t>
        </w:r>
      </w:hyperlink>
    </w:p>
    <w:p w14:paraId="0B313FE4" w14:textId="77777777" w:rsidR="00271359" w:rsidRPr="00271359" w:rsidRDefault="00271359" w:rsidP="00271359">
      <w:pPr>
        <w:spacing w:after="0" w:line="240" w:lineRule="atLeast"/>
        <w:ind w:firstLine="426"/>
        <w:rPr>
          <w:rFonts w:ascii="Candara" w:hAnsi="Candara"/>
        </w:rPr>
      </w:pPr>
      <w:r w:rsidRPr="00271359">
        <w:rPr>
          <w:rFonts w:ascii="Candara" w:hAnsi="Candara"/>
          <w:lang w:val="en-US"/>
        </w:rPr>
        <w:t xml:space="preserve">Wallingford, J. K., de Pee, S., Herforth, A. W., Kuri, S., Bai, Y., &amp; Masters, W. A. (2024). Measuring food access using least-cost diets: Results for global monitoring and targeting of interventions to improve food security, nutrition and health. </w:t>
      </w:r>
      <w:r w:rsidRPr="00271359">
        <w:rPr>
          <w:rFonts w:ascii="Candara" w:hAnsi="Candara"/>
          <w:i/>
          <w:iCs/>
        </w:rPr>
        <w:t xml:space="preserve">Global </w:t>
      </w:r>
      <w:proofErr w:type="spellStart"/>
      <w:r w:rsidRPr="00271359">
        <w:rPr>
          <w:rFonts w:ascii="Candara" w:hAnsi="Candara"/>
          <w:i/>
          <w:iCs/>
        </w:rPr>
        <w:t>Food</w:t>
      </w:r>
      <w:proofErr w:type="spellEnd"/>
      <w:r w:rsidRPr="00271359">
        <w:rPr>
          <w:rFonts w:ascii="Candara" w:hAnsi="Candara"/>
          <w:i/>
          <w:iCs/>
        </w:rPr>
        <w:t xml:space="preserve"> Security, 41</w:t>
      </w:r>
      <w:r w:rsidRPr="00271359">
        <w:rPr>
          <w:rFonts w:ascii="Candara" w:hAnsi="Candara"/>
        </w:rPr>
        <w:t xml:space="preserve">, 100771. </w:t>
      </w:r>
      <w:hyperlink r:id="rId20" w:tgtFrame="_new" w:history="1">
        <w:r w:rsidRPr="00271359">
          <w:rPr>
            <w:rStyle w:val="Hipervnculo"/>
            <w:rFonts w:ascii="Candara" w:hAnsi="Candara"/>
          </w:rPr>
          <w:t>https://doi.org/10.1016/j.gfs.2024.100771</w:t>
        </w:r>
      </w:hyperlink>
    </w:p>
    <w:p w14:paraId="7B6CBD1B" w14:textId="77777777" w:rsidR="00271359" w:rsidRPr="00271359" w:rsidRDefault="00271359" w:rsidP="00271359">
      <w:pPr>
        <w:spacing w:after="0" w:line="240" w:lineRule="atLeast"/>
        <w:ind w:firstLine="426"/>
        <w:rPr>
          <w:rFonts w:ascii="Candara" w:hAnsi="Candara"/>
        </w:rPr>
      </w:pPr>
      <w:r w:rsidRPr="00271359">
        <w:rPr>
          <w:rFonts w:ascii="Candara" w:hAnsi="Candara"/>
        </w:rPr>
        <w:t xml:space="preserve">Yoshioka Vargas, A. M., Zea León, M. P., Girón Cruz, L. E., González Gómez, D. E., Barona Montoya, S. A., Rankin-Cortázar, S., &amp; González Rodríguez, C. E. (2026). </w:t>
      </w:r>
      <w:r w:rsidRPr="00271359">
        <w:rPr>
          <w:rFonts w:ascii="Candara" w:hAnsi="Candara"/>
          <w:lang w:val="en-US"/>
        </w:rPr>
        <w:t xml:space="preserve">Cost and affordability of three levels of diet quality for urban households in Colombia. </w:t>
      </w:r>
      <w:proofErr w:type="spellStart"/>
      <w:r w:rsidRPr="00271359">
        <w:rPr>
          <w:rFonts w:ascii="Candara" w:hAnsi="Candara"/>
          <w:i/>
          <w:iCs/>
        </w:rPr>
        <w:t>Public</w:t>
      </w:r>
      <w:proofErr w:type="spellEnd"/>
      <w:r w:rsidRPr="00271359">
        <w:rPr>
          <w:rFonts w:ascii="Candara" w:hAnsi="Candara"/>
          <w:i/>
          <w:iCs/>
        </w:rPr>
        <w:t xml:space="preserve"> </w:t>
      </w:r>
      <w:proofErr w:type="spellStart"/>
      <w:r w:rsidRPr="00271359">
        <w:rPr>
          <w:rFonts w:ascii="Candara" w:hAnsi="Candara"/>
          <w:i/>
          <w:iCs/>
        </w:rPr>
        <w:t>Health</w:t>
      </w:r>
      <w:proofErr w:type="spellEnd"/>
      <w:r w:rsidRPr="00271359">
        <w:rPr>
          <w:rFonts w:ascii="Candara" w:hAnsi="Candara"/>
          <w:i/>
          <w:iCs/>
        </w:rPr>
        <w:t xml:space="preserve"> </w:t>
      </w:r>
      <w:proofErr w:type="spellStart"/>
      <w:r w:rsidRPr="00271359">
        <w:rPr>
          <w:rFonts w:ascii="Candara" w:hAnsi="Candara"/>
          <w:i/>
          <w:iCs/>
        </w:rPr>
        <w:t>Nutrition</w:t>
      </w:r>
      <w:proofErr w:type="spellEnd"/>
      <w:r w:rsidRPr="00271359">
        <w:rPr>
          <w:rFonts w:ascii="Candara" w:hAnsi="Candara"/>
          <w:i/>
          <w:iCs/>
        </w:rPr>
        <w:t>, 29</w:t>
      </w:r>
      <w:r w:rsidRPr="00271359">
        <w:rPr>
          <w:rFonts w:ascii="Candara" w:hAnsi="Candara"/>
        </w:rPr>
        <w:t>, e70, 1–13. https://doi.org/10.1017/S1368980025000564</w:t>
      </w:r>
    </w:p>
    <w:p w14:paraId="65712A20" w14:textId="77777777" w:rsidR="00271359" w:rsidRPr="00271359" w:rsidRDefault="00271359" w:rsidP="00271359">
      <w:pPr>
        <w:spacing w:after="0" w:line="240" w:lineRule="atLeast"/>
        <w:rPr>
          <w:rFonts w:ascii="Candara" w:hAnsi="Candara"/>
          <w:lang w:val="en-US"/>
        </w:rPr>
      </w:pPr>
    </w:p>
    <w:sectPr w:rsidR="00271359" w:rsidRPr="0027135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3CB74B" w14:textId="77777777" w:rsidR="0000286C" w:rsidRDefault="0000286C" w:rsidP="00104F23">
      <w:pPr>
        <w:spacing w:after="0" w:line="240" w:lineRule="auto"/>
      </w:pPr>
      <w:r>
        <w:separator/>
      </w:r>
    </w:p>
  </w:endnote>
  <w:endnote w:type="continuationSeparator" w:id="0">
    <w:p w14:paraId="03B07FC7" w14:textId="77777777" w:rsidR="0000286C" w:rsidRDefault="0000286C" w:rsidP="00104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AEC42B" w14:textId="77777777" w:rsidR="0000286C" w:rsidRDefault="0000286C" w:rsidP="00104F23">
      <w:pPr>
        <w:spacing w:after="0" w:line="240" w:lineRule="auto"/>
      </w:pPr>
      <w:r>
        <w:separator/>
      </w:r>
    </w:p>
  </w:footnote>
  <w:footnote w:type="continuationSeparator" w:id="0">
    <w:p w14:paraId="43340C56" w14:textId="77777777" w:rsidR="0000286C" w:rsidRDefault="0000286C" w:rsidP="00104F23">
      <w:pPr>
        <w:spacing w:after="0" w:line="240" w:lineRule="auto"/>
      </w:pPr>
      <w:r>
        <w:continuationSeparator/>
      </w:r>
    </w:p>
  </w:footnote>
  <w:footnote w:id="1">
    <w:p w14:paraId="2AA9BBEF" w14:textId="498AD946" w:rsidR="00104F23" w:rsidRPr="00104F23" w:rsidRDefault="00104F23">
      <w:pPr>
        <w:pStyle w:val="Textonotapie"/>
        <w:rPr>
          <w:lang w:val="es-MX"/>
        </w:rPr>
      </w:pPr>
      <w:r>
        <w:rPr>
          <w:rStyle w:val="Refdenotaalpie"/>
        </w:rPr>
        <w:footnoteRef/>
      </w:r>
      <w:r>
        <w:t xml:space="preserve"> </w:t>
      </w:r>
      <w:r>
        <w:rPr>
          <w:lang w:val="es-MX"/>
        </w:rPr>
        <w:t xml:space="preserve">Nota las referencias de Latino et al., 2024; </w:t>
      </w:r>
      <w:proofErr w:type="spellStart"/>
      <w:r>
        <w:rPr>
          <w:lang w:val="es-MX"/>
        </w:rPr>
        <w:t>Alemayehu</w:t>
      </w:r>
      <w:proofErr w:type="spellEnd"/>
      <w:r>
        <w:rPr>
          <w:lang w:val="es-MX"/>
        </w:rPr>
        <w:t xml:space="preserve"> et al., 2023 y Van et al., 2024 se deben revisar. ¿Sí son correctas?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041"/>
    <w:rsid w:val="0000286C"/>
    <w:rsid w:val="000D166B"/>
    <w:rsid w:val="00104F23"/>
    <w:rsid w:val="00271359"/>
    <w:rsid w:val="003D753B"/>
    <w:rsid w:val="004160D4"/>
    <w:rsid w:val="004A7F7E"/>
    <w:rsid w:val="006177B3"/>
    <w:rsid w:val="006542FF"/>
    <w:rsid w:val="00682C40"/>
    <w:rsid w:val="00694861"/>
    <w:rsid w:val="006A1766"/>
    <w:rsid w:val="00701041"/>
    <w:rsid w:val="00742B06"/>
    <w:rsid w:val="007A592B"/>
    <w:rsid w:val="007A6901"/>
    <w:rsid w:val="00815B29"/>
    <w:rsid w:val="00880B97"/>
    <w:rsid w:val="00882BA3"/>
    <w:rsid w:val="00897A83"/>
    <w:rsid w:val="00A0396D"/>
    <w:rsid w:val="00AD2D4A"/>
    <w:rsid w:val="00B064A7"/>
    <w:rsid w:val="00B423A2"/>
    <w:rsid w:val="00B66F5B"/>
    <w:rsid w:val="00B67B6B"/>
    <w:rsid w:val="00BC2431"/>
    <w:rsid w:val="00C07B09"/>
    <w:rsid w:val="00CA4BBF"/>
    <w:rsid w:val="00D174F1"/>
    <w:rsid w:val="00E03ACD"/>
    <w:rsid w:val="00EB5A14"/>
    <w:rsid w:val="00F96F37"/>
    <w:rsid w:val="00FC22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82B0D"/>
  <w15:chartTrackingRefBased/>
  <w15:docId w15:val="{8C927530-63FF-4D66-9D27-FFB7F36B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10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10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10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10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10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10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10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10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10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10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10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10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10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10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10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10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10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1041"/>
    <w:rPr>
      <w:rFonts w:eastAsiaTheme="majorEastAsia" w:cstheme="majorBidi"/>
      <w:color w:val="272727" w:themeColor="text1" w:themeTint="D8"/>
    </w:rPr>
  </w:style>
  <w:style w:type="paragraph" w:styleId="Ttulo">
    <w:name w:val="Title"/>
    <w:basedOn w:val="Normal"/>
    <w:next w:val="Normal"/>
    <w:link w:val="TtuloCar"/>
    <w:uiPriority w:val="10"/>
    <w:qFormat/>
    <w:rsid w:val="007010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10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10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10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1041"/>
    <w:pPr>
      <w:spacing w:before="160"/>
      <w:jc w:val="center"/>
    </w:pPr>
    <w:rPr>
      <w:i/>
      <w:iCs/>
      <w:color w:val="404040" w:themeColor="text1" w:themeTint="BF"/>
    </w:rPr>
  </w:style>
  <w:style w:type="character" w:customStyle="1" w:styleId="CitaCar">
    <w:name w:val="Cita Car"/>
    <w:basedOn w:val="Fuentedeprrafopredeter"/>
    <w:link w:val="Cita"/>
    <w:uiPriority w:val="29"/>
    <w:rsid w:val="00701041"/>
    <w:rPr>
      <w:i/>
      <w:iCs/>
      <w:color w:val="404040" w:themeColor="text1" w:themeTint="BF"/>
    </w:rPr>
  </w:style>
  <w:style w:type="paragraph" w:styleId="Prrafodelista">
    <w:name w:val="List Paragraph"/>
    <w:basedOn w:val="Normal"/>
    <w:uiPriority w:val="34"/>
    <w:qFormat/>
    <w:rsid w:val="00701041"/>
    <w:pPr>
      <w:ind w:left="720"/>
      <w:contextualSpacing/>
    </w:pPr>
  </w:style>
  <w:style w:type="character" w:styleId="nfasisintenso">
    <w:name w:val="Intense Emphasis"/>
    <w:basedOn w:val="Fuentedeprrafopredeter"/>
    <w:uiPriority w:val="21"/>
    <w:qFormat/>
    <w:rsid w:val="00701041"/>
    <w:rPr>
      <w:i/>
      <w:iCs/>
      <w:color w:val="0F4761" w:themeColor="accent1" w:themeShade="BF"/>
    </w:rPr>
  </w:style>
  <w:style w:type="paragraph" w:styleId="Citadestacada">
    <w:name w:val="Intense Quote"/>
    <w:basedOn w:val="Normal"/>
    <w:next w:val="Normal"/>
    <w:link w:val="CitadestacadaCar"/>
    <w:uiPriority w:val="30"/>
    <w:qFormat/>
    <w:rsid w:val="007010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1041"/>
    <w:rPr>
      <w:i/>
      <w:iCs/>
      <w:color w:val="0F4761" w:themeColor="accent1" w:themeShade="BF"/>
    </w:rPr>
  </w:style>
  <w:style w:type="character" w:styleId="Referenciaintensa">
    <w:name w:val="Intense Reference"/>
    <w:basedOn w:val="Fuentedeprrafopredeter"/>
    <w:uiPriority w:val="32"/>
    <w:qFormat/>
    <w:rsid w:val="00701041"/>
    <w:rPr>
      <w:b/>
      <w:bCs/>
      <w:smallCaps/>
      <w:color w:val="0F4761" w:themeColor="accent1" w:themeShade="BF"/>
      <w:spacing w:val="5"/>
    </w:rPr>
  </w:style>
  <w:style w:type="paragraph" w:styleId="Sinespaciado">
    <w:name w:val="No Spacing"/>
    <w:uiPriority w:val="1"/>
    <w:qFormat/>
    <w:rsid w:val="00701041"/>
    <w:pPr>
      <w:spacing w:after="0" w:line="240" w:lineRule="auto"/>
    </w:pPr>
  </w:style>
  <w:style w:type="character" w:styleId="Hipervnculo">
    <w:name w:val="Hyperlink"/>
    <w:basedOn w:val="Fuentedeprrafopredeter"/>
    <w:uiPriority w:val="99"/>
    <w:unhideWhenUsed/>
    <w:rsid w:val="00271359"/>
    <w:rPr>
      <w:color w:val="467886" w:themeColor="hyperlink"/>
      <w:u w:val="single"/>
    </w:rPr>
  </w:style>
  <w:style w:type="character" w:styleId="Mencinsinresolver">
    <w:name w:val="Unresolved Mention"/>
    <w:basedOn w:val="Fuentedeprrafopredeter"/>
    <w:uiPriority w:val="99"/>
    <w:semiHidden/>
    <w:unhideWhenUsed/>
    <w:rsid w:val="00271359"/>
    <w:rPr>
      <w:color w:val="605E5C"/>
      <w:shd w:val="clear" w:color="auto" w:fill="E1DFDD"/>
    </w:rPr>
  </w:style>
  <w:style w:type="paragraph" w:styleId="Textonotapie">
    <w:name w:val="footnote text"/>
    <w:basedOn w:val="Normal"/>
    <w:link w:val="TextonotapieCar"/>
    <w:uiPriority w:val="99"/>
    <w:semiHidden/>
    <w:unhideWhenUsed/>
    <w:rsid w:val="00104F2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04F23"/>
    <w:rPr>
      <w:sz w:val="20"/>
      <w:szCs w:val="20"/>
    </w:rPr>
  </w:style>
  <w:style w:type="character" w:styleId="Refdenotaalpie">
    <w:name w:val="footnote reference"/>
    <w:basedOn w:val="Fuentedeprrafopredeter"/>
    <w:uiPriority w:val="99"/>
    <w:semiHidden/>
    <w:unhideWhenUsed/>
    <w:rsid w:val="00104F23"/>
    <w:rPr>
      <w:vertAlign w:val="superscript"/>
    </w:rPr>
  </w:style>
  <w:style w:type="paragraph" w:styleId="NormalWeb">
    <w:name w:val="Normal (Web)"/>
    <w:basedOn w:val="Normal"/>
    <w:uiPriority w:val="99"/>
    <w:semiHidden/>
    <w:unhideWhenUsed/>
    <w:rsid w:val="00B064A7"/>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290533">
      <w:bodyDiv w:val="1"/>
      <w:marLeft w:val="0"/>
      <w:marRight w:val="0"/>
      <w:marTop w:val="0"/>
      <w:marBottom w:val="0"/>
      <w:divBdr>
        <w:top w:val="none" w:sz="0" w:space="0" w:color="auto"/>
        <w:left w:val="none" w:sz="0" w:space="0" w:color="auto"/>
        <w:bottom w:val="none" w:sz="0" w:space="0" w:color="auto"/>
        <w:right w:val="none" w:sz="0" w:space="0" w:color="auto"/>
      </w:divBdr>
      <w:divsChild>
        <w:div w:id="1922255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1443936">
      <w:bodyDiv w:val="1"/>
      <w:marLeft w:val="0"/>
      <w:marRight w:val="0"/>
      <w:marTop w:val="0"/>
      <w:marBottom w:val="0"/>
      <w:divBdr>
        <w:top w:val="none" w:sz="0" w:space="0" w:color="auto"/>
        <w:left w:val="none" w:sz="0" w:space="0" w:color="auto"/>
        <w:bottom w:val="none" w:sz="0" w:space="0" w:color="auto"/>
        <w:right w:val="none" w:sz="0" w:space="0" w:color="auto"/>
      </w:divBdr>
      <w:divsChild>
        <w:div w:id="1222249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72832">
      <w:bodyDiv w:val="1"/>
      <w:marLeft w:val="0"/>
      <w:marRight w:val="0"/>
      <w:marTop w:val="0"/>
      <w:marBottom w:val="0"/>
      <w:divBdr>
        <w:top w:val="none" w:sz="0" w:space="0" w:color="auto"/>
        <w:left w:val="none" w:sz="0" w:space="0" w:color="auto"/>
        <w:bottom w:val="none" w:sz="0" w:space="0" w:color="auto"/>
        <w:right w:val="none" w:sz="0" w:space="0" w:color="auto"/>
      </w:divBdr>
      <w:divsChild>
        <w:div w:id="906494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7012713">
      <w:bodyDiv w:val="1"/>
      <w:marLeft w:val="0"/>
      <w:marRight w:val="0"/>
      <w:marTop w:val="0"/>
      <w:marBottom w:val="0"/>
      <w:divBdr>
        <w:top w:val="none" w:sz="0" w:space="0" w:color="auto"/>
        <w:left w:val="none" w:sz="0" w:space="0" w:color="auto"/>
        <w:bottom w:val="none" w:sz="0" w:space="0" w:color="auto"/>
        <w:right w:val="none" w:sz="0" w:space="0" w:color="auto"/>
      </w:divBdr>
      <w:divsChild>
        <w:div w:id="981813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027595">
      <w:bodyDiv w:val="1"/>
      <w:marLeft w:val="0"/>
      <w:marRight w:val="0"/>
      <w:marTop w:val="0"/>
      <w:marBottom w:val="0"/>
      <w:divBdr>
        <w:top w:val="none" w:sz="0" w:space="0" w:color="auto"/>
        <w:left w:val="none" w:sz="0" w:space="0" w:color="auto"/>
        <w:bottom w:val="none" w:sz="0" w:space="0" w:color="auto"/>
        <w:right w:val="none" w:sz="0" w:space="0" w:color="auto"/>
      </w:divBdr>
      <w:divsChild>
        <w:div w:id="101389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7486919">
      <w:bodyDiv w:val="1"/>
      <w:marLeft w:val="0"/>
      <w:marRight w:val="0"/>
      <w:marTop w:val="0"/>
      <w:marBottom w:val="0"/>
      <w:divBdr>
        <w:top w:val="none" w:sz="0" w:space="0" w:color="auto"/>
        <w:left w:val="none" w:sz="0" w:space="0" w:color="auto"/>
        <w:bottom w:val="none" w:sz="0" w:space="0" w:color="auto"/>
        <w:right w:val="none" w:sz="0" w:space="0" w:color="auto"/>
      </w:divBdr>
      <w:divsChild>
        <w:div w:id="826826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292903">
      <w:bodyDiv w:val="1"/>
      <w:marLeft w:val="0"/>
      <w:marRight w:val="0"/>
      <w:marTop w:val="0"/>
      <w:marBottom w:val="0"/>
      <w:divBdr>
        <w:top w:val="none" w:sz="0" w:space="0" w:color="auto"/>
        <w:left w:val="none" w:sz="0" w:space="0" w:color="auto"/>
        <w:bottom w:val="none" w:sz="0" w:space="0" w:color="auto"/>
        <w:right w:val="none" w:sz="0" w:space="0" w:color="auto"/>
      </w:divBdr>
      <w:divsChild>
        <w:div w:id="101045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2542-5196(21)00285-0" TargetMode="External"/><Relationship Id="rId13" Type="http://schemas.openxmlformats.org/officeDocument/2006/relationships/hyperlink" Target="https://doi.org/10.4060/cb2431en" TargetMode="External"/><Relationship Id="rId18" Type="http://schemas.openxmlformats.org/officeDocument/2006/relationships/hyperlink" Target="https://doi.org/10.1111/ajae.1233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i.org/10.1016/j.foodpol.2020.101983" TargetMode="External"/><Relationship Id="rId12" Type="http://schemas.openxmlformats.org/officeDocument/2006/relationships/hyperlink" Target="https://doi.org/10.1016/j.foodpol.2024.102654" TargetMode="External"/><Relationship Id="rId17" Type="http://schemas.openxmlformats.org/officeDocument/2006/relationships/hyperlink" Target="https://doi.org/10.2499/p15738coll2.133344" TargetMode="External"/><Relationship Id="rId2" Type="http://schemas.openxmlformats.org/officeDocument/2006/relationships/styles" Target="styles.xml"/><Relationship Id="rId16" Type="http://schemas.openxmlformats.org/officeDocument/2006/relationships/hyperlink" Target="https://doi.org/10.1016/j.gfs.2024.100746" TargetMode="External"/><Relationship Id="rId20" Type="http://schemas.openxmlformats.org/officeDocument/2006/relationships/hyperlink" Target="https://doi.org/10.1016/j.gfs.2024.100771"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26/science.1182768" TargetMode="External"/><Relationship Id="rId5" Type="http://schemas.openxmlformats.org/officeDocument/2006/relationships/footnotes" Target="footnotes.xml"/><Relationship Id="rId15" Type="http://schemas.openxmlformats.org/officeDocument/2006/relationships/hyperlink" Target="https://doi.org/10.1038/s43016-021-00323-8" TargetMode="External"/><Relationship Id="rId10" Type="http://schemas.openxmlformats.org/officeDocument/2006/relationships/hyperlink" Target="https://doi.org/10.1016/j.gfs.2024.100757" TargetMode="External"/><Relationship Id="rId19" Type="http://schemas.openxmlformats.org/officeDocument/2006/relationships/hyperlink" Target="https://doi.org/10.1017/S1368980023002665" TargetMode="External"/><Relationship Id="rId4" Type="http://schemas.openxmlformats.org/officeDocument/2006/relationships/webSettings" Target="webSettings.xml"/><Relationship Id="rId9" Type="http://schemas.openxmlformats.org/officeDocument/2006/relationships/hyperlink" Target="https://doi.org/10.1126/sciadv.abc2162" TargetMode="External"/><Relationship Id="rId14" Type="http://schemas.openxmlformats.org/officeDocument/2006/relationships/hyperlink" Target="https://doi.org/10.4060/cc1169en"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68BB10-BB23-4859-AA51-818A2B45F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5</Pages>
  <Words>2554</Words>
  <Characters>14053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Alberto Baez Palencia</dc:creator>
  <cp:keywords/>
  <dc:description/>
  <cp:lastModifiedBy>Sergio Barona</cp:lastModifiedBy>
  <cp:revision>2</cp:revision>
  <dcterms:created xsi:type="dcterms:W3CDTF">2026-08-06T20:00:00Z</dcterms:created>
  <dcterms:modified xsi:type="dcterms:W3CDTF">2026-09-14T07:20:00Z</dcterms:modified>
</cp:coreProperties>
</file>