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20FF2" w:rsidRPr="00420FF2" w:rsidRDefault="00420FF2" w:rsidP="00420FF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CO"/>
        </w:rPr>
      </w:pPr>
      <w:proofErr w:type="spellStart"/>
      <w:r w:rsidRPr="00420FF2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CO"/>
        </w:rPr>
        <w:t>Figuras</w:t>
      </w:r>
      <w:proofErr w:type="spellEnd"/>
    </w:p>
    <w:p w:rsidR="00420FF2" w:rsidRPr="00420FF2" w:rsidRDefault="00420FF2" w:rsidP="00420F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</w:pPr>
      <w:r w:rsidRPr="00420FF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s-CO"/>
        </w:rPr>
        <w:t>F1.</w:t>
      </w:r>
      <w:r w:rsidRPr="00420FF2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 Retail food price index and seasonal patterns by food group and city (2018–2024)</w:t>
      </w:r>
    </w:p>
    <w:p w:rsidR="00420FF2" w:rsidRPr="00420FF2" w:rsidRDefault="00420FF2" w:rsidP="00420F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</w:pPr>
      <w:r w:rsidRPr="00420FF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s-CO"/>
        </w:rPr>
        <w:t>F2.</w:t>
      </w:r>
      <w:r w:rsidRPr="00420FF2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 Daily diet costs and energy-normalized costs by city (2018–2024)</w:t>
      </w:r>
    </w:p>
    <w:p w:rsidR="00420FF2" w:rsidRPr="00420FF2" w:rsidRDefault="00420FF2" w:rsidP="00420F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</w:pPr>
      <w:r w:rsidRPr="00420FF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s-CO"/>
        </w:rPr>
        <w:t>F3.</w:t>
      </w:r>
      <w:r w:rsidRPr="00420FF2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 Dietary quality and nutritional complexity premia by city (2018–2024)</w:t>
      </w:r>
    </w:p>
    <w:p w:rsidR="00420FF2" w:rsidRPr="00420FF2" w:rsidRDefault="00420FF2" w:rsidP="00420F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</w:pPr>
      <w:r w:rsidRPr="00420FF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s-CO"/>
        </w:rPr>
        <w:t>F4.</w:t>
      </w:r>
      <w:r w:rsidRPr="00420FF2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 </w:t>
      </w:r>
      <w:proofErr w:type="spellStart"/>
      <w:r w:rsidRPr="00420FF2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>CoRD</w:t>
      </w:r>
      <w:proofErr w:type="spellEnd"/>
      <w:r w:rsidRPr="00420FF2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 composition by food group and city (2018–2024)</w:t>
      </w:r>
    </w:p>
    <w:p w:rsidR="00420FF2" w:rsidRPr="00420FF2" w:rsidRDefault="00420FF2" w:rsidP="00420F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</w:pPr>
      <w:r w:rsidRPr="00420FF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s-CO"/>
        </w:rPr>
        <w:t>F5.</w:t>
      </w:r>
      <w:r w:rsidRPr="00420FF2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 Limiting nutrients and shadow price elasticities by city and demographic group</w:t>
      </w:r>
    </w:p>
    <w:p w:rsidR="00420FF2" w:rsidRPr="00420FF2" w:rsidRDefault="00420FF2" w:rsidP="00420F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</w:pPr>
      <w:r w:rsidRPr="00420FF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s-CO"/>
        </w:rPr>
        <w:t>F6.</w:t>
      </w:r>
      <w:r w:rsidRPr="00420FF2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 </w:t>
      </w:r>
      <w:proofErr w:type="spellStart"/>
      <w:r w:rsidRPr="00420FF2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>CoNA</w:t>
      </w:r>
      <w:proofErr w:type="spellEnd"/>
      <w:r w:rsidRPr="00420FF2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 versus CC-</w:t>
      </w:r>
      <w:proofErr w:type="spellStart"/>
      <w:r w:rsidRPr="00420FF2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>CoNA</w:t>
      </w:r>
      <w:proofErr w:type="spellEnd"/>
      <w:r w:rsidRPr="00420FF2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 by city and tolerance parameter </w:t>
      </w:r>
      <w:r w:rsidRPr="00420FF2">
        <w:rPr>
          <w:rFonts w:ascii="Times New Roman" w:eastAsia="Times New Roman" w:hAnsi="Times New Roman" w:cs="Times New Roman"/>
          <w:sz w:val="24"/>
          <w:szCs w:val="24"/>
          <w:lang w:eastAsia="es-CO"/>
        </w:rPr>
        <w:t>θ</w:t>
      </w:r>
      <w:r w:rsidRPr="00420FF2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 (2018–2024)</w:t>
      </w:r>
    </w:p>
    <w:p w:rsidR="00420FF2" w:rsidRPr="00420FF2" w:rsidRDefault="00420FF2" w:rsidP="00420F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</w:pPr>
      <w:r w:rsidRPr="00420FF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s-CO"/>
        </w:rPr>
        <w:t>F7.</w:t>
      </w:r>
      <w:r w:rsidRPr="00420FF2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 Income density and diet cost thresholds by city (2018–2024)</w:t>
      </w:r>
    </w:p>
    <w:p w:rsidR="00420FF2" w:rsidRPr="00420FF2" w:rsidRDefault="00420FF2" w:rsidP="00420F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</w:pPr>
      <w:r w:rsidRPr="00420FF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s-CO"/>
        </w:rPr>
        <w:t>F8.</w:t>
      </w:r>
      <w:r w:rsidRPr="00420FF2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 Affordability indicators by city (2018–2024)</w:t>
      </w:r>
    </w:p>
    <w:p w:rsidR="00420FF2" w:rsidRPr="00420FF2" w:rsidRDefault="00420FF2" w:rsidP="00420F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420FF2">
        <w:rPr>
          <w:rFonts w:ascii="Times New Roman" w:eastAsia="Times New Roman" w:hAnsi="Times New Roman" w:cs="Times New Roman"/>
          <w:sz w:val="24"/>
          <w:szCs w:val="24"/>
          <w:lang w:eastAsia="es-CO"/>
        </w:rPr>
        <w:pict>
          <v:rect id="_x0000_i1025" style="width:0;height:1.5pt" o:hralign="center" o:hrstd="t" o:hr="t" fillcolor="#a0a0a0" stroked="f"/>
        </w:pict>
      </w:r>
    </w:p>
    <w:p w:rsidR="00420FF2" w:rsidRPr="00420FF2" w:rsidRDefault="00420FF2" w:rsidP="00420FF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CO"/>
        </w:rPr>
      </w:pPr>
      <w:proofErr w:type="spellStart"/>
      <w:r w:rsidRPr="00420FF2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CO"/>
        </w:rPr>
        <w:t>Tablas</w:t>
      </w:r>
      <w:proofErr w:type="spellEnd"/>
    </w:p>
    <w:p w:rsidR="00420FF2" w:rsidRPr="00420FF2" w:rsidRDefault="00420FF2" w:rsidP="00420F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</w:pPr>
      <w:r w:rsidRPr="00420FF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s-CO"/>
        </w:rPr>
        <w:t>T1.</w:t>
      </w:r>
      <w:r w:rsidRPr="00420FF2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 Foods selected for the </w:t>
      </w:r>
      <w:proofErr w:type="spellStart"/>
      <w:r w:rsidRPr="00420FF2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>CoRD</w:t>
      </w:r>
      <w:proofErr w:type="spellEnd"/>
      <w:r w:rsidRPr="00420FF2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 by GABA food group</w:t>
      </w:r>
    </w:p>
    <w:p w:rsidR="00420FF2" w:rsidRPr="00420FF2" w:rsidRDefault="00420FF2" w:rsidP="00420F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</w:pPr>
      <w:r w:rsidRPr="00420FF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s-CO"/>
        </w:rPr>
        <w:t>T2.</w:t>
      </w:r>
      <w:r w:rsidRPr="00420FF2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 Diet costs, premia, and cost ratios by city and sub-period — representative household</w:t>
      </w:r>
    </w:p>
    <w:p w:rsidR="00420FF2" w:rsidRPr="00420FF2" w:rsidRDefault="00420FF2" w:rsidP="00420F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</w:pPr>
      <w:r w:rsidRPr="00420FF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s-CO"/>
        </w:rPr>
        <w:t>T3.</w:t>
      </w:r>
      <w:r w:rsidRPr="00420FF2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 Affordability indicators by city and sub-period</w:t>
      </w:r>
    </w:p>
    <w:p w:rsidR="00420FF2" w:rsidRPr="00420FF2" w:rsidRDefault="00420FF2" w:rsidP="00420F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420FF2">
        <w:rPr>
          <w:rFonts w:ascii="Times New Roman" w:eastAsia="Times New Roman" w:hAnsi="Times New Roman" w:cs="Times New Roman"/>
          <w:sz w:val="24"/>
          <w:szCs w:val="24"/>
          <w:lang w:eastAsia="es-CO"/>
        </w:rPr>
        <w:pict>
          <v:rect id="_x0000_i1026" style="width:0;height:1.5pt" o:hralign="center" o:hrstd="t" o:hr="t" fillcolor="#a0a0a0" stroked="f"/>
        </w:pict>
      </w:r>
    </w:p>
    <w:p w:rsidR="00420FF2" w:rsidRPr="00420FF2" w:rsidRDefault="00420FF2" w:rsidP="00420FF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CO"/>
        </w:rPr>
      </w:pPr>
      <w:r w:rsidRPr="00420FF2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CO"/>
        </w:rPr>
        <w:t xml:space="preserve">Material </w:t>
      </w:r>
      <w:proofErr w:type="spellStart"/>
      <w:r w:rsidRPr="00420FF2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CO"/>
        </w:rPr>
        <w:t>Suplementario</w:t>
      </w:r>
      <w:proofErr w:type="spellEnd"/>
    </w:p>
    <w:p w:rsidR="00420FF2" w:rsidRPr="00420FF2" w:rsidRDefault="00420FF2" w:rsidP="00420F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</w:pPr>
      <w:r w:rsidRPr="00420FF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s-CO"/>
        </w:rPr>
        <w:t>S1.</w:t>
      </w:r>
      <w:r w:rsidRPr="00420FF2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 Food items, retail prices, and nutritional composition (100 items)</w:t>
      </w:r>
    </w:p>
    <w:p w:rsidR="00420FF2" w:rsidRPr="00420FF2" w:rsidRDefault="00420FF2" w:rsidP="00420F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</w:pPr>
      <w:r w:rsidRPr="00420FF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s-CO"/>
        </w:rPr>
        <w:t>S2.</w:t>
      </w:r>
      <w:r w:rsidRPr="00420FF2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 Energy and nutrient requirements by demographic group</w:t>
      </w:r>
    </w:p>
    <w:p w:rsidR="00420FF2" w:rsidRPr="00420FF2" w:rsidRDefault="00420FF2" w:rsidP="00420F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</w:pPr>
      <w:r w:rsidRPr="00420FF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s-CO"/>
        </w:rPr>
        <w:t>S3.</w:t>
      </w:r>
      <w:r w:rsidRPr="00420FF2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 Food exchanges adjusted by EER and demographic group</w:t>
      </w:r>
    </w:p>
    <w:p w:rsidR="00420FF2" w:rsidRPr="00420FF2" w:rsidRDefault="00420FF2" w:rsidP="00420F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</w:pPr>
      <w:r w:rsidRPr="00420FF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s-CO"/>
        </w:rPr>
        <w:t>S4.</w:t>
      </w:r>
      <w:r w:rsidRPr="00420FF2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 Diet costs, premia, and cost ratios by demographic group</w:t>
      </w:r>
    </w:p>
    <w:p w:rsidR="00420FF2" w:rsidRPr="00420FF2" w:rsidRDefault="00420FF2" w:rsidP="00420F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</w:pPr>
      <w:r w:rsidRPr="00420FF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s-CO"/>
        </w:rPr>
        <w:t>S5.</w:t>
      </w:r>
      <w:r w:rsidRPr="00420FF2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 Affordability indicators by demographic group</w:t>
      </w:r>
    </w:p>
    <w:p w:rsidR="00420FF2" w:rsidRPr="00420FF2" w:rsidRDefault="00420FF2" w:rsidP="00420F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</w:pPr>
      <w:r w:rsidRPr="00420FF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s-CO"/>
        </w:rPr>
        <w:t>S6.</w:t>
      </w:r>
      <w:r w:rsidRPr="00420FF2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 </w:t>
      </w:r>
      <w:proofErr w:type="spellStart"/>
      <w:r w:rsidRPr="00420FF2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>CoRD</w:t>
      </w:r>
      <w:proofErr w:type="spellEnd"/>
      <w:r w:rsidRPr="00420FF2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 validation</w:t>
      </w:r>
    </w:p>
    <w:p w:rsidR="00420FF2" w:rsidRPr="00420FF2" w:rsidRDefault="00420FF2" w:rsidP="00420F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</w:pPr>
      <w:r w:rsidRPr="00420FF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s-CO"/>
        </w:rPr>
        <w:t>S7.</w:t>
      </w:r>
      <w:r w:rsidRPr="00420FF2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 CC-</w:t>
      </w:r>
      <w:proofErr w:type="spellStart"/>
      <w:r w:rsidRPr="00420FF2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>CoNA</w:t>
      </w:r>
      <w:proofErr w:type="spellEnd"/>
      <w:r w:rsidRPr="00420FF2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 sensitivity across </w:t>
      </w:r>
      <w:r w:rsidRPr="00420FF2">
        <w:rPr>
          <w:rFonts w:ascii="Times New Roman" w:eastAsia="Times New Roman" w:hAnsi="Times New Roman" w:cs="Times New Roman"/>
          <w:sz w:val="24"/>
          <w:szCs w:val="24"/>
          <w:lang w:eastAsia="es-CO"/>
        </w:rPr>
        <w:t>θ</w:t>
      </w:r>
      <w:r w:rsidRPr="00420FF2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 </w:t>
      </w:r>
      <w:r w:rsidRPr="00420FF2">
        <w:rPr>
          <w:rFonts w:ascii="Cambria Math" w:eastAsia="Times New Roman" w:hAnsi="Cambria Math" w:cs="Cambria Math"/>
          <w:sz w:val="24"/>
          <w:szCs w:val="24"/>
          <w:lang w:val="en-US" w:eastAsia="es-CO"/>
        </w:rPr>
        <w:t>∈</w:t>
      </w:r>
      <w:r w:rsidRPr="00420FF2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 {0.1, 0.2, …, 0.9} by city and demographic group</w:t>
      </w:r>
    </w:p>
    <w:p w:rsidR="001B54EB" w:rsidRPr="00420FF2" w:rsidRDefault="001B54EB">
      <w:pPr>
        <w:rPr>
          <w:lang w:val="en-US"/>
        </w:rPr>
      </w:pPr>
      <w:bookmarkStart w:id="0" w:name="_GoBack"/>
      <w:bookmarkEnd w:id="0"/>
    </w:p>
    <w:sectPr w:rsidR="001B54EB" w:rsidRPr="00420FF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0FF2"/>
    <w:rsid w:val="001B54EB"/>
    <w:rsid w:val="00420F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3C12165A-3601-4B3B-81A6-6C410A1A7D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ar"/>
    <w:uiPriority w:val="9"/>
    <w:qFormat/>
    <w:rsid w:val="00420FF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420FF2"/>
    <w:rPr>
      <w:rFonts w:ascii="Times New Roman" w:eastAsia="Times New Roman" w:hAnsi="Times New Roman" w:cs="Times New Roman"/>
      <w:b/>
      <w:bCs/>
      <w:sz w:val="36"/>
      <w:szCs w:val="36"/>
      <w:lang w:eastAsia="es-CO"/>
    </w:rPr>
  </w:style>
  <w:style w:type="paragraph" w:customStyle="1" w:styleId="font-claude-response-body">
    <w:name w:val="font-claude-response-body"/>
    <w:basedOn w:val="Normal"/>
    <w:rsid w:val="00420FF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character" w:styleId="Textoennegrita">
    <w:name w:val="Strong"/>
    <w:basedOn w:val="Fuentedeprrafopredeter"/>
    <w:uiPriority w:val="22"/>
    <w:qFormat/>
    <w:rsid w:val="00420FF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15255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182</Words>
  <Characters>1005</Characters>
  <Application>Microsoft Office Word</Application>
  <DocSecurity>0</DocSecurity>
  <Lines>8</Lines>
  <Paragraphs>2</Paragraphs>
  <ScaleCrop>false</ScaleCrop>
  <Company>Javeriana Cali</Company>
  <LinksUpToDate>false</LinksUpToDate>
  <CharactersWithSpaces>1185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Sergio Alejandro Barona Montoya</dc:creator>
  <cp:keywords/>
  <dc:description/>
  <cp:lastModifiedBy>Sergio Alejandro Barona Montoya</cp:lastModifiedBy>
  <cp:revision>1</cp:revision>
  <dcterms:created xsi:type="dcterms:W3CDTF">2026-03-25T10:29:00Z</dcterms:created>
  <dcterms:modified xsi:type="dcterms:W3CDTF">2026-03-25T10:30:00Z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5ffbba72-1213-4dc6-b82c-c5de513e345f</vt:lpwstr>
  </property>
</Properties>
</file>