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96D3" w14:textId="46BC44BD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D4C">
        <w:rPr>
          <w:rFonts w:ascii="Times New Roman" w:hAnsi="Times New Roman" w:cs="Times New Roman"/>
          <w:b/>
          <w:bCs/>
          <w:sz w:val="24"/>
          <w:szCs w:val="24"/>
        </w:rPr>
        <w:t>Paper</w:t>
      </w:r>
      <w:proofErr w:type="spellEnd"/>
      <w:r w:rsidRPr="00167D4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67D4C">
        <w:rPr>
          <w:rFonts w:ascii="Times New Roman" w:hAnsi="Times New Roman" w:cs="Times New Roman"/>
          <w:b/>
          <w:bCs/>
          <w:sz w:val="24"/>
          <w:szCs w:val="24"/>
        </w:rPr>
        <w:t>Hyndman</w:t>
      </w:r>
      <w:proofErr w:type="spellEnd"/>
      <w:r w:rsidRPr="00167D4C">
        <w:rPr>
          <w:rFonts w:ascii="Times New Roman" w:hAnsi="Times New Roman" w:cs="Times New Roman"/>
          <w:b/>
          <w:bCs/>
          <w:sz w:val="24"/>
          <w:szCs w:val="24"/>
        </w:rPr>
        <w:t xml:space="preserve"> et al. (2011)</w:t>
      </w:r>
    </w:p>
    <w:p w14:paraId="0BD356FE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El artículo “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forecasts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time series” (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Hyndman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, Ahmed,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Athanasopoulos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&amp; Shang, 2011) aborda el problema de pronosticar series temporales jerárquicas, es decir, conjuntos de series que pueden organizarse en distintos niveles de agregación.</w:t>
      </w:r>
    </w:p>
    <w:p w14:paraId="45BD1262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Ejemplos:</w:t>
      </w:r>
    </w:p>
    <w:p w14:paraId="017717B7" w14:textId="77777777" w:rsidR="00167D4C" w:rsidRPr="00167D4C" w:rsidRDefault="00167D4C" w:rsidP="00054D1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Ventas totales → por región → por ciudad.</w:t>
      </w:r>
    </w:p>
    <w:p w14:paraId="50D5805A" w14:textId="77777777" w:rsidR="00167D4C" w:rsidRPr="00167D4C" w:rsidRDefault="00167D4C" w:rsidP="00054D1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Empleo total → por sector → por ocupación.</w:t>
      </w:r>
    </w:p>
    <w:p w14:paraId="29A9D15E" w14:textId="77777777" w:rsidR="00167D4C" w:rsidRPr="00167D4C" w:rsidRDefault="00167D4C" w:rsidP="00054D1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En el caso de precios: IPC total → por grupo → por clase → por subclase → por artículo.</w:t>
      </w:r>
    </w:p>
    <w:p w14:paraId="72D1CBD3" w14:textId="1FECFF94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 xml:space="preserve">El desafío metodológico es que, cuando se pronostican las series de manera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indepe</w:t>
      </w:r>
      <w:r w:rsidR="00054D1D">
        <w:rPr>
          <w:rFonts w:ascii="Times New Roman" w:hAnsi="Times New Roman" w:cs="Times New Roman"/>
          <w:sz w:val="24"/>
          <w:szCs w:val="24"/>
        </w:rPr>
        <w:t>,</w:t>
      </w:r>
      <w:r w:rsidRPr="00167D4C">
        <w:rPr>
          <w:rFonts w:ascii="Times New Roman" w:hAnsi="Times New Roman" w:cs="Times New Roman"/>
          <w:sz w:val="24"/>
          <w:szCs w:val="24"/>
        </w:rPr>
        <w:t>ndiente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, los resultados de niveles bajos no suman exactamente a los niveles superiores. Esto genera problemas de coherencia interna.</w:t>
      </w:r>
    </w:p>
    <w:p w14:paraId="19881FA2" w14:textId="183C3A9D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Metodología Propuesta</w:t>
      </w:r>
      <w:r w:rsidR="00AB380A">
        <w:rPr>
          <w:rFonts w:ascii="Times New Roman" w:hAnsi="Times New Roman" w:cs="Times New Roman"/>
          <w:sz w:val="24"/>
          <w:szCs w:val="24"/>
        </w:rPr>
        <w:t>:</w:t>
      </w:r>
    </w:p>
    <w:p w14:paraId="1632560E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El artículo propone un método de combinación óptima de pronósticos (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forecasts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), que mejora los enfoques tradicionales:</w:t>
      </w:r>
    </w:p>
    <w:p w14:paraId="241C2683" w14:textId="77777777" w:rsidR="00167D4C" w:rsidRPr="00167D4C" w:rsidRDefault="00167D4C" w:rsidP="00054D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Top-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 pronosticar el total y desagregarlo hacia abajo usando proporciones históricas.</w:t>
      </w:r>
    </w:p>
    <w:p w14:paraId="66FE37BE" w14:textId="77777777" w:rsidR="00167D4C" w:rsidRPr="00167D4C" w:rsidRDefault="00167D4C" w:rsidP="00054D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Bottom-up: pronosticar cada serie desagregada y sumarlas hacia arriba.</w:t>
      </w:r>
    </w:p>
    <w:p w14:paraId="41AD7127" w14:textId="77777777" w:rsidR="00167D4C" w:rsidRPr="00167D4C" w:rsidRDefault="00167D4C" w:rsidP="00054D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7D4C">
        <w:rPr>
          <w:rFonts w:ascii="Times New Roman" w:hAnsi="Times New Roman" w:cs="Times New Roman"/>
          <w:sz w:val="24"/>
          <w:szCs w:val="24"/>
        </w:rPr>
        <w:t>Middle-out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 mezcla de los anteriores.</w:t>
      </w:r>
    </w:p>
    <w:p w14:paraId="35DACC0C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 propuesta consiste en:</w:t>
      </w:r>
    </w:p>
    <w:p w14:paraId="25D2AAE6" w14:textId="77777777" w:rsidR="00167D4C" w:rsidRPr="00167D4C" w:rsidRDefault="00167D4C" w:rsidP="00054D1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Generar pronósticos base para todas las series en todos los niveles (ej. con ARIMA, ETS u otro modelo).</w:t>
      </w:r>
    </w:p>
    <w:p w14:paraId="1DF2F86C" w14:textId="77777777" w:rsidR="00167D4C" w:rsidRPr="00167D4C" w:rsidRDefault="00167D4C" w:rsidP="00054D1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Reconciliar los pronósticos mediante un modelo de regresión restringida, asegurando que:</w:t>
      </w:r>
    </w:p>
    <w:p w14:paraId="0D3109ED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Los artículos sumen a la subclase.</w:t>
      </w:r>
    </w:p>
    <w:p w14:paraId="2D566F8A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Las subclases sumen a la clase.</w:t>
      </w:r>
    </w:p>
    <w:p w14:paraId="6801BB93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Las clases sumen al grupo, y así hasta el total.</w:t>
      </w:r>
    </w:p>
    <w:p w14:paraId="2585EA51" w14:textId="16774E9E" w:rsidR="00167D4C" w:rsidRPr="00167D4C" w:rsidRDefault="00167D4C" w:rsidP="00054D1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 reconciliación se hace con un estimador de OLS</w:t>
      </w:r>
      <w:r w:rsidRPr="00167D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7D4C">
        <w:rPr>
          <w:rFonts w:ascii="Times New Roman" w:hAnsi="Times New Roman" w:cs="Times New Roman"/>
          <w:sz w:val="24"/>
          <w:szCs w:val="24"/>
        </w:rPr>
        <w:t>que resulta ser óptimo bajo supuestos razonables.</w:t>
      </w:r>
    </w:p>
    <w:p w14:paraId="1D7AFF31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Fórmula clave:</w:t>
      </w:r>
    </w:p>
    <w:p w14:paraId="4A2C26EC" w14:textId="2BA5FE63" w:rsid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(S´S)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S´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(h)</m:t>
          </m:r>
        </m:oMath>
      </m:oMathPara>
    </w:p>
    <w:p w14:paraId="2351C360" w14:textId="66C3EF11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(h)</m:t>
        </m:r>
      </m:oMath>
      <w:r w:rsidRPr="00167D4C">
        <w:rPr>
          <w:rFonts w:ascii="Times New Roman" w:hAnsi="Times New Roman" w:cs="Times New Roman"/>
          <w:sz w:val="24"/>
          <w:szCs w:val="24"/>
        </w:rPr>
        <w:t xml:space="preserve"> son los pronósticos independientes,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167D4C">
        <w:rPr>
          <w:rFonts w:ascii="Times New Roman" w:hAnsi="Times New Roman" w:cs="Times New Roman"/>
          <w:sz w:val="24"/>
          <w:szCs w:val="24"/>
        </w:rPr>
        <w:t xml:space="preserve"> es la matriz de agregación,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</m:d>
      </m:oMath>
      <w:r w:rsidRPr="00167D4C">
        <w:rPr>
          <w:rFonts w:ascii="Times New Roman" w:hAnsi="Times New Roman" w:cs="Times New Roman"/>
          <w:sz w:val="24"/>
          <w:szCs w:val="24"/>
        </w:rPr>
        <w:t xml:space="preserve"> los pronósticos reconciliados.</w:t>
      </w:r>
    </w:p>
    <w:p w14:paraId="12C107BB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 xml:space="preserve">Resultados del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</w:t>
      </w:r>
    </w:p>
    <w:p w14:paraId="125239D9" w14:textId="77777777" w:rsidR="00167D4C" w:rsidRPr="00167D4C" w:rsidRDefault="00167D4C" w:rsidP="00054D1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En simulaciones, la combinación óptima es más precisa que top-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y bottom-up.</w:t>
      </w:r>
    </w:p>
    <w:p w14:paraId="4F7C75BB" w14:textId="48B8E043" w:rsidR="00167D4C" w:rsidRPr="00167D4C" w:rsidRDefault="00167D4C" w:rsidP="00054D1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En un caso aplicado al turismo australiano, mostró mejoras importantes en niveles intermedios y bajos de la jerarquía.</w:t>
      </w:r>
    </w:p>
    <w:p w14:paraId="41890E4B" w14:textId="3E956BA1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N</w:t>
      </w: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uestro problema:</w:t>
      </w:r>
    </w:p>
    <w:p w14:paraId="220DC865" w14:textId="5F610DB9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Pr="00167D4C">
        <w:rPr>
          <w:rFonts w:ascii="Times New Roman" w:hAnsi="Times New Roman" w:cs="Times New Roman"/>
          <w:sz w:val="24"/>
          <w:szCs w:val="24"/>
        </w:rPr>
        <w:t xml:space="preserve">precios minoristas y el IPC del DANE </w:t>
      </w:r>
      <w:r>
        <w:rPr>
          <w:rFonts w:ascii="Times New Roman" w:hAnsi="Times New Roman" w:cs="Times New Roman"/>
          <w:sz w:val="24"/>
          <w:szCs w:val="24"/>
        </w:rPr>
        <w:t>tienen una estructura similar de jerarquización</w:t>
      </w:r>
      <w:r w:rsidRPr="00167D4C">
        <w:rPr>
          <w:rFonts w:ascii="Times New Roman" w:hAnsi="Times New Roman" w:cs="Times New Roman"/>
          <w:sz w:val="24"/>
          <w:szCs w:val="24"/>
        </w:rPr>
        <w:t>:</w:t>
      </w:r>
    </w:p>
    <w:p w14:paraId="05CD8C8F" w14:textId="77777777" w:rsidR="00167D4C" w:rsidRPr="00167D4C" w:rsidRDefault="00167D4C" w:rsidP="00054D1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 jerarquía de series es: total IPC → grupos → clases → subclases → artículos.</w:t>
      </w:r>
    </w:p>
    <w:p w14:paraId="3995F077" w14:textId="3EF3B14B" w:rsidR="00167D4C" w:rsidRPr="00167D4C" w:rsidRDefault="00167D4C" w:rsidP="00054D1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Dispones de ponderaciones hasta el nivel de subclase, pero no hasta el nivel de artículo.</w:t>
      </w:r>
    </w:p>
    <w:p w14:paraId="4836C6A5" w14:textId="77777777" w:rsidR="00167D4C" w:rsidRPr="00167D4C" w:rsidRDefault="00167D4C" w:rsidP="00054D1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Los pronósticos deben ser consistentes a lo largo de la jerarquía (coherencia agregada).</w:t>
      </w:r>
    </w:p>
    <w:p w14:paraId="786F715E" w14:textId="5F8E2063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Incorporación de la</w:t>
      </w:r>
      <w:r w:rsidRPr="00167D4C">
        <w:rPr>
          <w:rFonts w:ascii="Times New Roman" w:hAnsi="Times New Roman" w:cs="Times New Roman"/>
          <w:sz w:val="24"/>
          <w:szCs w:val="24"/>
        </w:rPr>
        <w:t xml:space="preserve"> metodología de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Hyndman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</w:t>
      </w:r>
    </w:p>
    <w:p w14:paraId="665D23A6" w14:textId="6A7D6741" w:rsidR="00167D4C" w:rsidRPr="00167D4C" w:rsidRDefault="00167D4C" w:rsidP="00054D1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Coherencia:</w:t>
      </w:r>
    </w:p>
    <w:p w14:paraId="18B253B7" w14:textId="5EC8492C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</w:t>
      </w: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se generan pronósticos independientes por artículo y por subclase, los resultados rara vez son consistentes: la suma de los artículos no coincide con la subclase, ni la suma de las subclases coincide con el total del IPC.</w:t>
      </w:r>
    </w:p>
    <w:p w14:paraId="0C4255CC" w14:textId="77777777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metodología de combinación óptima de </w:t>
      </w:r>
      <w:proofErr w:type="spellStart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Hyndman</w:t>
      </w:r>
      <w:proofErr w:type="spellEnd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resuelve este problema aplicando una reconciliación estadística. De esta manera, los pronósticos finales garantizan que:</w:t>
      </w:r>
    </w:p>
    <w:p w14:paraId="67E21D11" w14:textId="6F005C0B" w:rsidR="00D82F54" w:rsidRPr="00D82F54" w:rsidRDefault="00D82F54" w:rsidP="00054D1D">
      <w:pPr>
        <w:spacing w:beforeAutospacing="1" w:after="0" w:afterAutospacing="1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Art</w:t>
      </w: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í</w:t>
      </w: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culos    →    Subclase    →    Clase    →    Grupo    →    Total IPC </w:t>
      </w:r>
    </w:p>
    <w:p w14:paraId="68820A96" w14:textId="77777777" w:rsidR="00D82F54" w:rsidRPr="00D82F54" w:rsidRDefault="00D82F54" w:rsidP="00054D1D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se mantengan coherentes en toda la jerarquía.</w:t>
      </w:r>
    </w:p>
    <w:p w14:paraId="26637569" w14:textId="77777777" w:rsidR="00054D1D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ponderaciones detalladas de artículo no están disponibles y, sin este paso, habría discrepancias frente a las ponderaciones oficiales publicadas por el DANE en niveles superiores.</w:t>
      </w:r>
    </w:p>
    <w:p w14:paraId="7EC7CBEE" w14:textId="571D3C43" w:rsidR="00D82F54" w:rsidRPr="00054D1D" w:rsidRDefault="00D82F54" w:rsidP="00054D1D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54D1D">
        <w:rPr>
          <w:rFonts w:ascii="Times New Roman" w:eastAsia="Times New Roman" w:hAnsi="Times New Roman" w:cs="Times New Roman"/>
          <w:sz w:val="24"/>
          <w:szCs w:val="24"/>
          <w:lang w:eastAsia="es-CO"/>
        </w:rPr>
        <w:t>PCA como proxy de ponderaciones de artículo</w:t>
      </w:r>
    </w:p>
    <w:p w14:paraId="0348A4C2" w14:textId="77777777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El PCA permite extraer factores comunes de variación entre los precios de los artículos de una misma subclase, y sus cargas factoriales indican la importancia relativa de cada artículo en la dinámica de esa subclase.</w:t>
      </w:r>
    </w:p>
    <w:p w14:paraId="31D32447" w14:textId="77777777" w:rsidR="00054D1D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Al normalizar estas cargas (para que sumen 1), se obtienen ponderaciones estadísticas flexibles que actúan como los pronósticos base de cada artículo dentro de su subclase.</w:t>
      </w:r>
    </w:p>
    <w:p w14:paraId="3D9ED87B" w14:textId="2269BF3B" w:rsidR="00D82F54" w:rsidRPr="00054D1D" w:rsidRDefault="00D82F54" w:rsidP="00054D1D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54D1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la jerarquía oficial del DANE</w:t>
      </w:r>
      <w:r w:rsidRPr="00054D1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1E3AF71" w14:textId="77777777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clave es que la metodología de </w:t>
      </w:r>
      <w:proofErr w:type="spellStart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Hyndman</w:t>
      </w:r>
      <w:proofErr w:type="spellEnd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reemplaza los pesos oficiales disponibles, sino que los integra:</w:t>
      </w:r>
    </w:p>
    <w:p w14:paraId="66CE43D6" w14:textId="735A8127" w:rsidR="00D82F54" w:rsidRPr="00D82F54" w:rsidRDefault="00D82F54" w:rsidP="00054D1D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El DANE publica ponderaciones a nivel de subclase.</w:t>
      </w:r>
    </w:p>
    <w:p w14:paraId="120D5504" w14:textId="720FF2B2" w:rsidR="00D82F54" w:rsidRPr="00D82F54" w:rsidRDefault="00D82F54" w:rsidP="00054D1D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del PCA generan señales relativas entre artículos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4833FFD" w14:textId="77777777" w:rsidR="00D82F54" w:rsidRPr="00D82F54" w:rsidRDefault="00D82F54" w:rsidP="00054D1D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El método de combinación óptima usa la matriz de agregación para que las proporciones generadas por PCA se escalen y respeten exactamente el peso oficial de la subclase.</w:t>
      </w:r>
    </w:p>
    <w:p w14:paraId="6F80EC28" w14:textId="490E8966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Forecasting Using Principal Components from a Large Number of Predictors Stock &amp; Watson (2002)</w:t>
      </w:r>
    </w:p>
    <w:p w14:paraId="0E4491FC" w14:textId="7777777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artículo plantea un problema central en la predicción macroeconómica: se dispone de miles de series económicas que podrían ser útiles como predictores, pero los modelos tradicionales (como VAR o ARIMA) solo permiten trabajar con unas pocas variables a la vez. La solución propuesta por Stock &amp; Watson es el uso de un modelo de factores aproximado, donde toda la información contenida en muchas series puede resumirse en unos pocos factores comunes.</w:t>
      </w:r>
    </w:p>
    <w:p w14:paraId="77A12D3C" w14:textId="7777777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procedimiento es el siguiente:</w:t>
      </w:r>
    </w:p>
    <w:p w14:paraId="7D515BF1" w14:textId="035C86B5" w:rsidR="00AB380A" w:rsidRPr="00AB380A" w:rsidRDefault="00AB380A" w:rsidP="00AB380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Se estima un conjunto reducido de factores no observados mediante PCA aplicados a un panel amplio de series.</w:t>
      </w:r>
    </w:p>
    <w:p w14:paraId="35412436" w14:textId="77777777" w:rsidR="00AB380A" w:rsidRPr="00AB380A" w:rsidRDefault="00AB380A" w:rsidP="00AB380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factores se utilizan luego como regresores en modelos de predicción de la variable de interés (ejemplo: inflación o crecimiento).</w:t>
      </w:r>
    </w:p>
    <w:p w14:paraId="1F17089B" w14:textId="77777777" w:rsidR="00AB380A" w:rsidRPr="00AB380A" w:rsidRDefault="00AB380A" w:rsidP="00AB380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Los autores demuestran que, bajo supuestos razonables, los factores estimados por PCA son consistentes, y que los pronósticos basados en ellos se acercan a los óptimos, incluso cuando el número de series predictoras es mucho mayor que el número de observaciones temporales.</w:t>
      </w:r>
    </w:p>
    <w:p w14:paraId="51B1E5BE" w14:textId="7777777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En términos simples: el PCA permite aprovechar la información de cientos de series al mismo tiempo, eliminando ruido idiosincrático y capturando solo la dinámica común relevante para los pronósticos.</w:t>
      </w:r>
    </w:p>
    <w:p w14:paraId="30C79625" w14:textId="491FBDF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N</w:t>
      </w: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uestro problema</w:t>
      </w: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:</w:t>
      </w:r>
    </w:p>
    <w:p w14:paraId="73D7E766" w14:textId="77777777" w:rsidR="00AB380A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En nuestro caso, el panel de predictores no son miles de series macroeconómicas, sino los precios de artículos dentro de cada subclase del IPC.</w:t>
      </w:r>
    </w:p>
    <w:p w14:paraId="3CD52BB7" w14:textId="61C781FF" w:rsidR="00AB380A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El PCA nos permite sintetizar esa gran cantidad de precios en factores representativos, que capturan la tendencia común de los artículos de una subclase (por ejemplo, el movimiento conjunto de frutas).</w:t>
      </w:r>
    </w:p>
    <w:p w14:paraId="58FAE877" w14:textId="3DD3089A" w:rsidR="00AB380A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factores se convierten en un proxy estadístico de las ponderaciones relativas entre artículos.</w:t>
      </w:r>
    </w:p>
    <w:p w14:paraId="2A786B7B" w14:textId="1CBA4D49" w:rsidR="00D82F54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Al usarlos como insumo de modelos de pronóstico, replicamos la lógica de Stock &amp; Watson: en vez de seleccionar arbitrariamente unos pocos artículos, aprovechamos toda la información disponible y la condensamos en factores estadísticamente relevantes.</w:t>
      </w:r>
    </w:p>
    <w:sectPr w:rsidR="00D82F54" w:rsidRPr="00AB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ED1"/>
    <w:multiLevelType w:val="multilevel"/>
    <w:tmpl w:val="E17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5122"/>
    <w:multiLevelType w:val="multilevel"/>
    <w:tmpl w:val="982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27A62"/>
    <w:multiLevelType w:val="multilevel"/>
    <w:tmpl w:val="CB4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0099"/>
    <w:multiLevelType w:val="multilevel"/>
    <w:tmpl w:val="4434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A4638"/>
    <w:multiLevelType w:val="multilevel"/>
    <w:tmpl w:val="39F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94B1F"/>
    <w:multiLevelType w:val="multilevel"/>
    <w:tmpl w:val="74F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611BE"/>
    <w:multiLevelType w:val="multilevel"/>
    <w:tmpl w:val="AD5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F2D17"/>
    <w:multiLevelType w:val="multilevel"/>
    <w:tmpl w:val="FE5E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270A3"/>
    <w:multiLevelType w:val="multilevel"/>
    <w:tmpl w:val="EA7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25DD6"/>
    <w:multiLevelType w:val="multilevel"/>
    <w:tmpl w:val="505C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87D32"/>
    <w:multiLevelType w:val="multilevel"/>
    <w:tmpl w:val="6382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30BDC"/>
    <w:multiLevelType w:val="multilevel"/>
    <w:tmpl w:val="4BE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53A7B"/>
    <w:multiLevelType w:val="multilevel"/>
    <w:tmpl w:val="9C6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D5D20"/>
    <w:multiLevelType w:val="multilevel"/>
    <w:tmpl w:val="B25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249053">
    <w:abstractNumId w:val="5"/>
  </w:num>
  <w:num w:numId="2" w16cid:durableId="1392919751">
    <w:abstractNumId w:val="0"/>
  </w:num>
  <w:num w:numId="3" w16cid:durableId="950941065">
    <w:abstractNumId w:val="9"/>
  </w:num>
  <w:num w:numId="4" w16cid:durableId="899824407">
    <w:abstractNumId w:val="12"/>
  </w:num>
  <w:num w:numId="5" w16cid:durableId="1785267005">
    <w:abstractNumId w:val="4"/>
  </w:num>
  <w:num w:numId="6" w16cid:durableId="1882933473">
    <w:abstractNumId w:val="11"/>
  </w:num>
  <w:num w:numId="7" w16cid:durableId="1169760242">
    <w:abstractNumId w:val="6"/>
  </w:num>
  <w:num w:numId="8" w16cid:durableId="1843660846">
    <w:abstractNumId w:val="1"/>
  </w:num>
  <w:num w:numId="9" w16cid:durableId="1725257900">
    <w:abstractNumId w:val="7"/>
  </w:num>
  <w:num w:numId="10" w16cid:durableId="1192841344">
    <w:abstractNumId w:val="2"/>
  </w:num>
  <w:num w:numId="11" w16cid:durableId="211582479">
    <w:abstractNumId w:val="3"/>
  </w:num>
  <w:num w:numId="12" w16cid:durableId="1673874066">
    <w:abstractNumId w:val="10"/>
  </w:num>
  <w:num w:numId="13" w16cid:durableId="883761132">
    <w:abstractNumId w:val="13"/>
  </w:num>
  <w:num w:numId="14" w16cid:durableId="851140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4C"/>
    <w:rsid w:val="00054D1D"/>
    <w:rsid w:val="00167D4C"/>
    <w:rsid w:val="002C00E9"/>
    <w:rsid w:val="003B2013"/>
    <w:rsid w:val="00AB380A"/>
    <w:rsid w:val="00C32B58"/>
    <w:rsid w:val="00CE0992"/>
    <w:rsid w:val="00D76B92"/>
    <w:rsid w:val="00D82F54"/>
    <w:rsid w:val="00E7514D"/>
    <w:rsid w:val="00F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E55D"/>
  <w15:chartTrackingRefBased/>
  <w15:docId w15:val="{7C6A47C9-A63A-46CB-8AFD-7FC49E62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D4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67D4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8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82F54"/>
    <w:rPr>
      <w:b/>
      <w:bCs/>
    </w:rPr>
  </w:style>
  <w:style w:type="character" w:customStyle="1" w:styleId="katex-mathml">
    <w:name w:val="katex-mathml"/>
    <w:basedOn w:val="Fuentedeprrafopredeter"/>
    <w:rsid w:val="00D82F54"/>
  </w:style>
  <w:style w:type="character" w:customStyle="1" w:styleId="mord">
    <w:name w:val="mord"/>
    <w:basedOn w:val="Fuentedeprrafopredeter"/>
    <w:rsid w:val="00D82F54"/>
  </w:style>
  <w:style w:type="character" w:customStyle="1" w:styleId="mrel">
    <w:name w:val="mrel"/>
    <w:basedOn w:val="Fuentedeprrafopredeter"/>
    <w:rsid w:val="00D8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Valdés Cárdenas</dc:creator>
  <cp:keywords/>
  <dc:description/>
  <cp:lastModifiedBy>Daniela Valdés Cárdenas</cp:lastModifiedBy>
  <cp:revision>4</cp:revision>
  <dcterms:created xsi:type="dcterms:W3CDTF">2025-08-24T16:32:00Z</dcterms:created>
  <dcterms:modified xsi:type="dcterms:W3CDTF">2025-08-24T17:18:00Z</dcterms:modified>
</cp:coreProperties>
</file>