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B32DF" w:rsidRDefault="00E74F12" w:rsidP="00B763B5">
      <w:pPr>
        <w:jc w:val="center"/>
        <w:rPr>
          <w:rFonts w:ascii="Garamond" w:hAnsi="Garamond" w:cs="Tahoma"/>
          <w:b/>
          <w:sz w:val="36"/>
          <w:szCs w:val="36"/>
        </w:rPr>
      </w:pPr>
      <w:r>
        <w:rPr>
          <w:rFonts w:ascii="Garamond" w:hAnsi="Garamond" w:cs="Tahoma"/>
          <w:b/>
          <w:sz w:val="36"/>
          <w:szCs w:val="36"/>
        </w:rPr>
        <w:t>Asequibilidad a dietas de costo mínimo para tres ciudades principales de Colombia durante 2019 – 2024</w:t>
      </w:r>
    </w:p>
    <w:p w:rsidR="00E74F12" w:rsidRPr="00E74F12" w:rsidRDefault="00E74F12" w:rsidP="00B763B5">
      <w:pPr>
        <w:jc w:val="center"/>
        <w:rPr>
          <w:rFonts w:ascii="Garamond" w:hAnsi="Garamond" w:cs="Tahoma"/>
          <w:b/>
          <w:sz w:val="36"/>
          <w:szCs w:val="36"/>
        </w:rPr>
      </w:pPr>
      <w:r>
        <w:rPr>
          <w:rFonts w:ascii="Garamond" w:hAnsi="Garamond" w:cs="Tahoma"/>
          <w:b/>
          <w:sz w:val="36"/>
          <w:szCs w:val="36"/>
        </w:rPr>
        <w:t>[Draft 06/2026]</w:t>
      </w:r>
    </w:p>
    <w:p w:rsidR="00E74F12" w:rsidRDefault="00E74F12" w:rsidP="00B763B5">
      <w:pPr>
        <w:pStyle w:val="Prrafodelista"/>
        <w:numPr>
          <w:ilvl w:val="0"/>
          <w:numId w:val="1"/>
        </w:numPr>
        <w:jc w:val="both"/>
        <w:rPr>
          <w:rFonts w:ascii="Garamond" w:hAnsi="Garamond" w:cs="Tahoma"/>
          <w:b/>
          <w:sz w:val="28"/>
          <w:szCs w:val="28"/>
        </w:rPr>
      </w:pPr>
      <w:r>
        <w:rPr>
          <w:rFonts w:ascii="Garamond" w:hAnsi="Garamond" w:cs="Tahoma"/>
          <w:b/>
          <w:sz w:val="28"/>
          <w:szCs w:val="28"/>
        </w:rPr>
        <w:t>Introducción</w:t>
      </w:r>
    </w:p>
    <w:p w:rsidR="00E74F12" w:rsidRDefault="00E74F12" w:rsidP="00B763B5">
      <w:pPr>
        <w:jc w:val="both"/>
        <w:rPr>
          <w:rFonts w:ascii="Garamond" w:hAnsi="Garamond" w:cs="Tahoma"/>
          <w:b/>
          <w:sz w:val="28"/>
          <w:szCs w:val="28"/>
        </w:rPr>
      </w:pPr>
    </w:p>
    <w:p w:rsidR="00E74F12" w:rsidRPr="00E74F12" w:rsidRDefault="00E74F12" w:rsidP="00B763B5">
      <w:pPr>
        <w:jc w:val="both"/>
        <w:rPr>
          <w:rFonts w:ascii="Garamond" w:hAnsi="Garamond" w:cs="Tahoma"/>
          <w:b/>
          <w:sz w:val="28"/>
          <w:szCs w:val="28"/>
        </w:rPr>
      </w:pPr>
    </w:p>
    <w:p w:rsidR="00E74F12" w:rsidRDefault="00E74F12" w:rsidP="00B763B5">
      <w:pPr>
        <w:pStyle w:val="Prrafodelista"/>
        <w:numPr>
          <w:ilvl w:val="0"/>
          <w:numId w:val="1"/>
        </w:numPr>
        <w:jc w:val="both"/>
        <w:rPr>
          <w:rFonts w:ascii="Garamond" w:hAnsi="Garamond" w:cs="Tahoma"/>
          <w:b/>
          <w:sz w:val="28"/>
          <w:szCs w:val="28"/>
        </w:rPr>
      </w:pPr>
      <w:r>
        <w:rPr>
          <w:rFonts w:ascii="Garamond" w:hAnsi="Garamond" w:cs="Tahoma"/>
          <w:b/>
          <w:sz w:val="28"/>
          <w:szCs w:val="28"/>
        </w:rPr>
        <w:t xml:space="preserve">Datos </w:t>
      </w:r>
    </w:p>
    <w:p w:rsidR="00E74F12" w:rsidRDefault="00E74F12" w:rsidP="00B763B5">
      <w:pPr>
        <w:jc w:val="both"/>
        <w:rPr>
          <w:rFonts w:ascii="Garamond" w:hAnsi="Garamond" w:cs="Tahoma"/>
          <w:b/>
          <w:sz w:val="28"/>
          <w:szCs w:val="28"/>
        </w:rPr>
      </w:pPr>
      <w:r>
        <w:rPr>
          <w:rFonts w:ascii="Garamond" w:hAnsi="Garamond" w:cs="Tahoma"/>
          <w:b/>
          <w:sz w:val="28"/>
          <w:szCs w:val="28"/>
        </w:rPr>
        <w:t>[Se mantiene la versión 2025]</w:t>
      </w:r>
    </w:p>
    <w:p w:rsidR="00E74F12" w:rsidRPr="00E74F12" w:rsidRDefault="00E74F12" w:rsidP="00B763B5">
      <w:pPr>
        <w:jc w:val="both"/>
        <w:rPr>
          <w:rFonts w:ascii="Garamond" w:hAnsi="Garamond" w:cs="Tahoma"/>
          <w:b/>
          <w:sz w:val="28"/>
          <w:szCs w:val="28"/>
        </w:rPr>
      </w:pPr>
    </w:p>
    <w:p w:rsidR="00E74F12" w:rsidRDefault="00E74F12" w:rsidP="00B763B5">
      <w:pPr>
        <w:pStyle w:val="Prrafodelista"/>
        <w:numPr>
          <w:ilvl w:val="0"/>
          <w:numId w:val="1"/>
        </w:numPr>
        <w:jc w:val="both"/>
        <w:rPr>
          <w:rFonts w:ascii="Garamond" w:hAnsi="Garamond" w:cs="Tahoma"/>
          <w:b/>
          <w:sz w:val="28"/>
          <w:szCs w:val="28"/>
        </w:rPr>
      </w:pPr>
      <w:r>
        <w:rPr>
          <w:rFonts w:ascii="Garamond" w:hAnsi="Garamond" w:cs="Tahoma"/>
          <w:b/>
          <w:sz w:val="28"/>
          <w:szCs w:val="28"/>
        </w:rPr>
        <w:t xml:space="preserve">Métodos </w:t>
      </w:r>
    </w:p>
    <w:p w:rsidR="00E74F12" w:rsidRDefault="00E74F12" w:rsidP="00B763B5">
      <w:pPr>
        <w:jc w:val="both"/>
        <w:rPr>
          <w:rFonts w:ascii="Garamond" w:hAnsi="Garamond" w:cs="Tahoma"/>
          <w:b/>
          <w:sz w:val="28"/>
          <w:szCs w:val="28"/>
        </w:rPr>
      </w:pPr>
      <w:r>
        <w:rPr>
          <w:rFonts w:ascii="Garamond" w:hAnsi="Garamond" w:cs="Tahoma"/>
          <w:b/>
          <w:sz w:val="28"/>
          <w:szCs w:val="28"/>
        </w:rPr>
        <w:t>[Se mantiene la versión 2025]</w:t>
      </w:r>
    </w:p>
    <w:p w:rsidR="00E74F12" w:rsidRDefault="00E74F12" w:rsidP="00B763B5">
      <w:pPr>
        <w:jc w:val="both"/>
        <w:rPr>
          <w:rFonts w:ascii="Garamond" w:hAnsi="Garamond" w:cs="Tahoma"/>
          <w:b/>
          <w:sz w:val="28"/>
          <w:szCs w:val="28"/>
        </w:rPr>
      </w:pPr>
    </w:p>
    <w:p w:rsidR="00E74F12" w:rsidRDefault="00E74F12" w:rsidP="00B763B5">
      <w:pPr>
        <w:jc w:val="both"/>
        <w:rPr>
          <w:rFonts w:ascii="Garamond" w:hAnsi="Garamond" w:cs="Tahoma"/>
          <w:b/>
          <w:sz w:val="28"/>
          <w:szCs w:val="28"/>
        </w:rPr>
      </w:pPr>
    </w:p>
    <w:p w:rsidR="00E74F12" w:rsidRDefault="00E74F12" w:rsidP="00B763B5">
      <w:pPr>
        <w:jc w:val="both"/>
        <w:rPr>
          <w:rFonts w:ascii="Garamond" w:hAnsi="Garamond" w:cs="Tahoma"/>
          <w:b/>
          <w:sz w:val="28"/>
          <w:szCs w:val="28"/>
        </w:rPr>
      </w:pPr>
    </w:p>
    <w:p w:rsidR="00E74F12" w:rsidRDefault="00E74F12" w:rsidP="00B763B5">
      <w:pPr>
        <w:jc w:val="both"/>
        <w:rPr>
          <w:rFonts w:ascii="Garamond" w:hAnsi="Garamond" w:cs="Tahoma"/>
          <w:b/>
          <w:sz w:val="28"/>
          <w:szCs w:val="28"/>
        </w:rPr>
      </w:pPr>
    </w:p>
    <w:p w:rsidR="00E74F12" w:rsidRDefault="00E74F12" w:rsidP="00B763B5">
      <w:pPr>
        <w:jc w:val="both"/>
        <w:rPr>
          <w:rFonts w:ascii="Garamond" w:hAnsi="Garamond" w:cs="Tahoma"/>
          <w:b/>
          <w:sz w:val="28"/>
          <w:szCs w:val="28"/>
        </w:rPr>
      </w:pPr>
    </w:p>
    <w:p w:rsidR="00E74F12" w:rsidRDefault="00E74F12" w:rsidP="00B763B5">
      <w:pPr>
        <w:jc w:val="both"/>
        <w:rPr>
          <w:rFonts w:ascii="Garamond" w:hAnsi="Garamond" w:cs="Tahoma"/>
          <w:b/>
          <w:sz w:val="28"/>
          <w:szCs w:val="28"/>
        </w:rPr>
      </w:pPr>
    </w:p>
    <w:p w:rsidR="00E74F12" w:rsidRDefault="00E74F12" w:rsidP="00B763B5">
      <w:pPr>
        <w:jc w:val="both"/>
        <w:rPr>
          <w:rFonts w:ascii="Garamond" w:hAnsi="Garamond" w:cs="Tahoma"/>
          <w:b/>
          <w:sz w:val="28"/>
          <w:szCs w:val="28"/>
        </w:rPr>
      </w:pPr>
    </w:p>
    <w:p w:rsidR="00E74F12" w:rsidRDefault="00E74F12" w:rsidP="00B763B5">
      <w:pPr>
        <w:jc w:val="both"/>
        <w:rPr>
          <w:rFonts w:ascii="Garamond" w:hAnsi="Garamond" w:cs="Tahoma"/>
          <w:b/>
          <w:sz w:val="28"/>
          <w:szCs w:val="28"/>
        </w:rPr>
      </w:pPr>
    </w:p>
    <w:p w:rsidR="00E74F12" w:rsidRDefault="00E74F12" w:rsidP="00B763B5">
      <w:pPr>
        <w:jc w:val="both"/>
        <w:rPr>
          <w:rFonts w:ascii="Garamond" w:hAnsi="Garamond" w:cs="Tahoma"/>
          <w:b/>
          <w:sz w:val="28"/>
          <w:szCs w:val="28"/>
        </w:rPr>
      </w:pPr>
    </w:p>
    <w:p w:rsidR="00E74F12" w:rsidRDefault="00E74F12" w:rsidP="00B763B5">
      <w:pPr>
        <w:jc w:val="both"/>
        <w:rPr>
          <w:rFonts w:ascii="Garamond" w:hAnsi="Garamond" w:cs="Tahoma"/>
          <w:b/>
          <w:sz w:val="28"/>
          <w:szCs w:val="28"/>
        </w:rPr>
      </w:pPr>
    </w:p>
    <w:p w:rsidR="00E74F12" w:rsidRDefault="00E74F12" w:rsidP="00B763B5">
      <w:pPr>
        <w:jc w:val="both"/>
        <w:rPr>
          <w:rFonts w:ascii="Garamond" w:hAnsi="Garamond" w:cs="Tahoma"/>
          <w:b/>
          <w:sz w:val="28"/>
          <w:szCs w:val="28"/>
        </w:rPr>
      </w:pPr>
    </w:p>
    <w:p w:rsidR="00E74F12" w:rsidRDefault="00E74F12" w:rsidP="00B763B5">
      <w:pPr>
        <w:jc w:val="both"/>
        <w:rPr>
          <w:rFonts w:ascii="Garamond" w:hAnsi="Garamond" w:cs="Tahoma"/>
          <w:b/>
          <w:sz w:val="28"/>
          <w:szCs w:val="28"/>
        </w:rPr>
      </w:pPr>
    </w:p>
    <w:p w:rsidR="00E74F12" w:rsidRDefault="00E74F12" w:rsidP="00B763B5">
      <w:pPr>
        <w:jc w:val="both"/>
        <w:rPr>
          <w:rFonts w:ascii="Garamond" w:hAnsi="Garamond" w:cs="Tahoma"/>
          <w:b/>
          <w:sz w:val="28"/>
          <w:szCs w:val="28"/>
        </w:rPr>
      </w:pPr>
    </w:p>
    <w:p w:rsidR="00E74F12" w:rsidRDefault="00E74F12" w:rsidP="00B763B5">
      <w:pPr>
        <w:jc w:val="both"/>
        <w:rPr>
          <w:rFonts w:ascii="Garamond" w:hAnsi="Garamond" w:cs="Tahoma"/>
          <w:b/>
          <w:sz w:val="28"/>
          <w:szCs w:val="28"/>
        </w:rPr>
      </w:pPr>
    </w:p>
    <w:p w:rsidR="00E74F12" w:rsidRDefault="00E74F12" w:rsidP="00B763B5">
      <w:pPr>
        <w:jc w:val="both"/>
        <w:rPr>
          <w:rFonts w:ascii="Garamond" w:hAnsi="Garamond" w:cs="Tahoma"/>
          <w:b/>
          <w:sz w:val="28"/>
          <w:szCs w:val="28"/>
        </w:rPr>
      </w:pPr>
    </w:p>
    <w:p w:rsidR="00E74F12" w:rsidRDefault="00E74F12" w:rsidP="00B763B5">
      <w:pPr>
        <w:pStyle w:val="Prrafodelista"/>
        <w:numPr>
          <w:ilvl w:val="0"/>
          <w:numId w:val="1"/>
        </w:numPr>
        <w:jc w:val="both"/>
        <w:rPr>
          <w:rFonts w:ascii="Garamond" w:hAnsi="Garamond" w:cs="Tahoma"/>
          <w:b/>
          <w:sz w:val="28"/>
          <w:szCs w:val="28"/>
        </w:rPr>
      </w:pPr>
      <w:proofErr w:type="spellStart"/>
      <w:r>
        <w:rPr>
          <w:rFonts w:ascii="Garamond" w:hAnsi="Garamond" w:cs="Tahoma"/>
          <w:b/>
          <w:sz w:val="28"/>
          <w:szCs w:val="28"/>
        </w:rPr>
        <w:lastRenderedPageBreak/>
        <w:t>R</w:t>
      </w:r>
      <w:r w:rsidR="00C566A0">
        <w:rPr>
          <w:rFonts w:ascii="Garamond" w:hAnsi="Garamond" w:cs="Tahoma"/>
          <w:b/>
          <w:sz w:val="28"/>
          <w:szCs w:val="28"/>
        </w:rPr>
        <w:t>esults</w:t>
      </w:r>
      <w:proofErr w:type="spellEnd"/>
    </w:p>
    <w:p w:rsidR="00E74F12" w:rsidRDefault="00C566A0" w:rsidP="00B763B5">
      <w:pPr>
        <w:pStyle w:val="Prrafodelista"/>
        <w:numPr>
          <w:ilvl w:val="1"/>
          <w:numId w:val="1"/>
        </w:numPr>
        <w:jc w:val="both"/>
        <w:rPr>
          <w:rFonts w:ascii="Garamond" w:hAnsi="Garamond" w:cs="Tahoma"/>
          <w:b/>
          <w:sz w:val="28"/>
          <w:szCs w:val="28"/>
          <w:lang w:val="en-US"/>
        </w:rPr>
      </w:pPr>
      <w:r w:rsidRPr="00C566A0">
        <w:rPr>
          <w:rFonts w:ascii="Garamond" w:hAnsi="Garamond" w:cs="Tahoma"/>
          <w:b/>
          <w:sz w:val="28"/>
          <w:szCs w:val="28"/>
          <w:lang w:val="en-US"/>
        </w:rPr>
        <w:t>Trends and city-level p</w:t>
      </w:r>
      <w:r>
        <w:rPr>
          <w:rFonts w:ascii="Garamond" w:hAnsi="Garamond" w:cs="Tahoma"/>
          <w:b/>
          <w:sz w:val="28"/>
          <w:szCs w:val="28"/>
          <w:lang w:val="en-US"/>
        </w:rPr>
        <w:t>atterns in least-co</w:t>
      </w:r>
    </w:p>
    <w:p w:rsidR="00E45767" w:rsidRPr="00C50B7E" w:rsidRDefault="00C50B7E" w:rsidP="00C566A0">
      <w:pPr>
        <w:jc w:val="both"/>
        <w:rPr>
          <w:rFonts w:ascii="Garamond" w:hAnsi="Garamond" w:cs="Tahoma"/>
          <w:sz w:val="24"/>
          <w:szCs w:val="24"/>
          <w:lang w:val="en-US"/>
        </w:rPr>
      </w:pPr>
      <w:r w:rsidRPr="00C50B7E">
        <w:rPr>
          <w:rFonts w:ascii="Garamond" w:hAnsi="Garamond" w:cs="Tahoma"/>
          <w:sz w:val="24"/>
          <w:szCs w:val="24"/>
          <w:lang w:val="en-US"/>
        </w:rPr>
        <w:t>Figure \ref{</w:t>
      </w:r>
      <w:proofErr w:type="spellStart"/>
      <w:proofErr w:type="gramStart"/>
      <w:r w:rsidRPr="00C50B7E">
        <w:rPr>
          <w:rFonts w:ascii="Garamond" w:hAnsi="Garamond" w:cs="Tahoma"/>
          <w:sz w:val="24"/>
          <w:szCs w:val="24"/>
          <w:lang w:val="en-US"/>
        </w:rPr>
        <w:t>fig:levels</w:t>
      </w:r>
      <w:proofErr w:type="gramEnd"/>
      <w:r w:rsidRPr="00C50B7E">
        <w:rPr>
          <w:rFonts w:ascii="Garamond" w:hAnsi="Garamond" w:cs="Tahoma"/>
          <w:sz w:val="24"/>
          <w:szCs w:val="24"/>
          <w:lang w:val="en-US"/>
        </w:rPr>
        <w:t>-costs</w:t>
      </w:r>
      <w:proofErr w:type="spellEnd"/>
      <w:r w:rsidRPr="00C50B7E">
        <w:rPr>
          <w:rFonts w:ascii="Garamond" w:hAnsi="Garamond" w:cs="Tahoma"/>
          <w:sz w:val="24"/>
          <w:szCs w:val="24"/>
          <w:lang w:val="en-US"/>
        </w:rPr>
        <w:t xml:space="preserve">} presents daily per capita diet costs for the three cities over the period 2019:1 - 2024:12 at monthly frequency, expressed in both nominal and real terms, where the latter are deflated using the city-level food and non-alcoholic beverages CPI. The cost ranking holds consistently across cities and throughout the period, with </w:t>
      </w:r>
      <w:proofErr w:type="spellStart"/>
      <w:r w:rsidRPr="00C50B7E">
        <w:rPr>
          <w:rFonts w:ascii="Garamond" w:hAnsi="Garamond" w:cs="Tahoma"/>
          <w:sz w:val="24"/>
          <w:szCs w:val="24"/>
          <w:lang w:val="en-US"/>
        </w:rPr>
        <w:t>CoCA</w:t>
      </w:r>
      <w:proofErr w:type="spellEnd"/>
      <w:r w:rsidRPr="00C50B7E">
        <w:rPr>
          <w:rFonts w:ascii="Garamond" w:hAnsi="Garamond" w:cs="Tahoma"/>
          <w:sz w:val="24"/>
          <w:szCs w:val="24"/>
          <w:lang w:val="en-US"/>
        </w:rPr>
        <w:t xml:space="preserve"> the lowest, followed by </w:t>
      </w:r>
      <w:proofErr w:type="spellStart"/>
      <w:r w:rsidRPr="00C50B7E">
        <w:rPr>
          <w:rFonts w:ascii="Garamond" w:hAnsi="Garamond" w:cs="Tahoma"/>
          <w:sz w:val="24"/>
          <w:szCs w:val="24"/>
          <w:lang w:val="en-US"/>
        </w:rPr>
        <w:t>CoNA</w:t>
      </w:r>
      <w:proofErr w:type="spellEnd"/>
      <w:r w:rsidRPr="00C50B7E">
        <w:rPr>
          <w:rFonts w:ascii="Garamond" w:hAnsi="Garamond" w:cs="Tahoma"/>
          <w:sz w:val="24"/>
          <w:szCs w:val="24"/>
          <w:lang w:val="en-US"/>
        </w:rPr>
        <w:t xml:space="preserve">, and </w:t>
      </w:r>
      <w:proofErr w:type="spellStart"/>
      <w:r w:rsidRPr="00C50B7E">
        <w:rPr>
          <w:rFonts w:ascii="Garamond" w:hAnsi="Garamond" w:cs="Tahoma"/>
          <w:sz w:val="24"/>
          <w:szCs w:val="24"/>
          <w:lang w:val="en-US"/>
        </w:rPr>
        <w:t>CoRD</w:t>
      </w:r>
      <w:proofErr w:type="spellEnd"/>
      <w:r w:rsidRPr="00C50B7E">
        <w:rPr>
          <w:rFonts w:ascii="Garamond" w:hAnsi="Garamond" w:cs="Tahoma"/>
          <w:sz w:val="24"/>
          <w:szCs w:val="24"/>
          <w:lang w:val="en-US"/>
        </w:rPr>
        <w:t xml:space="preserve"> the highest. However, as shown in Table \ref{</w:t>
      </w:r>
      <w:proofErr w:type="spellStart"/>
      <w:proofErr w:type="gramStart"/>
      <w:r w:rsidRPr="00C50B7E">
        <w:rPr>
          <w:rFonts w:ascii="Garamond" w:hAnsi="Garamond" w:cs="Tahoma"/>
          <w:sz w:val="24"/>
          <w:szCs w:val="24"/>
          <w:lang w:val="en-US"/>
        </w:rPr>
        <w:t>tab:cost</w:t>
      </w:r>
      <w:proofErr w:type="gramEnd"/>
      <w:r w:rsidRPr="00C50B7E">
        <w:rPr>
          <w:rFonts w:ascii="Garamond" w:hAnsi="Garamond" w:cs="Tahoma"/>
          <w:sz w:val="24"/>
          <w:szCs w:val="24"/>
          <w:lang w:val="en-US"/>
        </w:rPr>
        <w:t>_combined</w:t>
      </w:r>
      <w:proofErr w:type="spellEnd"/>
      <w:r w:rsidRPr="00C50B7E">
        <w:rPr>
          <w:rFonts w:ascii="Garamond" w:hAnsi="Garamond" w:cs="Tahoma"/>
          <w:sz w:val="24"/>
          <w:szCs w:val="24"/>
          <w:lang w:val="en-US"/>
        </w:rPr>
        <w:t xml:space="preserve">}, cross-city comparisons reveal differentiated patterns. For </w:t>
      </w:r>
      <w:proofErr w:type="spellStart"/>
      <w:r w:rsidRPr="00C50B7E">
        <w:rPr>
          <w:rFonts w:ascii="Garamond" w:hAnsi="Garamond" w:cs="Tahoma"/>
          <w:sz w:val="24"/>
          <w:szCs w:val="24"/>
          <w:lang w:val="en-US"/>
        </w:rPr>
        <w:t>CoCA</w:t>
      </w:r>
      <w:proofErr w:type="spellEnd"/>
      <w:r w:rsidRPr="00C50B7E">
        <w:rPr>
          <w:rFonts w:ascii="Garamond" w:hAnsi="Garamond" w:cs="Tahoma"/>
          <w:sz w:val="24"/>
          <w:szCs w:val="24"/>
          <w:lang w:val="en-US"/>
        </w:rPr>
        <w:t xml:space="preserve">, Bogotá exhibits the highest average real cost (COP 1.507 per day), exceeding Cali, the least costly city at COP 1.397, by 7.9\%. Under </w:t>
      </w:r>
      <w:proofErr w:type="spellStart"/>
      <w:r w:rsidRPr="00C50B7E">
        <w:rPr>
          <w:rFonts w:ascii="Garamond" w:hAnsi="Garamond" w:cs="Tahoma"/>
          <w:sz w:val="24"/>
          <w:szCs w:val="24"/>
          <w:lang w:val="en-US"/>
        </w:rPr>
        <w:t>CoNA</w:t>
      </w:r>
      <w:proofErr w:type="spellEnd"/>
      <w:r w:rsidRPr="00C50B7E">
        <w:rPr>
          <w:rFonts w:ascii="Garamond" w:hAnsi="Garamond" w:cs="Tahoma"/>
          <w:sz w:val="24"/>
          <w:szCs w:val="24"/>
          <w:lang w:val="en-US"/>
        </w:rPr>
        <w:t xml:space="preserve">, Medellín emerges as the most expensive city at COP 2.980 per day, surpassing Bogotá's COP 2.867, albeit by a narrower margin of 3.9\%. </w:t>
      </w:r>
      <w:proofErr w:type="spellStart"/>
      <w:r w:rsidRPr="00C50B7E">
        <w:rPr>
          <w:rFonts w:ascii="Garamond" w:hAnsi="Garamond" w:cs="Tahoma"/>
          <w:sz w:val="24"/>
          <w:szCs w:val="24"/>
          <w:lang w:val="en-US"/>
        </w:rPr>
        <w:t>CoRD</w:t>
      </w:r>
      <w:proofErr w:type="spellEnd"/>
      <w:r w:rsidRPr="00C50B7E">
        <w:rPr>
          <w:rFonts w:ascii="Garamond" w:hAnsi="Garamond" w:cs="Tahoma"/>
          <w:sz w:val="24"/>
          <w:szCs w:val="24"/>
          <w:lang w:val="en-US"/>
        </w:rPr>
        <w:t xml:space="preserve"> yields the largest absolute differential, with Bogotá's COP 4.366 per day standing 6.6\% above Cali's COP 4.096.</w:t>
      </w:r>
    </w:p>
    <w:p w:rsidR="00E74F12" w:rsidRDefault="00461CF3" w:rsidP="00B763B5">
      <w:pPr>
        <w:jc w:val="both"/>
        <w:rPr>
          <w:rFonts w:ascii="Garamond" w:hAnsi="Garamond" w:cs="Tahoma"/>
          <w:sz w:val="28"/>
          <w:szCs w:val="28"/>
        </w:rPr>
      </w:pPr>
      <w:r>
        <w:rPr>
          <w:rFonts w:ascii="Garamond" w:hAnsi="Garamond" w:cs="Tahoma"/>
          <w:noProof/>
          <w:sz w:val="28"/>
          <w:szCs w:val="28"/>
        </w:rPr>
        <w:drawing>
          <wp:inline distT="0" distB="0" distL="0" distR="0">
            <wp:extent cx="4907661" cy="4015409"/>
            <wp:effectExtent l="0" t="0" r="7620" b="444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950732" cy="4050650"/>
                    </a:xfrm>
                    <a:prstGeom prst="rect">
                      <a:avLst/>
                    </a:prstGeom>
                    <a:noFill/>
                    <a:ln>
                      <a:noFill/>
                    </a:ln>
                  </pic:spPr>
                </pic:pic>
              </a:graphicData>
            </a:graphic>
          </wp:inline>
        </w:drawing>
      </w:r>
    </w:p>
    <w:p w:rsidR="00C205E3" w:rsidRPr="00C205E3" w:rsidRDefault="00C205E3" w:rsidP="00B763B5">
      <w:pPr>
        <w:jc w:val="both"/>
        <w:rPr>
          <w:rFonts w:ascii="Garamond" w:hAnsi="Garamond" w:cs="Tahoma"/>
          <w:sz w:val="24"/>
          <w:szCs w:val="24"/>
          <w:lang w:val="en-US"/>
        </w:rPr>
      </w:pPr>
      <w:r w:rsidRPr="00C205E3">
        <w:rPr>
          <w:rFonts w:ascii="Garamond" w:hAnsi="Garamond" w:cs="Tahoma"/>
          <w:sz w:val="24"/>
          <w:szCs w:val="24"/>
          <w:lang w:val="en-US"/>
        </w:rPr>
        <w:t xml:space="preserve">Beyond level differences, the temporal </w:t>
      </w:r>
      <w:proofErr w:type="spellStart"/>
      <w:r w:rsidRPr="00C205E3">
        <w:rPr>
          <w:rFonts w:ascii="Garamond" w:hAnsi="Garamond" w:cs="Tahoma"/>
          <w:sz w:val="24"/>
          <w:szCs w:val="24"/>
          <w:lang w:val="en-US"/>
        </w:rPr>
        <w:t>behaviour</w:t>
      </w:r>
      <w:proofErr w:type="spellEnd"/>
      <w:r w:rsidRPr="00C205E3">
        <w:rPr>
          <w:rFonts w:ascii="Garamond" w:hAnsi="Garamond" w:cs="Tahoma"/>
          <w:sz w:val="24"/>
          <w:szCs w:val="24"/>
          <w:lang w:val="en-US"/>
        </w:rPr>
        <w:t xml:space="preserve"> of intercity gaps varies considerably across diet models. The Bogotá-Cali gap in </w:t>
      </w:r>
      <w:proofErr w:type="spellStart"/>
      <w:r w:rsidRPr="00C205E3">
        <w:rPr>
          <w:rFonts w:ascii="Garamond" w:hAnsi="Garamond" w:cs="Tahoma"/>
          <w:sz w:val="24"/>
          <w:szCs w:val="24"/>
          <w:lang w:val="en-US"/>
        </w:rPr>
        <w:t>CoCA</w:t>
      </w:r>
      <w:proofErr w:type="spellEnd"/>
      <w:r w:rsidRPr="00C205E3">
        <w:rPr>
          <w:rFonts w:ascii="Garamond" w:hAnsi="Garamond" w:cs="Tahoma"/>
          <w:sz w:val="24"/>
          <w:szCs w:val="24"/>
          <w:lang w:val="en-US"/>
        </w:rPr>
        <w:t xml:space="preserve"> widened from COP 100 (6.5\%) in 2019 to COP 128 (11.5\%) by 2024, a statistically significant trend. By contrast, the Bogotá-Medellín gap in </w:t>
      </w:r>
      <w:proofErr w:type="spellStart"/>
      <w:r w:rsidRPr="00C205E3">
        <w:rPr>
          <w:rFonts w:ascii="Garamond" w:hAnsi="Garamond" w:cs="Tahoma"/>
          <w:sz w:val="24"/>
          <w:szCs w:val="24"/>
          <w:lang w:val="en-US"/>
        </w:rPr>
        <w:t>CoNA</w:t>
      </w:r>
      <w:proofErr w:type="spellEnd"/>
      <w:r w:rsidRPr="00C205E3">
        <w:rPr>
          <w:rFonts w:ascii="Garamond" w:hAnsi="Garamond" w:cs="Tahoma"/>
          <w:sz w:val="24"/>
          <w:szCs w:val="24"/>
          <w:lang w:val="en-US"/>
        </w:rPr>
        <w:t xml:space="preserve"> shows no meaningful temporal patterns, which suggests that intercity differences in nutritional adequacy costs are persistent but structurally stable. Lastly, for </w:t>
      </w:r>
      <w:proofErr w:type="spellStart"/>
      <w:r w:rsidRPr="00C205E3">
        <w:rPr>
          <w:rFonts w:ascii="Garamond" w:hAnsi="Garamond" w:cs="Tahoma"/>
          <w:sz w:val="24"/>
          <w:szCs w:val="24"/>
          <w:lang w:val="en-US"/>
        </w:rPr>
        <w:t>CoRD</w:t>
      </w:r>
      <w:proofErr w:type="spellEnd"/>
      <w:r w:rsidRPr="00C205E3">
        <w:rPr>
          <w:rFonts w:ascii="Garamond" w:hAnsi="Garamond" w:cs="Tahoma"/>
          <w:sz w:val="24"/>
          <w:szCs w:val="24"/>
          <w:lang w:val="en-US"/>
        </w:rPr>
        <w:t xml:space="preserve">, the Bogotá-Cali gap widened </w:t>
      </w:r>
      <w:proofErr w:type="spellStart"/>
      <w:r w:rsidRPr="00C205E3">
        <w:rPr>
          <w:rFonts w:ascii="Garamond" w:hAnsi="Garamond" w:cs="Tahoma"/>
          <w:sz w:val="24"/>
          <w:szCs w:val="24"/>
          <w:lang w:val="en-US"/>
        </w:rPr>
        <w:t>forom</w:t>
      </w:r>
      <w:proofErr w:type="spellEnd"/>
      <w:r w:rsidRPr="00C205E3">
        <w:rPr>
          <w:rFonts w:ascii="Garamond" w:hAnsi="Garamond" w:cs="Tahoma"/>
          <w:sz w:val="24"/>
          <w:szCs w:val="24"/>
          <w:lang w:val="en-US"/>
        </w:rPr>
        <w:t xml:space="preserve"> 200 (4.9\%) in 2019 to COP 342 (8.3\%) by 2024, representing the most </w:t>
      </w:r>
      <w:r w:rsidRPr="00C205E3">
        <w:rPr>
          <w:rFonts w:ascii="Garamond" w:hAnsi="Garamond" w:cs="Tahoma"/>
          <w:sz w:val="24"/>
          <w:szCs w:val="24"/>
          <w:lang w:val="en-US"/>
        </w:rPr>
        <w:lastRenderedPageBreak/>
        <w:t>pronounced divergence observed across all city pairs and diet models (The evolution of these pairwise gaps is shown in Figure \ref{</w:t>
      </w:r>
      <w:proofErr w:type="spellStart"/>
      <w:proofErr w:type="gramStart"/>
      <w:r w:rsidRPr="00C205E3">
        <w:rPr>
          <w:rFonts w:ascii="Garamond" w:hAnsi="Garamond" w:cs="Tahoma"/>
          <w:sz w:val="24"/>
          <w:szCs w:val="24"/>
          <w:lang w:val="en-US"/>
        </w:rPr>
        <w:t>fig:pairwise</w:t>
      </w:r>
      <w:proofErr w:type="gramEnd"/>
      <w:r w:rsidRPr="00C205E3">
        <w:rPr>
          <w:rFonts w:ascii="Garamond" w:hAnsi="Garamond" w:cs="Tahoma"/>
          <w:sz w:val="24"/>
          <w:szCs w:val="24"/>
          <w:lang w:val="en-US"/>
        </w:rPr>
        <w:t>-gaps</w:t>
      </w:r>
      <w:proofErr w:type="spellEnd"/>
      <w:r w:rsidRPr="00C205E3">
        <w:rPr>
          <w:rFonts w:ascii="Garamond" w:hAnsi="Garamond" w:cs="Tahoma"/>
          <w:sz w:val="24"/>
          <w:szCs w:val="24"/>
          <w:lang w:val="en-US"/>
        </w:rPr>
        <w:t>}, Appendix)</w:t>
      </w:r>
    </w:p>
    <w:p w:rsidR="00461CF3" w:rsidRDefault="00461CF3" w:rsidP="00B763B5">
      <w:pPr>
        <w:jc w:val="both"/>
        <w:rPr>
          <w:rFonts w:ascii="Garamond" w:hAnsi="Garamond" w:cs="Tahoma"/>
          <w:sz w:val="28"/>
          <w:szCs w:val="28"/>
        </w:rPr>
      </w:pPr>
      <w:r w:rsidRPr="00E74F12">
        <w:rPr>
          <w:rFonts w:ascii="Garamond" w:hAnsi="Garamond" w:cs="Tahoma"/>
          <w:sz w:val="28"/>
          <w:szCs w:val="28"/>
        </w:rPr>
        <w:t xml:space="preserve">[Figure 1: fig01_cost_series —variación interanual de </w:t>
      </w:r>
      <w:proofErr w:type="spellStart"/>
      <w:r w:rsidRPr="00E74F12">
        <w:rPr>
          <w:rFonts w:ascii="Garamond" w:hAnsi="Garamond" w:cs="Tahoma"/>
          <w:sz w:val="28"/>
          <w:szCs w:val="28"/>
        </w:rPr>
        <w:t>CoCA</w:t>
      </w:r>
      <w:proofErr w:type="spellEnd"/>
      <w:r w:rsidRPr="00E74F12">
        <w:rPr>
          <w:rFonts w:ascii="Garamond" w:hAnsi="Garamond" w:cs="Tahoma"/>
          <w:sz w:val="28"/>
          <w:szCs w:val="28"/>
        </w:rPr>
        <w:t xml:space="preserve">, </w:t>
      </w:r>
      <w:proofErr w:type="spellStart"/>
      <w:r w:rsidRPr="00E74F12">
        <w:rPr>
          <w:rFonts w:ascii="Garamond" w:hAnsi="Garamond" w:cs="Tahoma"/>
          <w:sz w:val="28"/>
          <w:szCs w:val="28"/>
        </w:rPr>
        <w:t>CoNA</w:t>
      </w:r>
      <w:proofErr w:type="spellEnd"/>
      <w:r w:rsidRPr="00E74F12">
        <w:rPr>
          <w:rFonts w:ascii="Garamond" w:hAnsi="Garamond" w:cs="Tahoma"/>
          <w:sz w:val="28"/>
          <w:szCs w:val="28"/>
        </w:rPr>
        <w:t xml:space="preserve"> y </w:t>
      </w:r>
      <w:proofErr w:type="spellStart"/>
      <w:r w:rsidRPr="00E74F12">
        <w:rPr>
          <w:rFonts w:ascii="Garamond" w:hAnsi="Garamond" w:cs="Tahoma"/>
          <w:sz w:val="28"/>
          <w:szCs w:val="28"/>
        </w:rPr>
        <w:t>CoRD</w:t>
      </w:r>
      <w:proofErr w:type="spellEnd"/>
      <w:r w:rsidRPr="00E74F12">
        <w:rPr>
          <w:rFonts w:ascii="Garamond" w:hAnsi="Garamond" w:cs="Tahoma"/>
          <w:sz w:val="28"/>
          <w:szCs w:val="28"/>
        </w:rPr>
        <w:t xml:space="preserve"> por ciudad]</w:t>
      </w:r>
    </w:p>
    <w:p w:rsidR="00461CF3" w:rsidRDefault="00461CF3" w:rsidP="00B763B5">
      <w:pPr>
        <w:jc w:val="both"/>
        <w:rPr>
          <w:rFonts w:ascii="Garamond" w:hAnsi="Garamond" w:cs="Tahoma"/>
          <w:sz w:val="28"/>
          <w:szCs w:val="28"/>
        </w:rPr>
      </w:pPr>
      <w:r>
        <w:rPr>
          <w:rFonts w:ascii="Garamond" w:hAnsi="Garamond" w:cs="Tahoma"/>
          <w:noProof/>
          <w:sz w:val="28"/>
          <w:szCs w:val="28"/>
        </w:rPr>
        <w:drawing>
          <wp:inline distT="0" distB="0" distL="0" distR="0">
            <wp:extent cx="5529621" cy="4524293"/>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563820" cy="4552274"/>
                    </a:xfrm>
                    <a:prstGeom prst="rect">
                      <a:avLst/>
                    </a:prstGeom>
                    <a:noFill/>
                    <a:ln>
                      <a:noFill/>
                    </a:ln>
                  </pic:spPr>
                </pic:pic>
              </a:graphicData>
            </a:graphic>
          </wp:inline>
        </w:drawing>
      </w:r>
    </w:p>
    <w:p w:rsidR="00C205E3" w:rsidRDefault="00C205E3" w:rsidP="00B763B5">
      <w:pPr>
        <w:jc w:val="both"/>
        <w:rPr>
          <w:rFonts w:ascii="Garamond" w:hAnsi="Garamond" w:cs="Tahoma"/>
          <w:sz w:val="24"/>
          <w:szCs w:val="24"/>
        </w:rPr>
      </w:pPr>
    </w:p>
    <w:p w:rsidR="00EB3BAE" w:rsidRDefault="00EB3BAE" w:rsidP="00B763B5">
      <w:pPr>
        <w:jc w:val="both"/>
        <w:rPr>
          <w:rFonts w:ascii="Garamond" w:hAnsi="Garamond" w:cs="Tahoma"/>
          <w:sz w:val="24"/>
          <w:szCs w:val="24"/>
          <w:lang w:val="en-US"/>
        </w:rPr>
      </w:pPr>
      <w:r w:rsidRPr="00EB3BAE">
        <w:rPr>
          <w:rFonts w:ascii="Garamond" w:hAnsi="Garamond" w:cs="Tahoma"/>
          <w:sz w:val="24"/>
          <w:szCs w:val="24"/>
          <w:lang w:val="en-US"/>
        </w:rPr>
        <w:t>The temporal dynamics, examined through year-on-year variation in Figure \ref{</w:t>
      </w:r>
      <w:proofErr w:type="spellStart"/>
      <w:proofErr w:type="gramStart"/>
      <w:r w:rsidRPr="00EB3BAE">
        <w:rPr>
          <w:rFonts w:ascii="Garamond" w:hAnsi="Garamond" w:cs="Tahoma"/>
          <w:sz w:val="24"/>
          <w:szCs w:val="24"/>
          <w:lang w:val="en-US"/>
        </w:rPr>
        <w:t>fig:yoy</w:t>
      </w:r>
      <w:proofErr w:type="gramEnd"/>
      <w:r w:rsidRPr="00EB3BAE">
        <w:rPr>
          <w:rFonts w:ascii="Garamond" w:hAnsi="Garamond" w:cs="Tahoma"/>
          <w:sz w:val="24"/>
          <w:szCs w:val="24"/>
          <w:lang w:val="en-US"/>
        </w:rPr>
        <w:t>-costs</w:t>
      </w:r>
      <w:proofErr w:type="spellEnd"/>
      <w:r w:rsidRPr="00EB3BAE">
        <w:rPr>
          <w:rFonts w:ascii="Garamond" w:hAnsi="Garamond" w:cs="Tahoma"/>
          <w:sz w:val="24"/>
          <w:szCs w:val="24"/>
          <w:lang w:val="en-US"/>
        </w:rPr>
        <w:t xml:space="preserve">}, reveal that, in nominal terms, the 2022-2023 inflationary episode struck all three cities with comparable intensity, though peak timing differed by model. For </w:t>
      </w:r>
      <w:proofErr w:type="spellStart"/>
      <w:r w:rsidRPr="00EB3BAE">
        <w:rPr>
          <w:rFonts w:ascii="Garamond" w:hAnsi="Garamond" w:cs="Tahoma"/>
          <w:sz w:val="24"/>
          <w:szCs w:val="24"/>
          <w:lang w:val="en-US"/>
        </w:rPr>
        <w:t>CoCA</w:t>
      </w:r>
      <w:proofErr w:type="spellEnd"/>
      <w:r w:rsidRPr="00EB3BAE">
        <w:rPr>
          <w:rFonts w:ascii="Garamond" w:hAnsi="Garamond" w:cs="Tahoma"/>
          <w:sz w:val="24"/>
          <w:szCs w:val="24"/>
          <w:lang w:val="en-US"/>
        </w:rPr>
        <w:t xml:space="preserve">, year-on-year peaks were reached in January 2023 in Medellín (39.1\%), April 2023 in Bogotá (38\%), and November 2022 in Cali (34.8\%). By contrast, </w:t>
      </w:r>
      <w:proofErr w:type="spellStart"/>
      <w:r w:rsidRPr="00EB3BAE">
        <w:rPr>
          <w:rFonts w:ascii="Garamond" w:hAnsi="Garamond" w:cs="Tahoma"/>
          <w:sz w:val="24"/>
          <w:szCs w:val="24"/>
          <w:lang w:val="en-US"/>
        </w:rPr>
        <w:t>CoNA</w:t>
      </w:r>
      <w:proofErr w:type="spellEnd"/>
      <w:r w:rsidRPr="00EB3BAE">
        <w:rPr>
          <w:rFonts w:ascii="Garamond" w:hAnsi="Garamond" w:cs="Tahoma"/>
          <w:sz w:val="24"/>
          <w:szCs w:val="24"/>
          <w:lang w:val="en-US"/>
        </w:rPr>
        <w:t xml:space="preserve"> and </w:t>
      </w:r>
      <w:proofErr w:type="spellStart"/>
      <w:r w:rsidRPr="00EB3BAE">
        <w:rPr>
          <w:rFonts w:ascii="Garamond" w:hAnsi="Garamond" w:cs="Tahoma"/>
          <w:sz w:val="24"/>
          <w:szCs w:val="24"/>
          <w:lang w:val="en-US"/>
        </w:rPr>
        <w:t>CoRD</w:t>
      </w:r>
      <w:proofErr w:type="spellEnd"/>
      <w:r w:rsidRPr="00EB3BAE">
        <w:rPr>
          <w:rFonts w:ascii="Garamond" w:hAnsi="Garamond" w:cs="Tahoma"/>
          <w:sz w:val="24"/>
          <w:szCs w:val="24"/>
          <w:lang w:val="en-US"/>
        </w:rPr>
        <w:t xml:space="preserve"> peaked more synchronously between September and December 2022, with year-on-year variations ranging from 32.4\% to 34.5\% and from 35.3\% to 36.8\%, respectively. In real terms, </w:t>
      </w:r>
      <w:proofErr w:type="spellStart"/>
      <w:r w:rsidRPr="00EB3BAE">
        <w:rPr>
          <w:rFonts w:ascii="Garamond" w:hAnsi="Garamond" w:cs="Tahoma"/>
          <w:sz w:val="24"/>
          <w:szCs w:val="24"/>
          <w:lang w:val="en-US"/>
        </w:rPr>
        <w:t>CoCA</w:t>
      </w:r>
      <w:proofErr w:type="spellEnd"/>
      <w:r w:rsidRPr="00EB3BAE">
        <w:rPr>
          <w:rFonts w:ascii="Garamond" w:hAnsi="Garamond" w:cs="Tahoma"/>
          <w:sz w:val="24"/>
          <w:szCs w:val="24"/>
          <w:lang w:val="en-US"/>
        </w:rPr>
        <w:t xml:space="preserve"> recorded negative mean year-on-year variations across all three cities, which reflects a sustained relative decline in the cost of basic caloric foods with respect to the general food price level. </w:t>
      </w:r>
      <w:proofErr w:type="spellStart"/>
      <w:r w:rsidRPr="00EB3BAE">
        <w:rPr>
          <w:rFonts w:ascii="Garamond" w:hAnsi="Garamond" w:cs="Tahoma"/>
          <w:sz w:val="24"/>
          <w:szCs w:val="24"/>
          <w:lang w:val="en-US"/>
        </w:rPr>
        <w:t>CoNA</w:t>
      </w:r>
      <w:proofErr w:type="spellEnd"/>
      <w:r w:rsidRPr="00EB3BAE">
        <w:rPr>
          <w:rFonts w:ascii="Garamond" w:hAnsi="Garamond" w:cs="Tahoma"/>
          <w:sz w:val="24"/>
          <w:szCs w:val="24"/>
          <w:lang w:val="en-US"/>
        </w:rPr>
        <w:t xml:space="preserve"> real variations averaged between 0\% and 0.4\% with real peaks of 9\% in Cali and 7.2\% in Bogotá, which indicates that the real financial burden of nutritional adequacy remained virtually stable. </w:t>
      </w:r>
      <w:proofErr w:type="spellStart"/>
      <w:r w:rsidRPr="00EB3BAE">
        <w:rPr>
          <w:rFonts w:ascii="Garamond" w:hAnsi="Garamond" w:cs="Tahoma"/>
          <w:sz w:val="24"/>
          <w:szCs w:val="24"/>
          <w:lang w:val="en-US"/>
        </w:rPr>
        <w:t>CoRD</w:t>
      </w:r>
      <w:proofErr w:type="spellEnd"/>
      <w:r w:rsidRPr="00EB3BAE">
        <w:rPr>
          <w:rFonts w:ascii="Garamond" w:hAnsi="Garamond" w:cs="Tahoma"/>
          <w:sz w:val="24"/>
          <w:szCs w:val="24"/>
          <w:lang w:val="en-US"/>
        </w:rPr>
        <w:t xml:space="preserve"> was the only model to register substantial real declines prior to the inflationary episode (-8.4\% in Cali </w:t>
      </w:r>
      <w:r w:rsidRPr="00EB3BAE">
        <w:rPr>
          <w:rFonts w:ascii="Garamond" w:hAnsi="Garamond" w:cs="Tahoma"/>
          <w:sz w:val="24"/>
          <w:szCs w:val="24"/>
          <w:lang w:val="en-US"/>
        </w:rPr>
        <w:lastRenderedPageBreak/>
        <w:t xml:space="preserve">and -6.2\% in Bogotá, May 2021), consistent with a differential post-pandemic recovery in diversified diet food prices. </w:t>
      </w:r>
      <w:proofErr w:type="spellStart"/>
      <w:r w:rsidRPr="00EB3BAE">
        <w:rPr>
          <w:rFonts w:ascii="Garamond" w:hAnsi="Garamond" w:cs="Tahoma"/>
          <w:sz w:val="24"/>
          <w:szCs w:val="24"/>
          <w:lang w:val="en-US"/>
        </w:rPr>
        <w:t>CoCA</w:t>
      </w:r>
      <w:proofErr w:type="spellEnd"/>
      <w:r w:rsidRPr="00EB3BAE">
        <w:rPr>
          <w:rFonts w:ascii="Garamond" w:hAnsi="Garamond" w:cs="Tahoma"/>
          <w:sz w:val="24"/>
          <w:szCs w:val="24"/>
          <w:lang w:val="en-US"/>
        </w:rPr>
        <w:t xml:space="preserve"> dropped up to -28.7\% in Bogotá and -27.7\% in Cali by June 2024, while </w:t>
      </w:r>
      <w:proofErr w:type="spellStart"/>
      <w:r w:rsidRPr="00EB3BAE">
        <w:rPr>
          <w:rFonts w:ascii="Garamond" w:hAnsi="Garamond" w:cs="Tahoma"/>
          <w:sz w:val="24"/>
          <w:szCs w:val="24"/>
          <w:lang w:val="en-US"/>
        </w:rPr>
        <w:t>CoNA</w:t>
      </w:r>
      <w:proofErr w:type="spellEnd"/>
      <w:r w:rsidRPr="00EB3BAE">
        <w:rPr>
          <w:rFonts w:ascii="Garamond" w:hAnsi="Garamond" w:cs="Tahoma"/>
          <w:sz w:val="24"/>
          <w:szCs w:val="24"/>
          <w:lang w:val="en-US"/>
        </w:rPr>
        <w:t xml:space="preserve"> and </w:t>
      </w:r>
      <w:proofErr w:type="spellStart"/>
      <w:r w:rsidRPr="00EB3BAE">
        <w:rPr>
          <w:rFonts w:ascii="Garamond" w:hAnsi="Garamond" w:cs="Tahoma"/>
          <w:sz w:val="24"/>
          <w:szCs w:val="24"/>
          <w:lang w:val="en-US"/>
        </w:rPr>
        <w:t>CoRD</w:t>
      </w:r>
      <w:proofErr w:type="spellEnd"/>
      <w:r w:rsidRPr="00EB3BAE">
        <w:rPr>
          <w:rFonts w:ascii="Garamond" w:hAnsi="Garamond" w:cs="Tahoma"/>
          <w:sz w:val="24"/>
          <w:szCs w:val="24"/>
          <w:lang w:val="en-US"/>
        </w:rPr>
        <w:t xml:space="preserve"> corrections remained far more contained (-4.1\% to -7.9\%). It follows that the post-inflationary adjustment reduced the relative cost of basic calories without proportionally relieving the burden of nutritional adequacy. Indeed, pairwise correlations of real year-on-year variations further underscore this pattern: exceeding 0.93 for </w:t>
      </w:r>
      <w:proofErr w:type="spellStart"/>
      <w:r w:rsidRPr="00EB3BAE">
        <w:rPr>
          <w:rFonts w:ascii="Garamond" w:hAnsi="Garamond" w:cs="Tahoma"/>
          <w:sz w:val="24"/>
          <w:szCs w:val="24"/>
          <w:lang w:val="en-US"/>
        </w:rPr>
        <w:t>CoCA</w:t>
      </w:r>
      <w:proofErr w:type="spellEnd"/>
      <w:r w:rsidRPr="00EB3BAE">
        <w:rPr>
          <w:rFonts w:ascii="Garamond" w:hAnsi="Garamond" w:cs="Tahoma"/>
          <w:sz w:val="24"/>
          <w:szCs w:val="24"/>
          <w:lang w:val="en-US"/>
        </w:rPr>
        <w:t xml:space="preserve">, yet falling to 0.81 - 0.88 for </w:t>
      </w:r>
      <w:proofErr w:type="spellStart"/>
      <w:r w:rsidRPr="00EB3BAE">
        <w:rPr>
          <w:rFonts w:ascii="Garamond" w:hAnsi="Garamond" w:cs="Tahoma"/>
          <w:sz w:val="24"/>
          <w:szCs w:val="24"/>
          <w:lang w:val="en-US"/>
        </w:rPr>
        <w:t>CoNA</w:t>
      </w:r>
      <w:proofErr w:type="spellEnd"/>
      <w:r w:rsidRPr="00EB3BAE">
        <w:rPr>
          <w:rFonts w:ascii="Garamond" w:hAnsi="Garamond" w:cs="Tahoma"/>
          <w:sz w:val="24"/>
          <w:szCs w:val="24"/>
          <w:lang w:val="en-US"/>
        </w:rPr>
        <w:t xml:space="preserve"> and 0.78 - 0.86 for </w:t>
      </w:r>
      <w:proofErr w:type="spellStart"/>
      <w:r w:rsidRPr="00EB3BAE">
        <w:rPr>
          <w:rFonts w:ascii="Garamond" w:hAnsi="Garamond" w:cs="Tahoma"/>
          <w:sz w:val="24"/>
          <w:szCs w:val="24"/>
          <w:lang w:val="en-US"/>
        </w:rPr>
        <w:t>CoRD</w:t>
      </w:r>
      <w:proofErr w:type="spellEnd"/>
      <w:r w:rsidRPr="00EB3BAE">
        <w:rPr>
          <w:rFonts w:ascii="Garamond" w:hAnsi="Garamond" w:cs="Tahoma"/>
          <w:sz w:val="24"/>
          <w:szCs w:val="24"/>
          <w:lang w:val="en-US"/>
        </w:rPr>
        <w:t>, consistent with greater geographic heterogeneity in the cost of higher-quality diets.</w:t>
      </w:r>
    </w:p>
    <w:p w:rsidR="00EB3BAE" w:rsidRDefault="00EB3BAE" w:rsidP="00B763B5">
      <w:pPr>
        <w:jc w:val="both"/>
        <w:rPr>
          <w:rFonts w:ascii="Garamond" w:hAnsi="Garamond" w:cs="Tahoma"/>
          <w:sz w:val="24"/>
          <w:szCs w:val="24"/>
          <w:lang w:val="en-US"/>
        </w:rPr>
      </w:pPr>
    </w:p>
    <w:p w:rsidR="00E74F12" w:rsidRDefault="00E74F12" w:rsidP="00B763B5">
      <w:pPr>
        <w:pStyle w:val="Prrafodelista"/>
        <w:numPr>
          <w:ilvl w:val="1"/>
          <w:numId w:val="1"/>
        </w:numPr>
        <w:jc w:val="both"/>
        <w:rPr>
          <w:rFonts w:ascii="Garamond" w:hAnsi="Garamond" w:cs="Tahoma"/>
          <w:b/>
          <w:sz w:val="28"/>
          <w:szCs w:val="28"/>
        </w:rPr>
      </w:pPr>
      <w:bookmarkStart w:id="0" w:name="_Hlk233020823"/>
      <w:r>
        <w:rPr>
          <w:rFonts w:ascii="Garamond" w:hAnsi="Garamond" w:cs="Tahoma"/>
          <w:b/>
          <w:sz w:val="28"/>
          <w:szCs w:val="28"/>
        </w:rPr>
        <w:t>Los “</w:t>
      </w:r>
      <w:proofErr w:type="spellStart"/>
      <w:r>
        <w:rPr>
          <w:rFonts w:ascii="Garamond" w:hAnsi="Garamond" w:cs="Tahoma"/>
          <w:b/>
          <w:sz w:val="28"/>
          <w:szCs w:val="28"/>
        </w:rPr>
        <w:t>premiums</w:t>
      </w:r>
      <w:proofErr w:type="spellEnd"/>
      <w:r>
        <w:rPr>
          <w:rFonts w:ascii="Garamond" w:hAnsi="Garamond" w:cs="Tahoma"/>
          <w:b/>
          <w:sz w:val="28"/>
          <w:szCs w:val="28"/>
        </w:rPr>
        <w:t>” de la calidad nutricional</w:t>
      </w:r>
      <w:r w:rsidR="00A24912">
        <w:rPr>
          <w:rFonts w:ascii="Garamond" w:hAnsi="Garamond" w:cs="Tahoma"/>
          <w:b/>
          <w:sz w:val="28"/>
          <w:szCs w:val="28"/>
        </w:rPr>
        <w:t xml:space="preserve"> y la composición de las dietas</w:t>
      </w:r>
    </w:p>
    <w:bookmarkEnd w:id="0"/>
    <w:p w:rsidR="00D85D78" w:rsidRPr="00D85D78" w:rsidRDefault="00ED61CA" w:rsidP="00D85D78">
      <w:pPr>
        <w:jc w:val="both"/>
        <w:rPr>
          <w:lang w:val="en-US"/>
        </w:rPr>
      </w:pPr>
      <w:r w:rsidRPr="00ED61CA">
        <w:rPr>
          <w:lang w:val="en-US"/>
        </w:rPr>
        <w:t>Figure~\ref{</w:t>
      </w:r>
      <w:proofErr w:type="spellStart"/>
      <w:proofErr w:type="gramStart"/>
      <w:r w:rsidRPr="00ED61CA">
        <w:rPr>
          <w:lang w:val="en-US"/>
        </w:rPr>
        <w:t>fig:quality</w:t>
      </w:r>
      <w:proofErr w:type="gramEnd"/>
      <w:r w:rsidRPr="00ED61CA">
        <w:rPr>
          <w:lang w:val="en-US"/>
        </w:rPr>
        <w:t>_premium</w:t>
      </w:r>
      <w:proofErr w:type="spellEnd"/>
      <w:r w:rsidRPr="00ED61CA">
        <w:rPr>
          <w:lang w:val="en-US"/>
        </w:rPr>
        <w:t>} presents the three nutritional quality premiums (</w:t>
      </w:r>
      <w:proofErr w:type="spellStart"/>
      <w:r w:rsidRPr="00ED61CA">
        <w:rPr>
          <w:lang w:val="en-US"/>
        </w:rPr>
        <w:t>CoNA</w:t>
      </w:r>
      <w:proofErr w:type="spellEnd"/>
      <w:r w:rsidRPr="00ED61CA">
        <w:rPr>
          <w:lang w:val="en-US"/>
        </w:rPr>
        <w:t>/</w:t>
      </w:r>
      <w:proofErr w:type="spellStart"/>
      <w:r w:rsidRPr="00ED61CA">
        <w:rPr>
          <w:lang w:val="en-US"/>
        </w:rPr>
        <w:t>CoCA</w:t>
      </w:r>
      <w:proofErr w:type="spellEnd"/>
      <w:r w:rsidRPr="00ED61CA">
        <w:rPr>
          <w:lang w:val="en-US"/>
        </w:rPr>
        <w:t xml:space="preserve">, </w:t>
      </w:r>
      <w:proofErr w:type="spellStart"/>
      <w:r w:rsidRPr="00ED61CA">
        <w:rPr>
          <w:lang w:val="en-US"/>
        </w:rPr>
        <w:t>CoRD</w:t>
      </w:r>
      <w:proofErr w:type="spellEnd"/>
      <w:r w:rsidRPr="00ED61CA">
        <w:rPr>
          <w:lang w:val="en-US"/>
        </w:rPr>
        <w:t>/</w:t>
      </w:r>
      <w:proofErr w:type="spellStart"/>
      <w:r w:rsidRPr="00ED61CA">
        <w:rPr>
          <w:lang w:val="en-US"/>
        </w:rPr>
        <w:t>CoCA</w:t>
      </w:r>
      <w:proofErr w:type="spellEnd"/>
      <w:r w:rsidRPr="00ED61CA">
        <w:rPr>
          <w:lang w:val="en-US"/>
        </w:rPr>
        <w:t xml:space="preserve">, and </w:t>
      </w:r>
      <w:proofErr w:type="spellStart"/>
      <w:r w:rsidRPr="00ED61CA">
        <w:rPr>
          <w:lang w:val="en-US"/>
        </w:rPr>
        <w:t>CoRD</w:t>
      </w:r>
      <w:proofErr w:type="spellEnd"/>
      <w:r w:rsidRPr="00ED61CA">
        <w:rPr>
          <w:lang w:val="en-US"/>
        </w:rPr>
        <w:t>/</w:t>
      </w:r>
      <w:proofErr w:type="spellStart"/>
      <w:r w:rsidRPr="00ED61CA">
        <w:rPr>
          <w:lang w:val="en-US"/>
        </w:rPr>
        <w:t>CoNA</w:t>
      </w:r>
      <w:proofErr w:type="spellEnd"/>
      <w:r w:rsidRPr="00ED61CA">
        <w:rPr>
          <w:lang w:val="en-US"/>
        </w:rPr>
        <w:t xml:space="preserve">), which quantify the relative cost penalty of each dietary quality level. Over the full period, the </w:t>
      </w:r>
      <w:proofErr w:type="spellStart"/>
      <w:r w:rsidRPr="00ED61CA">
        <w:rPr>
          <w:lang w:val="en-US"/>
        </w:rPr>
        <w:t>CoNA</w:t>
      </w:r>
      <w:proofErr w:type="spellEnd"/>
      <w:r w:rsidRPr="00ED61CA">
        <w:rPr>
          <w:lang w:val="en-US"/>
        </w:rPr>
        <w:t>/</w:t>
      </w:r>
      <w:proofErr w:type="spellStart"/>
      <w:r w:rsidRPr="00ED61CA">
        <w:rPr>
          <w:lang w:val="en-US"/>
        </w:rPr>
        <w:t>CoCA</w:t>
      </w:r>
      <w:proofErr w:type="spellEnd"/>
      <w:r w:rsidRPr="00ED61CA">
        <w:rPr>
          <w:lang w:val="en-US"/>
        </w:rPr>
        <w:t xml:space="preserve"> premium reached a median of 1.85 in Bogotá (IQR: 1.80--1.97), 2.01 in Medellín (1.96--2.11), and 1.99 in Cali (1.91--2.14). A nutritionally adequate diet therefore cost between 80% and 114% more than an energy-sufficient diet, depending on the city. The </w:t>
      </w:r>
      <w:proofErr w:type="spellStart"/>
      <w:r w:rsidRPr="00ED61CA">
        <w:rPr>
          <w:lang w:val="en-US"/>
        </w:rPr>
        <w:t>CoRD</w:t>
      </w:r>
      <w:proofErr w:type="spellEnd"/>
      <w:r w:rsidRPr="00ED61CA">
        <w:rPr>
          <w:lang w:val="en-US"/>
        </w:rPr>
        <w:t>/</w:t>
      </w:r>
      <w:proofErr w:type="spellStart"/>
      <w:r w:rsidRPr="00ED61CA">
        <w:rPr>
          <w:lang w:val="en-US"/>
        </w:rPr>
        <w:t>CoCA</w:t>
      </w:r>
      <w:proofErr w:type="spellEnd"/>
      <w:r w:rsidRPr="00ED61CA">
        <w:rPr>
          <w:lang w:val="en-US"/>
        </w:rPr>
        <w:t xml:space="preserve"> premium is considerably higher, with medians ranging from 2.80 to 2.84 (IQR: 2.74--3.08). The </w:t>
      </w:r>
      <w:proofErr w:type="spellStart"/>
      <w:r w:rsidRPr="00ED61CA">
        <w:rPr>
          <w:lang w:val="en-US"/>
        </w:rPr>
        <w:t>CoRD</w:t>
      </w:r>
      <w:proofErr w:type="spellEnd"/>
      <w:r w:rsidRPr="00ED61CA">
        <w:rPr>
          <w:lang w:val="en-US"/>
        </w:rPr>
        <w:t>/</w:t>
      </w:r>
      <w:proofErr w:type="spellStart"/>
      <w:r w:rsidRPr="00ED61CA">
        <w:rPr>
          <w:lang w:val="en-US"/>
        </w:rPr>
        <w:t>CoNA</w:t>
      </w:r>
      <w:proofErr w:type="spellEnd"/>
      <w:r w:rsidRPr="00ED61CA">
        <w:rPr>
          <w:lang w:val="en-US"/>
        </w:rPr>
        <w:t xml:space="preserve"> premium, by contrast, is far more modest: 1.52 in Bogotá (IQR: 1.51--1.54), 1.42 in Medellín (1.40--1.43), and 1.43 in Cali (1.41--1.46). It follows that, once minimum nutritional requirements are met, achieving the dietary diversity recommended by the FBDGs carries a further premium of 40% to 54%.</w:t>
      </w:r>
    </w:p>
    <w:p w:rsidR="0034181C" w:rsidRDefault="0034181C" w:rsidP="00D85D78">
      <w:pPr>
        <w:jc w:val="both"/>
        <w:rPr>
          <w:lang w:val="en-US"/>
        </w:rPr>
      </w:pPr>
      <w:r w:rsidRPr="0034181C">
        <w:rPr>
          <w:lang w:val="en-US"/>
        </w:rPr>
        <w:t xml:space="preserve">The </w:t>
      </w:r>
      <w:proofErr w:type="spellStart"/>
      <w:r w:rsidRPr="0034181C">
        <w:rPr>
          <w:lang w:val="en-US"/>
        </w:rPr>
        <w:t>CoRD</w:t>
      </w:r>
      <w:proofErr w:type="spellEnd"/>
      <w:r w:rsidRPr="0034181C">
        <w:rPr>
          <w:lang w:val="en-US"/>
        </w:rPr>
        <w:t>/</w:t>
      </w:r>
      <w:proofErr w:type="spellStart"/>
      <w:r w:rsidRPr="0034181C">
        <w:rPr>
          <w:lang w:val="en-US"/>
        </w:rPr>
        <w:t>CoNA</w:t>
      </w:r>
      <w:proofErr w:type="spellEnd"/>
      <w:r w:rsidRPr="0034181C">
        <w:rPr>
          <w:lang w:val="en-US"/>
        </w:rPr>
        <w:t xml:space="preserve"> premium tells a different story. Stable throughout the period, with medians ranging from 1.40 to 1.54 and no discernible temporal trend, it points to a marginal cost of dietary diversity beyond nutritional adequacy that remains steady and unaffected by the inflationary cycle.</w:t>
      </w:r>
    </w:p>
    <w:p w:rsidR="00C91307" w:rsidRDefault="00C91307" w:rsidP="00D85D78">
      <w:pPr>
        <w:jc w:val="both"/>
        <w:rPr>
          <w:lang w:val="en-US"/>
        </w:rPr>
      </w:pPr>
    </w:p>
    <w:p w:rsidR="00C91307" w:rsidRDefault="00C91307" w:rsidP="00D85D78">
      <w:pPr>
        <w:jc w:val="both"/>
        <w:rPr>
          <w:lang w:val="en-US"/>
        </w:rPr>
      </w:pPr>
    </w:p>
    <w:p w:rsidR="00C91307" w:rsidRDefault="00C91307" w:rsidP="00D85D78">
      <w:pPr>
        <w:jc w:val="both"/>
        <w:rPr>
          <w:lang w:val="en-US"/>
        </w:rPr>
      </w:pPr>
    </w:p>
    <w:p w:rsidR="00C91307" w:rsidRDefault="00C91307" w:rsidP="00D85D78">
      <w:pPr>
        <w:jc w:val="both"/>
        <w:rPr>
          <w:lang w:val="en-US"/>
        </w:rPr>
      </w:pPr>
    </w:p>
    <w:p w:rsidR="00C91307" w:rsidRDefault="00C91307" w:rsidP="00D85D78">
      <w:pPr>
        <w:jc w:val="both"/>
        <w:rPr>
          <w:lang w:val="en-US"/>
        </w:rPr>
      </w:pPr>
    </w:p>
    <w:p w:rsidR="00C91307" w:rsidRDefault="00C91307" w:rsidP="00D85D78">
      <w:pPr>
        <w:jc w:val="both"/>
        <w:rPr>
          <w:lang w:val="en-US"/>
        </w:rPr>
      </w:pPr>
    </w:p>
    <w:p w:rsidR="00C91307" w:rsidRDefault="00C91307" w:rsidP="00D85D78">
      <w:pPr>
        <w:jc w:val="both"/>
        <w:rPr>
          <w:lang w:val="en-US"/>
        </w:rPr>
      </w:pPr>
    </w:p>
    <w:p w:rsidR="00C91307" w:rsidRDefault="00C91307" w:rsidP="00D85D78">
      <w:pPr>
        <w:jc w:val="both"/>
        <w:rPr>
          <w:lang w:val="en-US"/>
        </w:rPr>
      </w:pPr>
    </w:p>
    <w:p w:rsidR="00C91307" w:rsidRDefault="00C91307" w:rsidP="00D85D78">
      <w:pPr>
        <w:jc w:val="both"/>
        <w:rPr>
          <w:lang w:val="en-US"/>
        </w:rPr>
      </w:pPr>
    </w:p>
    <w:p w:rsidR="00C91307" w:rsidRDefault="00C91307" w:rsidP="00D85D78">
      <w:pPr>
        <w:jc w:val="both"/>
        <w:rPr>
          <w:lang w:val="en-US"/>
        </w:rPr>
      </w:pPr>
    </w:p>
    <w:p w:rsidR="0034181C" w:rsidRPr="0034181C" w:rsidRDefault="0034181C" w:rsidP="0034181C">
      <w:pPr>
        <w:pStyle w:val="Prrafodelista"/>
        <w:ind w:left="1080"/>
        <w:jc w:val="both"/>
        <w:rPr>
          <w:rFonts w:ascii="Garamond" w:hAnsi="Garamond" w:cs="Tahoma"/>
          <w:b/>
          <w:sz w:val="28"/>
          <w:szCs w:val="28"/>
          <w:lang w:val="en-US"/>
        </w:rPr>
      </w:pPr>
    </w:p>
    <w:p w:rsidR="003563D7" w:rsidRPr="0034181C" w:rsidRDefault="003563D7" w:rsidP="003563D7">
      <w:pPr>
        <w:pStyle w:val="Prrafodelista"/>
        <w:numPr>
          <w:ilvl w:val="1"/>
          <w:numId w:val="1"/>
        </w:numPr>
        <w:jc w:val="both"/>
        <w:rPr>
          <w:rFonts w:ascii="Garamond" w:hAnsi="Garamond" w:cs="Tahoma"/>
          <w:b/>
          <w:sz w:val="28"/>
          <w:szCs w:val="28"/>
        </w:rPr>
      </w:pPr>
      <w:r w:rsidRPr="0034181C">
        <w:rPr>
          <w:rFonts w:ascii="Garamond" w:hAnsi="Garamond" w:cs="Tahoma"/>
          <w:b/>
          <w:sz w:val="28"/>
          <w:szCs w:val="28"/>
        </w:rPr>
        <w:lastRenderedPageBreak/>
        <w:t>Análisis de la composición de las dietas</w:t>
      </w:r>
    </w:p>
    <w:p w:rsidR="00C91307" w:rsidRPr="00C91307" w:rsidRDefault="00C91307" w:rsidP="00B763B5">
      <w:pPr>
        <w:jc w:val="both"/>
        <w:rPr>
          <w:rFonts w:ascii="Garamond" w:hAnsi="Garamond" w:cs="Tahoma"/>
          <w:sz w:val="24"/>
          <w:szCs w:val="24"/>
          <w:lang w:val="en-US"/>
        </w:rPr>
      </w:pPr>
      <w:r w:rsidRPr="00C91307">
        <w:rPr>
          <w:rFonts w:ascii="Garamond" w:hAnsi="Garamond" w:cs="Tahoma"/>
          <w:sz w:val="24"/>
          <w:szCs w:val="24"/>
          <w:lang w:val="en-US"/>
        </w:rPr>
        <w:t xml:space="preserve">Understanding these cost differentials requires examining the composition of the least-cost diets. The </w:t>
      </w:r>
      <w:proofErr w:type="spellStart"/>
      <w:r w:rsidRPr="00C91307">
        <w:rPr>
          <w:rFonts w:ascii="Garamond" w:hAnsi="Garamond" w:cs="Tahoma"/>
          <w:sz w:val="24"/>
          <w:szCs w:val="24"/>
          <w:lang w:val="en-US"/>
        </w:rPr>
        <w:t>behaviour</w:t>
      </w:r>
      <w:proofErr w:type="spellEnd"/>
      <w:r w:rsidRPr="00C91307">
        <w:rPr>
          <w:rFonts w:ascii="Garamond" w:hAnsi="Garamond" w:cs="Tahoma"/>
          <w:sz w:val="24"/>
          <w:szCs w:val="24"/>
          <w:lang w:val="en-US"/>
        </w:rPr>
        <w:t xml:space="preserve"> of real </w:t>
      </w:r>
      <w:proofErr w:type="spellStart"/>
      <w:r w:rsidRPr="00C91307">
        <w:rPr>
          <w:rFonts w:ascii="Garamond" w:hAnsi="Garamond" w:cs="Tahoma"/>
          <w:sz w:val="24"/>
          <w:szCs w:val="24"/>
          <w:lang w:val="en-US"/>
        </w:rPr>
        <w:t>CoNA</w:t>
      </w:r>
      <w:proofErr w:type="spellEnd"/>
      <w:r w:rsidRPr="00C91307">
        <w:rPr>
          <w:rFonts w:ascii="Garamond" w:hAnsi="Garamond" w:cs="Tahoma"/>
          <w:sz w:val="24"/>
          <w:szCs w:val="24"/>
          <w:lang w:val="en-US"/>
        </w:rPr>
        <w:t xml:space="preserve"> reflects the interplay between relative price movements and adjustments in the baskets selected by the linear program. (Figure B1 in the Appendix traces the full composition of the </w:t>
      </w:r>
      <w:proofErr w:type="spellStart"/>
      <w:r w:rsidRPr="00C91307">
        <w:rPr>
          <w:rFonts w:ascii="Garamond" w:hAnsi="Garamond" w:cs="Tahoma"/>
          <w:sz w:val="24"/>
          <w:szCs w:val="24"/>
          <w:lang w:val="en-US"/>
        </w:rPr>
        <w:t>CoNA</w:t>
      </w:r>
      <w:proofErr w:type="spellEnd"/>
      <w:r w:rsidRPr="00C91307">
        <w:rPr>
          <w:rFonts w:ascii="Garamond" w:hAnsi="Garamond" w:cs="Tahoma"/>
          <w:sz w:val="24"/>
          <w:szCs w:val="24"/>
          <w:lang w:val="en-US"/>
        </w:rPr>
        <w:t xml:space="preserve"> diet over the period — which foods entered the basket, where, when, in what quantities, and which city–year pairs never selected a given food at all). The diet is dominated by a core set of food items presented in all or nearly all months across the three cities (pasteurized milk, dried peas, wheat flour, lentils, vegetable fat, and guavas), though each city also draws on additional foods with selective presence, specifically cassava in Cali, rice in Medellín, and soybean oil in both Bogotá and Cali.</w:t>
      </w:r>
    </w:p>
    <w:p w:rsidR="00407B29" w:rsidRPr="00CB3D94" w:rsidRDefault="008A73D5" w:rsidP="00E75221">
      <w:pPr>
        <w:jc w:val="center"/>
        <w:rPr>
          <w:rFonts w:ascii="Garamond" w:hAnsi="Garamond" w:cs="Tahoma"/>
          <w:sz w:val="28"/>
          <w:szCs w:val="28"/>
        </w:rPr>
      </w:pPr>
      <w:r>
        <w:rPr>
          <w:rFonts w:ascii="Garamond" w:hAnsi="Garamond" w:cs="Tahoma"/>
          <w:noProof/>
          <w:sz w:val="28"/>
          <w:szCs w:val="28"/>
        </w:rPr>
        <w:drawing>
          <wp:inline distT="0" distB="0" distL="0" distR="0" wp14:anchorId="2706DCEE" wp14:editId="4D564E95">
            <wp:extent cx="5189516" cy="2396098"/>
            <wp:effectExtent l="0" t="0" r="0" b="444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195748" cy="2398975"/>
                    </a:xfrm>
                    <a:prstGeom prst="rect">
                      <a:avLst/>
                    </a:prstGeom>
                    <a:noFill/>
                    <a:ln>
                      <a:noFill/>
                    </a:ln>
                  </pic:spPr>
                </pic:pic>
              </a:graphicData>
            </a:graphic>
          </wp:inline>
        </w:drawing>
      </w:r>
    </w:p>
    <w:p w:rsidR="00407B29" w:rsidRPr="00CB3D94" w:rsidRDefault="00CB3D94" w:rsidP="00B763B5">
      <w:pPr>
        <w:jc w:val="both"/>
        <w:rPr>
          <w:rFonts w:ascii="Garamond" w:hAnsi="Garamond" w:cs="Tahoma"/>
          <w:sz w:val="24"/>
          <w:szCs w:val="24"/>
          <w:lang w:val="en-US"/>
        </w:rPr>
      </w:pPr>
      <w:r w:rsidRPr="00CB3D94">
        <w:rPr>
          <w:rFonts w:ascii="Garamond" w:hAnsi="Garamond" w:cs="Tahoma"/>
          <w:sz w:val="24"/>
          <w:szCs w:val="24"/>
          <w:lang w:val="en-US"/>
        </w:rPr>
        <w:t>Pasteurized milk dominates diet costs in all three cities, accounting for between 35.1\% of total cost in Cali and 40.6\% in Medellín over the full period, with its contribution rising steadily, from 1.135 - 1.212 COP/day in 2019 to 1.386 - 1.436 COP/day in 2024 (Figure \ref{</w:t>
      </w:r>
      <w:proofErr w:type="spellStart"/>
      <w:proofErr w:type="gramStart"/>
      <w:r w:rsidRPr="00CB3D94">
        <w:rPr>
          <w:rFonts w:ascii="Garamond" w:hAnsi="Garamond" w:cs="Tahoma"/>
          <w:sz w:val="24"/>
          <w:szCs w:val="24"/>
          <w:lang w:val="en-US"/>
        </w:rPr>
        <w:t>fig:cost</w:t>
      </w:r>
      <w:proofErr w:type="gramEnd"/>
      <w:r w:rsidRPr="00CB3D94">
        <w:rPr>
          <w:rFonts w:ascii="Garamond" w:hAnsi="Garamond" w:cs="Tahoma"/>
          <w:sz w:val="24"/>
          <w:szCs w:val="24"/>
          <w:lang w:val="en-US"/>
        </w:rPr>
        <w:t>_contrib</w:t>
      </w:r>
      <w:proofErr w:type="spellEnd"/>
      <w:r w:rsidRPr="00CB3D94">
        <w:rPr>
          <w:rFonts w:ascii="Garamond" w:hAnsi="Garamond" w:cs="Tahoma"/>
          <w:sz w:val="24"/>
          <w:szCs w:val="24"/>
          <w:lang w:val="en-US"/>
        </w:rPr>
        <w:t>}). Legumes form the second most important component, led by dried peas (12.8\% - 15.7\% of total cost) and lentils (4.9\% - 6.7\%), and their trajectories diverge across cities. In Bogotá, the contribution of lentils fell from 212 COP/day in 2019 to 67 COP/day in 2024, as their relative price rose, whereas the opposite occurred in Medellín and, more markedly, in Cali, where contributions grew from 161 COP/day to 344 COP/day. This divergence points to legume markets governed by city-specific relative price dynamics rather than a shared regional trend. Vegetable fat illustrates the substitution mechanism. In Bogotá its contribution rose from 181 COP/day in 2019 to 294 COP/day in 2023, as its real price fell, lowering the marginal cost of meeting lipid and energy constraints; Cali saw an even sharper increase (from 105 COP/day to 345 COP/day), while Medellín moved in the opposite direction (from 226 COP/day to 202 COP/day). Vegetable fat plays, therefore, the role of low-cost substitute in some markets. For guavas, the increase is a price effect: despite sustained real price increases in all three cities, their cost contributions climbed from 113 - 120 COP/day in 2019 to 139 - 159 COP/day in 2024, even though quantities barely moved (24.4 - 25.4 g/day) throughout the period.</w:t>
      </w:r>
    </w:p>
    <w:p w:rsidR="00CB3D94" w:rsidRPr="00E75221" w:rsidRDefault="00F04943" w:rsidP="00E75221">
      <w:pPr>
        <w:jc w:val="center"/>
        <w:rPr>
          <w:rFonts w:ascii="Garamond" w:hAnsi="Garamond" w:cs="Tahoma"/>
          <w:sz w:val="28"/>
          <w:szCs w:val="28"/>
        </w:rPr>
      </w:pPr>
      <w:r>
        <w:rPr>
          <w:rFonts w:ascii="Garamond" w:hAnsi="Garamond" w:cs="Tahoma"/>
          <w:noProof/>
          <w:sz w:val="28"/>
          <w:szCs w:val="28"/>
        </w:rPr>
        <w:lastRenderedPageBreak/>
        <w:drawing>
          <wp:inline distT="0" distB="0" distL="0" distR="0" wp14:anchorId="0E6C1F74" wp14:editId="64FF522C">
            <wp:extent cx="4857007" cy="2431799"/>
            <wp:effectExtent l="0" t="0" r="1270" b="698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861192" cy="2433894"/>
                    </a:xfrm>
                    <a:prstGeom prst="rect">
                      <a:avLst/>
                    </a:prstGeom>
                    <a:noFill/>
                    <a:ln>
                      <a:noFill/>
                    </a:ln>
                  </pic:spPr>
                </pic:pic>
              </a:graphicData>
            </a:graphic>
          </wp:inline>
        </w:drawing>
      </w:r>
    </w:p>
    <w:p w:rsidR="00597410" w:rsidRDefault="00597410" w:rsidP="00B763B5">
      <w:pPr>
        <w:jc w:val="both"/>
        <w:rPr>
          <w:rFonts w:ascii="Garamond" w:hAnsi="Garamond" w:cs="Tahoma"/>
          <w:sz w:val="24"/>
          <w:szCs w:val="24"/>
        </w:rPr>
      </w:pPr>
      <w:r w:rsidRPr="00597410">
        <w:rPr>
          <w:rFonts w:ascii="Garamond" w:hAnsi="Garamond" w:cs="Tahoma"/>
          <w:sz w:val="24"/>
          <w:szCs w:val="24"/>
          <w:lang w:val="en-US"/>
        </w:rPr>
        <w:t xml:space="preserve">The composition of </w:t>
      </w:r>
      <w:proofErr w:type="spellStart"/>
      <w:r w:rsidRPr="00597410">
        <w:rPr>
          <w:rFonts w:ascii="Garamond" w:hAnsi="Garamond" w:cs="Tahoma"/>
          <w:sz w:val="24"/>
          <w:szCs w:val="24"/>
          <w:lang w:val="en-US"/>
        </w:rPr>
        <w:t>CoRD</w:t>
      </w:r>
      <w:proofErr w:type="spellEnd"/>
      <w:r w:rsidRPr="00597410">
        <w:rPr>
          <w:rFonts w:ascii="Garamond" w:hAnsi="Garamond" w:cs="Tahoma"/>
          <w:sz w:val="24"/>
          <w:szCs w:val="24"/>
          <w:lang w:val="en-US"/>
        </w:rPr>
        <w:t xml:space="preserve"> mirrors the exchange structure recommended by the GABAS, with a serving distribution that is identical across cities and stable over time (see Appendix C). Fats lead with 4.51-4.67 daily servings, followed by dairy (4.16-4.31), meat, eggs, and legumes (3.47-3.59), sugars (3.13-3.23), cereals and starches (2.25-2.33), and fruits and vegetables (1.08-1.12 each). That same composition conceals a marked asymmetry between servings and economic weight (Figure \ref{</w:t>
      </w:r>
      <w:proofErr w:type="spellStart"/>
      <w:proofErr w:type="gramStart"/>
      <w:r w:rsidRPr="00597410">
        <w:rPr>
          <w:rFonts w:ascii="Garamond" w:hAnsi="Garamond" w:cs="Tahoma"/>
          <w:sz w:val="24"/>
          <w:szCs w:val="24"/>
          <w:lang w:val="en-US"/>
        </w:rPr>
        <w:t>fig:cost</w:t>
      </w:r>
      <w:proofErr w:type="gramEnd"/>
      <w:r w:rsidRPr="00597410">
        <w:rPr>
          <w:rFonts w:ascii="Garamond" w:hAnsi="Garamond" w:cs="Tahoma"/>
          <w:sz w:val="24"/>
          <w:szCs w:val="24"/>
          <w:lang w:val="en-US"/>
        </w:rPr>
        <w:t>_cord</w:t>
      </w:r>
      <w:proofErr w:type="spellEnd"/>
      <w:r w:rsidRPr="00597410">
        <w:rPr>
          <w:rFonts w:ascii="Garamond" w:hAnsi="Garamond" w:cs="Tahoma"/>
          <w:sz w:val="24"/>
          <w:szCs w:val="24"/>
          <w:lang w:val="en-US"/>
        </w:rPr>
        <w:t xml:space="preserve">}). Dairy, with only 4.16 - 4.31 daily servings, below the </w:t>
      </w:r>
      <w:proofErr w:type="gramStart"/>
      <w:r w:rsidRPr="00597410">
        <w:rPr>
          <w:rFonts w:ascii="Garamond" w:hAnsi="Garamond" w:cs="Tahoma"/>
          <w:sz w:val="24"/>
          <w:szCs w:val="24"/>
          <w:lang w:val="en-US"/>
        </w:rPr>
        <w:t>fats</w:t>
      </w:r>
      <w:proofErr w:type="gramEnd"/>
      <w:r w:rsidRPr="00597410">
        <w:rPr>
          <w:rFonts w:ascii="Garamond" w:hAnsi="Garamond" w:cs="Tahoma"/>
          <w:sz w:val="24"/>
          <w:szCs w:val="24"/>
          <w:lang w:val="en-US"/>
        </w:rPr>
        <w:t xml:space="preserve"> groups, accounts for between 64.9\% and 66.2\% of total </w:t>
      </w:r>
      <w:proofErr w:type="spellStart"/>
      <w:r w:rsidRPr="00597410">
        <w:rPr>
          <w:rFonts w:ascii="Garamond" w:hAnsi="Garamond" w:cs="Tahoma"/>
          <w:sz w:val="24"/>
          <w:szCs w:val="24"/>
          <w:lang w:val="en-US"/>
        </w:rPr>
        <w:t>CoRD</w:t>
      </w:r>
      <w:proofErr w:type="spellEnd"/>
      <w:r w:rsidRPr="00597410">
        <w:rPr>
          <w:rFonts w:ascii="Garamond" w:hAnsi="Garamond" w:cs="Tahoma"/>
          <w:sz w:val="24"/>
          <w:szCs w:val="24"/>
          <w:lang w:val="en-US"/>
        </w:rPr>
        <w:t xml:space="preserve"> across the three cities. Fats, by contrast, the highest-volume group, represent just 3.8\%-4.8\% of total cost, which reflects that vegetable oils and fats are the lowest-cost foods per serving available in Colombian urban markets. Fruits, with only 1.08-1.12 daily servings, contribute 6.9\% - 8.6\% of total cost, outweighing economically higher-volume groups such as cereals and starches (4.2\% - 4.3\%) or vegetables (3.8\% - 4.7\%). </w:t>
      </w:r>
      <w:proofErr w:type="spellStart"/>
      <w:r w:rsidRPr="00597410">
        <w:rPr>
          <w:rFonts w:ascii="Garamond" w:hAnsi="Garamond" w:cs="Tahoma"/>
          <w:sz w:val="24"/>
          <w:szCs w:val="24"/>
        </w:rPr>
        <w:t>This</w:t>
      </w:r>
      <w:proofErr w:type="spellEnd"/>
      <w:r w:rsidRPr="00597410">
        <w:rPr>
          <w:rFonts w:ascii="Garamond" w:hAnsi="Garamond" w:cs="Tahoma"/>
          <w:sz w:val="24"/>
          <w:szCs w:val="24"/>
        </w:rPr>
        <w:t xml:space="preserve"> </w:t>
      </w:r>
      <w:proofErr w:type="spellStart"/>
      <w:r w:rsidRPr="00597410">
        <w:rPr>
          <w:rFonts w:ascii="Garamond" w:hAnsi="Garamond" w:cs="Tahoma"/>
          <w:sz w:val="24"/>
          <w:szCs w:val="24"/>
        </w:rPr>
        <w:t>pattern</w:t>
      </w:r>
      <w:proofErr w:type="spellEnd"/>
      <w:r w:rsidRPr="00597410">
        <w:rPr>
          <w:rFonts w:ascii="Garamond" w:hAnsi="Garamond" w:cs="Tahoma"/>
          <w:sz w:val="24"/>
          <w:szCs w:val="24"/>
        </w:rPr>
        <w:t xml:space="preserve"> shows </w:t>
      </w:r>
      <w:proofErr w:type="spellStart"/>
      <w:r w:rsidRPr="00597410">
        <w:rPr>
          <w:rFonts w:ascii="Garamond" w:hAnsi="Garamond" w:cs="Tahoma"/>
          <w:sz w:val="24"/>
          <w:szCs w:val="24"/>
        </w:rPr>
        <w:t>that</w:t>
      </w:r>
      <w:proofErr w:type="spellEnd"/>
      <w:r w:rsidRPr="00597410">
        <w:rPr>
          <w:rFonts w:ascii="Garamond" w:hAnsi="Garamond" w:cs="Tahoma"/>
          <w:sz w:val="24"/>
          <w:szCs w:val="24"/>
        </w:rPr>
        <w:t xml:space="preserve"> </w:t>
      </w:r>
      <w:proofErr w:type="spellStart"/>
      <w:r w:rsidRPr="00597410">
        <w:rPr>
          <w:rFonts w:ascii="Garamond" w:hAnsi="Garamond" w:cs="Tahoma"/>
          <w:sz w:val="24"/>
          <w:szCs w:val="24"/>
        </w:rPr>
        <w:t>the</w:t>
      </w:r>
      <w:proofErr w:type="spellEnd"/>
      <w:r w:rsidRPr="00597410">
        <w:rPr>
          <w:rFonts w:ascii="Garamond" w:hAnsi="Garamond" w:cs="Tahoma"/>
          <w:sz w:val="24"/>
          <w:szCs w:val="24"/>
        </w:rPr>
        <w:t xml:space="preserve"> </w:t>
      </w:r>
      <w:proofErr w:type="spellStart"/>
      <w:r w:rsidRPr="00597410">
        <w:rPr>
          <w:rFonts w:ascii="Garamond" w:hAnsi="Garamond" w:cs="Tahoma"/>
          <w:sz w:val="24"/>
          <w:szCs w:val="24"/>
        </w:rPr>
        <w:t>cost</w:t>
      </w:r>
      <w:proofErr w:type="spellEnd"/>
      <w:r w:rsidRPr="00597410">
        <w:rPr>
          <w:rFonts w:ascii="Garamond" w:hAnsi="Garamond" w:cs="Tahoma"/>
          <w:sz w:val="24"/>
          <w:szCs w:val="24"/>
        </w:rPr>
        <w:t xml:space="preserve"> </w:t>
      </w:r>
      <w:proofErr w:type="spellStart"/>
      <w:r w:rsidRPr="00597410">
        <w:rPr>
          <w:rFonts w:ascii="Garamond" w:hAnsi="Garamond" w:cs="Tahoma"/>
          <w:sz w:val="24"/>
          <w:szCs w:val="24"/>
        </w:rPr>
        <w:t>of</w:t>
      </w:r>
      <w:proofErr w:type="spellEnd"/>
      <w:r w:rsidRPr="00597410">
        <w:rPr>
          <w:rFonts w:ascii="Garamond" w:hAnsi="Garamond" w:cs="Tahoma"/>
          <w:sz w:val="24"/>
          <w:szCs w:val="24"/>
        </w:rPr>
        <w:t xml:space="preserve"> </w:t>
      </w:r>
      <w:proofErr w:type="spellStart"/>
      <w:r w:rsidRPr="00597410">
        <w:rPr>
          <w:rFonts w:ascii="Garamond" w:hAnsi="Garamond" w:cs="Tahoma"/>
          <w:sz w:val="24"/>
          <w:szCs w:val="24"/>
        </w:rPr>
        <w:t>dietary</w:t>
      </w:r>
      <w:proofErr w:type="spellEnd"/>
      <w:r w:rsidRPr="00597410">
        <w:rPr>
          <w:rFonts w:ascii="Garamond" w:hAnsi="Garamond" w:cs="Tahoma"/>
          <w:sz w:val="24"/>
          <w:szCs w:val="24"/>
        </w:rPr>
        <w:t xml:space="preserve"> </w:t>
      </w:r>
      <w:proofErr w:type="spellStart"/>
      <w:r w:rsidRPr="00597410">
        <w:rPr>
          <w:rFonts w:ascii="Garamond" w:hAnsi="Garamond" w:cs="Tahoma"/>
          <w:sz w:val="24"/>
          <w:szCs w:val="24"/>
        </w:rPr>
        <w:t>diversity</w:t>
      </w:r>
      <w:proofErr w:type="spellEnd"/>
      <w:r w:rsidRPr="00597410">
        <w:rPr>
          <w:rFonts w:ascii="Garamond" w:hAnsi="Garamond" w:cs="Tahoma"/>
          <w:sz w:val="24"/>
          <w:szCs w:val="24"/>
        </w:rPr>
        <w:t xml:space="preserve"> </w:t>
      </w:r>
      <w:proofErr w:type="spellStart"/>
      <w:r w:rsidRPr="00597410">
        <w:rPr>
          <w:rFonts w:ascii="Garamond" w:hAnsi="Garamond" w:cs="Tahoma"/>
          <w:sz w:val="24"/>
          <w:szCs w:val="24"/>
        </w:rPr>
        <w:t>is</w:t>
      </w:r>
      <w:proofErr w:type="spellEnd"/>
      <w:r w:rsidRPr="00597410">
        <w:rPr>
          <w:rFonts w:ascii="Garamond" w:hAnsi="Garamond" w:cs="Tahoma"/>
          <w:sz w:val="24"/>
          <w:szCs w:val="24"/>
        </w:rPr>
        <w:t xml:space="preserve"> </w:t>
      </w:r>
      <w:proofErr w:type="spellStart"/>
      <w:r w:rsidRPr="00597410">
        <w:rPr>
          <w:rFonts w:ascii="Garamond" w:hAnsi="Garamond" w:cs="Tahoma"/>
          <w:sz w:val="24"/>
          <w:szCs w:val="24"/>
        </w:rPr>
        <w:t>driven</w:t>
      </w:r>
      <w:proofErr w:type="spellEnd"/>
      <w:r w:rsidRPr="00597410">
        <w:rPr>
          <w:rFonts w:ascii="Garamond" w:hAnsi="Garamond" w:cs="Tahoma"/>
          <w:sz w:val="24"/>
          <w:szCs w:val="24"/>
        </w:rPr>
        <w:t xml:space="preserve"> </w:t>
      </w:r>
      <w:proofErr w:type="spellStart"/>
      <w:r w:rsidRPr="00597410">
        <w:rPr>
          <w:rFonts w:ascii="Garamond" w:hAnsi="Garamond" w:cs="Tahoma"/>
          <w:sz w:val="24"/>
          <w:szCs w:val="24"/>
        </w:rPr>
        <w:t>primarily</w:t>
      </w:r>
      <w:proofErr w:type="spellEnd"/>
      <w:r w:rsidRPr="00597410">
        <w:rPr>
          <w:rFonts w:ascii="Garamond" w:hAnsi="Garamond" w:cs="Tahoma"/>
          <w:sz w:val="24"/>
          <w:szCs w:val="24"/>
        </w:rPr>
        <w:t xml:space="preserve"> </w:t>
      </w:r>
      <w:proofErr w:type="spellStart"/>
      <w:r w:rsidRPr="00597410">
        <w:rPr>
          <w:rFonts w:ascii="Garamond" w:hAnsi="Garamond" w:cs="Tahoma"/>
          <w:sz w:val="24"/>
          <w:szCs w:val="24"/>
        </w:rPr>
        <w:t>by</w:t>
      </w:r>
      <w:proofErr w:type="spellEnd"/>
      <w:r w:rsidRPr="00597410">
        <w:rPr>
          <w:rFonts w:ascii="Garamond" w:hAnsi="Garamond" w:cs="Tahoma"/>
          <w:sz w:val="24"/>
          <w:szCs w:val="24"/>
        </w:rPr>
        <w:t xml:space="preserve"> </w:t>
      </w:r>
      <w:proofErr w:type="spellStart"/>
      <w:r w:rsidRPr="00597410">
        <w:rPr>
          <w:rFonts w:ascii="Garamond" w:hAnsi="Garamond" w:cs="Tahoma"/>
          <w:sz w:val="24"/>
          <w:szCs w:val="24"/>
        </w:rPr>
        <w:t>the</w:t>
      </w:r>
      <w:proofErr w:type="spellEnd"/>
      <w:r w:rsidRPr="00597410">
        <w:rPr>
          <w:rFonts w:ascii="Garamond" w:hAnsi="Garamond" w:cs="Tahoma"/>
          <w:sz w:val="24"/>
          <w:szCs w:val="24"/>
        </w:rPr>
        <w:t xml:space="preserve"> </w:t>
      </w:r>
      <w:proofErr w:type="spellStart"/>
      <w:r w:rsidRPr="00597410">
        <w:rPr>
          <w:rFonts w:ascii="Garamond" w:hAnsi="Garamond" w:cs="Tahoma"/>
          <w:sz w:val="24"/>
          <w:szCs w:val="24"/>
        </w:rPr>
        <w:t>relative</w:t>
      </w:r>
      <w:proofErr w:type="spellEnd"/>
      <w:r w:rsidRPr="00597410">
        <w:rPr>
          <w:rFonts w:ascii="Garamond" w:hAnsi="Garamond" w:cs="Tahoma"/>
          <w:sz w:val="24"/>
          <w:szCs w:val="24"/>
        </w:rPr>
        <w:t xml:space="preserve"> </w:t>
      </w:r>
      <w:proofErr w:type="spellStart"/>
      <w:r w:rsidRPr="00597410">
        <w:rPr>
          <w:rFonts w:ascii="Garamond" w:hAnsi="Garamond" w:cs="Tahoma"/>
          <w:sz w:val="24"/>
          <w:szCs w:val="24"/>
        </w:rPr>
        <w:t>price</w:t>
      </w:r>
      <w:proofErr w:type="spellEnd"/>
      <w:r w:rsidRPr="00597410">
        <w:rPr>
          <w:rFonts w:ascii="Garamond" w:hAnsi="Garamond" w:cs="Tahoma"/>
          <w:sz w:val="24"/>
          <w:szCs w:val="24"/>
        </w:rPr>
        <w:t xml:space="preserve"> </w:t>
      </w:r>
      <w:proofErr w:type="spellStart"/>
      <w:r w:rsidRPr="00597410">
        <w:rPr>
          <w:rFonts w:ascii="Garamond" w:hAnsi="Garamond" w:cs="Tahoma"/>
          <w:sz w:val="24"/>
          <w:szCs w:val="24"/>
        </w:rPr>
        <w:t>of</w:t>
      </w:r>
      <w:proofErr w:type="spellEnd"/>
      <w:r w:rsidRPr="00597410">
        <w:rPr>
          <w:rFonts w:ascii="Garamond" w:hAnsi="Garamond" w:cs="Tahoma"/>
          <w:sz w:val="24"/>
          <w:szCs w:val="24"/>
        </w:rPr>
        <w:t xml:space="preserve"> </w:t>
      </w:r>
      <w:proofErr w:type="spellStart"/>
      <w:r w:rsidRPr="00597410">
        <w:rPr>
          <w:rFonts w:ascii="Garamond" w:hAnsi="Garamond" w:cs="Tahoma"/>
          <w:sz w:val="24"/>
          <w:szCs w:val="24"/>
        </w:rPr>
        <w:t>nutritionally</w:t>
      </w:r>
      <w:proofErr w:type="spellEnd"/>
      <w:r w:rsidRPr="00597410">
        <w:rPr>
          <w:rFonts w:ascii="Garamond" w:hAnsi="Garamond" w:cs="Tahoma"/>
          <w:sz w:val="24"/>
          <w:szCs w:val="24"/>
        </w:rPr>
        <w:t xml:space="preserve"> dense </w:t>
      </w:r>
      <w:proofErr w:type="spellStart"/>
      <w:r w:rsidRPr="00597410">
        <w:rPr>
          <w:rFonts w:ascii="Garamond" w:hAnsi="Garamond" w:cs="Tahoma"/>
          <w:sz w:val="24"/>
          <w:szCs w:val="24"/>
        </w:rPr>
        <w:t>foods</w:t>
      </w:r>
      <w:proofErr w:type="spellEnd"/>
      <w:r w:rsidRPr="00597410">
        <w:rPr>
          <w:rFonts w:ascii="Garamond" w:hAnsi="Garamond" w:cs="Tahoma"/>
          <w:sz w:val="24"/>
          <w:szCs w:val="24"/>
        </w:rPr>
        <w:t xml:space="preserve">, </w:t>
      </w:r>
      <w:proofErr w:type="spellStart"/>
      <w:r w:rsidRPr="00597410">
        <w:rPr>
          <w:rFonts w:ascii="Garamond" w:hAnsi="Garamond" w:cs="Tahoma"/>
          <w:sz w:val="24"/>
          <w:szCs w:val="24"/>
        </w:rPr>
        <w:t>dairy</w:t>
      </w:r>
      <w:proofErr w:type="spellEnd"/>
      <w:r w:rsidRPr="00597410">
        <w:rPr>
          <w:rFonts w:ascii="Garamond" w:hAnsi="Garamond" w:cs="Tahoma"/>
          <w:sz w:val="24"/>
          <w:szCs w:val="24"/>
        </w:rPr>
        <w:t xml:space="preserve"> in particular, </w:t>
      </w:r>
      <w:proofErr w:type="spellStart"/>
      <w:r w:rsidRPr="00597410">
        <w:rPr>
          <w:rFonts w:ascii="Garamond" w:hAnsi="Garamond" w:cs="Tahoma"/>
          <w:sz w:val="24"/>
          <w:szCs w:val="24"/>
        </w:rPr>
        <w:t>rather</w:t>
      </w:r>
      <w:proofErr w:type="spellEnd"/>
      <w:r w:rsidRPr="00597410">
        <w:rPr>
          <w:rFonts w:ascii="Garamond" w:hAnsi="Garamond" w:cs="Tahoma"/>
          <w:sz w:val="24"/>
          <w:szCs w:val="24"/>
        </w:rPr>
        <w:t xml:space="preserve"> </w:t>
      </w:r>
      <w:proofErr w:type="spellStart"/>
      <w:r w:rsidRPr="00597410">
        <w:rPr>
          <w:rFonts w:ascii="Garamond" w:hAnsi="Garamond" w:cs="Tahoma"/>
          <w:sz w:val="24"/>
          <w:szCs w:val="24"/>
        </w:rPr>
        <w:t>than</w:t>
      </w:r>
      <w:proofErr w:type="spellEnd"/>
      <w:r w:rsidRPr="00597410">
        <w:rPr>
          <w:rFonts w:ascii="Garamond" w:hAnsi="Garamond" w:cs="Tahoma"/>
          <w:sz w:val="24"/>
          <w:szCs w:val="24"/>
        </w:rPr>
        <w:t xml:space="preserve"> </w:t>
      </w:r>
      <w:proofErr w:type="spellStart"/>
      <w:r w:rsidRPr="00597410">
        <w:rPr>
          <w:rFonts w:ascii="Garamond" w:hAnsi="Garamond" w:cs="Tahoma"/>
          <w:sz w:val="24"/>
          <w:szCs w:val="24"/>
        </w:rPr>
        <w:t>by</w:t>
      </w:r>
      <w:proofErr w:type="spellEnd"/>
      <w:r w:rsidRPr="00597410">
        <w:rPr>
          <w:rFonts w:ascii="Garamond" w:hAnsi="Garamond" w:cs="Tahoma"/>
          <w:sz w:val="24"/>
          <w:szCs w:val="24"/>
        </w:rPr>
        <w:t xml:space="preserve"> </w:t>
      </w:r>
      <w:proofErr w:type="spellStart"/>
      <w:r w:rsidRPr="00597410">
        <w:rPr>
          <w:rFonts w:ascii="Garamond" w:hAnsi="Garamond" w:cs="Tahoma"/>
          <w:sz w:val="24"/>
          <w:szCs w:val="24"/>
        </w:rPr>
        <w:t>the</w:t>
      </w:r>
      <w:proofErr w:type="spellEnd"/>
      <w:r w:rsidRPr="00597410">
        <w:rPr>
          <w:rFonts w:ascii="Garamond" w:hAnsi="Garamond" w:cs="Tahoma"/>
          <w:sz w:val="24"/>
          <w:szCs w:val="24"/>
        </w:rPr>
        <w:t xml:space="preserve"> </w:t>
      </w:r>
      <w:proofErr w:type="spellStart"/>
      <w:r w:rsidRPr="00597410">
        <w:rPr>
          <w:rFonts w:ascii="Garamond" w:hAnsi="Garamond" w:cs="Tahoma"/>
          <w:sz w:val="24"/>
          <w:szCs w:val="24"/>
        </w:rPr>
        <w:t>volume</w:t>
      </w:r>
      <w:proofErr w:type="spellEnd"/>
      <w:r w:rsidRPr="00597410">
        <w:rPr>
          <w:rFonts w:ascii="Garamond" w:hAnsi="Garamond" w:cs="Tahoma"/>
          <w:sz w:val="24"/>
          <w:szCs w:val="24"/>
        </w:rPr>
        <w:t xml:space="preserve"> </w:t>
      </w:r>
      <w:proofErr w:type="spellStart"/>
      <w:r w:rsidRPr="00597410">
        <w:rPr>
          <w:rFonts w:ascii="Garamond" w:hAnsi="Garamond" w:cs="Tahoma"/>
          <w:sz w:val="24"/>
          <w:szCs w:val="24"/>
        </w:rPr>
        <w:t>of</w:t>
      </w:r>
      <w:proofErr w:type="spellEnd"/>
      <w:r w:rsidRPr="00597410">
        <w:rPr>
          <w:rFonts w:ascii="Garamond" w:hAnsi="Garamond" w:cs="Tahoma"/>
          <w:sz w:val="24"/>
          <w:szCs w:val="24"/>
        </w:rPr>
        <w:t xml:space="preserve"> </w:t>
      </w:r>
      <w:proofErr w:type="spellStart"/>
      <w:r w:rsidRPr="00597410">
        <w:rPr>
          <w:rFonts w:ascii="Garamond" w:hAnsi="Garamond" w:cs="Tahoma"/>
          <w:sz w:val="24"/>
          <w:szCs w:val="24"/>
        </w:rPr>
        <w:t>servings</w:t>
      </w:r>
      <w:proofErr w:type="spellEnd"/>
      <w:r w:rsidRPr="00597410">
        <w:rPr>
          <w:rFonts w:ascii="Garamond" w:hAnsi="Garamond" w:cs="Tahoma"/>
          <w:sz w:val="24"/>
          <w:szCs w:val="24"/>
        </w:rPr>
        <w:t>.</w:t>
      </w:r>
    </w:p>
    <w:p w:rsidR="00E75221" w:rsidRPr="00E75221" w:rsidRDefault="00F04943" w:rsidP="00E75221">
      <w:pPr>
        <w:jc w:val="both"/>
        <w:rPr>
          <w:rFonts w:ascii="Garamond" w:hAnsi="Garamond" w:cs="Tahoma"/>
          <w:sz w:val="24"/>
          <w:szCs w:val="24"/>
        </w:rPr>
      </w:pPr>
      <w:r>
        <w:rPr>
          <w:rFonts w:ascii="Garamond" w:hAnsi="Garamond" w:cs="Tahoma"/>
          <w:noProof/>
          <w:sz w:val="28"/>
          <w:szCs w:val="28"/>
        </w:rPr>
        <w:drawing>
          <wp:inline distT="0" distB="0" distL="0" distR="0" wp14:anchorId="22FC7540" wp14:editId="4A2ADFF5">
            <wp:extent cx="5605780" cy="280670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605780" cy="2806700"/>
                    </a:xfrm>
                    <a:prstGeom prst="rect">
                      <a:avLst/>
                    </a:prstGeom>
                    <a:noFill/>
                    <a:ln>
                      <a:noFill/>
                    </a:ln>
                  </pic:spPr>
                </pic:pic>
              </a:graphicData>
            </a:graphic>
          </wp:inline>
        </w:drawing>
      </w:r>
    </w:p>
    <w:p w:rsidR="00E75221" w:rsidRPr="00E75221" w:rsidRDefault="00E75221" w:rsidP="00E75221">
      <w:pPr>
        <w:jc w:val="both"/>
        <w:rPr>
          <w:rFonts w:ascii="Garamond" w:hAnsi="Garamond" w:cs="Tahoma"/>
          <w:sz w:val="24"/>
          <w:szCs w:val="24"/>
          <w:lang w:val="en-US"/>
        </w:rPr>
      </w:pPr>
      <w:r w:rsidRPr="00E75221">
        <w:rPr>
          <w:rFonts w:ascii="Garamond" w:hAnsi="Garamond" w:cs="Tahoma"/>
          <w:sz w:val="24"/>
          <w:szCs w:val="24"/>
          <w:lang w:val="en-US"/>
        </w:rPr>
        <w:lastRenderedPageBreak/>
        <w:t>Figure \ref{</w:t>
      </w:r>
      <w:proofErr w:type="spellStart"/>
      <w:proofErr w:type="gramStart"/>
      <w:r w:rsidRPr="00E75221">
        <w:rPr>
          <w:rFonts w:ascii="Garamond" w:hAnsi="Garamond" w:cs="Tahoma"/>
          <w:sz w:val="24"/>
          <w:szCs w:val="24"/>
          <w:lang w:val="en-US"/>
        </w:rPr>
        <w:t>fig:cord</w:t>
      </w:r>
      <w:proofErr w:type="gramEnd"/>
      <w:r w:rsidRPr="00E75221">
        <w:rPr>
          <w:rFonts w:ascii="Garamond" w:hAnsi="Garamond" w:cs="Tahoma"/>
          <w:sz w:val="24"/>
          <w:szCs w:val="24"/>
          <w:lang w:val="en-US"/>
        </w:rPr>
        <w:t>_adequacy</w:t>
      </w:r>
      <w:proofErr w:type="spellEnd"/>
      <w:r w:rsidRPr="00E75221">
        <w:rPr>
          <w:rFonts w:ascii="Garamond" w:hAnsi="Garamond" w:cs="Tahoma"/>
          <w:sz w:val="24"/>
          <w:szCs w:val="24"/>
          <w:lang w:val="en-US"/>
        </w:rPr>
        <w:t xml:space="preserve">} present </w:t>
      </w:r>
      <w:proofErr w:type="spellStart"/>
      <w:r w:rsidRPr="00E75221">
        <w:rPr>
          <w:rFonts w:ascii="Garamond" w:hAnsi="Garamond" w:cs="Tahoma"/>
          <w:sz w:val="24"/>
          <w:szCs w:val="24"/>
          <w:lang w:val="en-US"/>
        </w:rPr>
        <w:t>CoRD's</w:t>
      </w:r>
      <w:proofErr w:type="spellEnd"/>
      <w:r w:rsidRPr="00E75221">
        <w:rPr>
          <w:rFonts w:ascii="Garamond" w:hAnsi="Garamond" w:cs="Tahoma"/>
          <w:sz w:val="24"/>
          <w:szCs w:val="24"/>
          <w:lang w:val="en-US"/>
        </w:rPr>
        <w:t xml:space="preserve"> nutritional adequacy relative to </w:t>
      </w:r>
      <w:proofErr w:type="spellStart"/>
      <w:r w:rsidRPr="00E75221">
        <w:rPr>
          <w:rFonts w:ascii="Garamond" w:hAnsi="Garamond" w:cs="Tahoma"/>
          <w:sz w:val="24"/>
          <w:szCs w:val="24"/>
          <w:lang w:val="en-US"/>
        </w:rPr>
        <w:t>CoNA's</w:t>
      </w:r>
      <w:proofErr w:type="spellEnd"/>
      <w:r w:rsidRPr="00E75221">
        <w:rPr>
          <w:rFonts w:ascii="Garamond" w:hAnsi="Garamond" w:cs="Tahoma"/>
          <w:sz w:val="24"/>
          <w:szCs w:val="24"/>
          <w:lang w:val="en-US"/>
        </w:rPr>
        <w:t xml:space="preserve"> minimum requirements\footnote{Sodium is excluded from this analysis, as its </w:t>
      </w:r>
      <w:proofErr w:type="spellStart"/>
      <w:r w:rsidRPr="00E75221">
        <w:rPr>
          <w:rFonts w:ascii="Garamond" w:hAnsi="Garamond" w:cs="Tahoma"/>
          <w:sz w:val="24"/>
          <w:szCs w:val="24"/>
          <w:lang w:val="en-US"/>
        </w:rPr>
        <w:t>CoNA</w:t>
      </w:r>
      <w:proofErr w:type="spellEnd"/>
      <w:r w:rsidRPr="00E75221">
        <w:rPr>
          <w:rFonts w:ascii="Garamond" w:hAnsi="Garamond" w:cs="Tahoma"/>
          <w:sz w:val="24"/>
          <w:szCs w:val="24"/>
          <w:lang w:val="en-US"/>
        </w:rPr>
        <w:t xml:space="preserve"> constraint operates as maximum rather than a minimum; </w:t>
      </w:r>
      <w:proofErr w:type="spellStart"/>
      <w:r w:rsidRPr="00E75221">
        <w:rPr>
          <w:rFonts w:ascii="Garamond" w:hAnsi="Garamond" w:cs="Tahoma"/>
          <w:sz w:val="24"/>
          <w:szCs w:val="24"/>
          <w:lang w:val="en-US"/>
        </w:rPr>
        <w:t>CoRD</w:t>
      </w:r>
      <w:proofErr w:type="spellEnd"/>
      <w:r w:rsidRPr="00E75221">
        <w:rPr>
          <w:rFonts w:ascii="Garamond" w:hAnsi="Garamond" w:cs="Tahoma"/>
          <w:sz w:val="24"/>
          <w:szCs w:val="24"/>
          <w:lang w:val="en-US"/>
        </w:rPr>
        <w:t xml:space="preserve"> values below this threshold are therefore desirable, not deficient}. Most nutrient-member-month combinations fall within the safe intake range, between the recommended minimum and the tolerable upper limit, with shares ranging from 74.1\% to 90.2\%. Observations below the minimum are modest (0.7\% - 4.8\/), while exceedances of the upper limit are more frequent, ranging from 8.7\% to 21.9\%, driven mainly by niacin and carbohydrates.</w:t>
      </w:r>
    </w:p>
    <w:p w:rsidR="00E75221" w:rsidRPr="00E75221" w:rsidRDefault="00E75221" w:rsidP="00E75221">
      <w:pPr>
        <w:pStyle w:val="Prrafodelista"/>
        <w:ind w:left="1080"/>
        <w:jc w:val="both"/>
        <w:rPr>
          <w:rFonts w:ascii="Garamond" w:hAnsi="Garamond" w:cs="Tahoma"/>
          <w:b/>
          <w:sz w:val="28"/>
          <w:szCs w:val="28"/>
          <w:lang w:val="en-US"/>
        </w:rPr>
      </w:pPr>
    </w:p>
    <w:p w:rsidR="00E75221" w:rsidRPr="00E75221" w:rsidRDefault="00E75221" w:rsidP="00E75221">
      <w:pPr>
        <w:pStyle w:val="font-claude-response-body"/>
        <w:numPr>
          <w:ilvl w:val="1"/>
          <w:numId w:val="1"/>
        </w:numPr>
        <w:rPr>
          <w:b/>
          <w:sz w:val="28"/>
          <w:szCs w:val="28"/>
          <w:lang w:val="en-US"/>
        </w:rPr>
      </w:pPr>
      <w:r w:rsidRPr="00E75221">
        <w:rPr>
          <w:b/>
          <w:sz w:val="28"/>
          <w:szCs w:val="28"/>
          <w:lang w:val="en-US"/>
        </w:rPr>
        <w:t>Limiting Nutrients and Their Shadow Prices in the Least-Cost Diet</w:t>
      </w:r>
    </w:p>
    <w:p w:rsidR="00C46098" w:rsidRDefault="00F21385" w:rsidP="00B763B5">
      <w:pPr>
        <w:jc w:val="both"/>
        <w:rPr>
          <w:rFonts w:ascii="Garamond" w:hAnsi="Garamond" w:cs="Tahoma"/>
          <w:sz w:val="24"/>
          <w:szCs w:val="24"/>
          <w:lang w:val="en-US"/>
        </w:rPr>
      </w:pPr>
      <w:r w:rsidRPr="00F21385">
        <w:rPr>
          <w:rFonts w:ascii="Garamond" w:hAnsi="Garamond" w:cs="Tahoma"/>
          <w:sz w:val="24"/>
          <w:szCs w:val="24"/>
          <w:lang w:val="en-US"/>
        </w:rPr>
        <w:t xml:space="preserve">The </w:t>
      </w:r>
      <w:proofErr w:type="spellStart"/>
      <w:r w:rsidRPr="00F21385">
        <w:rPr>
          <w:rFonts w:ascii="Garamond" w:hAnsi="Garamond" w:cs="Tahoma"/>
          <w:sz w:val="24"/>
          <w:szCs w:val="24"/>
          <w:lang w:val="en-US"/>
        </w:rPr>
        <w:t>CoNA</w:t>
      </w:r>
      <w:proofErr w:type="spellEnd"/>
      <w:r w:rsidRPr="00F21385">
        <w:rPr>
          <w:rFonts w:ascii="Garamond" w:hAnsi="Garamond" w:cs="Tahoma"/>
          <w:sz w:val="24"/>
          <w:szCs w:val="24"/>
          <w:lang w:val="en-US"/>
        </w:rPr>
        <w:t xml:space="preserve"> linear programming model yield not merely a minimum cost but also policy-relevant information on which nutrients act as limiting factors in the optimal diet. A nutrient is said to be limiting in a given month when its minimum requirement binds in the optimal solution. Figure \ref{</w:t>
      </w:r>
      <w:proofErr w:type="spellStart"/>
      <w:proofErr w:type="gramStart"/>
      <w:r w:rsidRPr="00F21385">
        <w:rPr>
          <w:rFonts w:ascii="Garamond" w:hAnsi="Garamond" w:cs="Tahoma"/>
          <w:sz w:val="24"/>
          <w:szCs w:val="24"/>
          <w:lang w:val="en-US"/>
        </w:rPr>
        <w:t>fig:limiting</w:t>
      </w:r>
      <w:proofErr w:type="gramEnd"/>
      <w:r w:rsidRPr="00F21385">
        <w:rPr>
          <w:rFonts w:ascii="Garamond" w:hAnsi="Garamond" w:cs="Tahoma"/>
          <w:sz w:val="24"/>
          <w:szCs w:val="24"/>
          <w:lang w:val="en-US"/>
        </w:rPr>
        <w:t>-nutrients</w:t>
      </w:r>
      <w:proofErr w:type="spellEnd"/>
      <w:r w:rsidRPr="00F21385">
        <w:rPr>
          <w:rFonts w:ascii="Garamond" w:hAnsi="Garamond" w:cs="Tahoma"/>
          <w:sz w:val="24"/>
          <w:szCs w:val="24"/>
          <w:lang w:val="en-US"/>
        </w:rPr>
        <w:t xml:space="preserve">} shows the annual binding frequency of each nutrient, and Figure 5 complements this analysis by tracing the temporal evolution of SPE between 2019 and 2024. Three nutrients are limiting in 100\% of months across all three cities: calcium, </w:t>
      </w:r>
      <w:proofErr w:type="spellStart"/>
      <w:r w:rsidRPr="00F21385">
        <w:rPr>
          <w:rFonts w:ascii="Garamond" w:hAnsi="Garamond" w:cs="Tahoma"/>
          <w:sz w:val="24"/>
          <w:szCs w:val="24"/>
          <w:lang w:val="en-US"/>
        </w:rPr>
        <w:t>soidium</w:t>
      </w:r>
      <w:proofErr w:type="spellEnd"/>
      <w:r w:rsidRPr="00F21385">
        <w:rPr>
          <w:rFonts w:ascii="Garamond" w:hAnsi="Garamond" w:cs="Tahoma"/>
          <w:sz w:val="24"/>
          <w:szCs w:val="24"/>
          <w:lang w:val="en-US"/>
        </w:rPr>
        <w:t>, and vitamin C. However, sodium requires a brief methodological explanation. Although nutritional concerns over this mineral typically center on excess rather than deficiency, the model incorporates a minimum requirement of 1.500 mg/day corresponding to the Adequate Intake level, which the LP satisfies by selecting precise quantities of salt, the only food with sufficient sodium density to complement the rest of the basket at minimum cost. Because the relative price of salt in Colombian urban markets is very low, however, sodium's SPE is the smallest in the system ($\sim$ 0.001), rendering it economically irrelevant for the analysis.</w:t>
      </w:r>
    </w:p>
    <w:p w:rsidR="005D41F5" w:rsidRDefault="005D41F5" w:rsidP="005D41F5">
      <w:pPr>
        <w:jc w:val="center"/>
        <w:rPr>
          <w:rFonts w:ascii="Garamond" w:hAnsi="Garamond" w:cs="Tahoma"/>
          <w:sz w:val="24"/>
          <w:szCs w:val="24"/>
          <w:lang w:val="en-US"/>
        </w:rPr>
      </w:pPr>
      <w:r>
        <w:rPr>
          <w:rFonts w:ascii="Garamond" w:hAnsi="Garamond" w:cs="Tahoma"/>
          <w:noProof/>
          <w:sz w:val="28"/>
          <w:szCs w:val="28"/>
        </w:rPr>
        <w:drawing>
          <wp:inline distT="0" distB="0" distL="0" distR="0" wp14:anchorId="26B678AF" wp14:editId="41408A5F">
            <wp:extent cx="4810125" cy="3090467"/>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823477" cy="3099046"/>
                    </a:xfrm>
                    <a:prstGeom prst="rect">
                      <a:avLst/>
                    </a:prstGeom>
                    <a:noFill/>
                    <a:ln>
                      <a:noFill/>
                    </a:ln>
                  </pic:spPr>
                </pic:pic>
              </a:graphicData>
            </a:graphic>
          </wp:inline>
        </w:drawing>
      </w:r>
    </w:p>
    <w:p w:rsidR="005D41F5" w:rsidRPr="005D41F5" w:rsidRDefault="005D41F5" w:rsidP="005D41F5">
      <w:pPr>
        <w:jc w:val="both"/>
        <w:rPr>
          <w:rFonts w:ascii="Garamond" w:hAnsi="Garamond" w:cs="Tahoma"/>
          <w:sz w:val="24"/>
          <w:szCs w:val="24"/>
          <w:lang w:val="en-US"/>
        </w:rPr>
      </w:pPr>
      <w:r w:rsidRPr="005D41F5">
        <w:rPr>
          <w:rFonts w:ascii="Garamond" w:hAnsi="Garamond" w:cs="Tahoma"/>
          <w:sz w:val="24"/>
          <w:szCs w:val="24"/>
          <w:lang w:val="en-US"/>
        </w:rPr>
        <w:lastRenderedPageBreak/>
        <w:t xml:space="preserve">Calcium is consistently the most expensive constraint to satisfy among minimum-side nutrients in the system, binding in 100\% of months across all three cities and for all three household members, with SPE ranging from 0.337 to 0.523. Its burden is most accurate for the 10- to </w:t>
      </w:r>
      <w:proofErr w:type="gramStart"/>
      <w:r w:rsidRPr="005D41F5">
        <w:rPr>
          <w:rFonts w:ascii="Garamond" w:hAnsi="Garamond" w:cs="Tahoma"/>
          <w:sz w:val="24"/>
          <w:szCs w:val="24"/>
          <w:lang w:val="en-US"/>
        </w:rPr>
        <w:t>14 year-old</w:t>
      </w:r>
      <w:proofErr w:type="gramEnd"/>
      <w:r w:rsidRPr="005D41F5">
        <w:rPr>
          <w:rFonts w:ascii="Garamond" w:hAnsi="Garamond" w:cs="Tahoma"/>
          <w:sz w:val="24"/>
          <w:szCs w:val="24"/>
          <w:lang w:val="en-US"/>
        </w:rPr>
        <w:t xml:space="preserve"> girl, whose calcium SPE (0.486 - 0.523) is the highest observed for any profile. For the adult male, zinc overtakes calcium as the most expensive constraint in Bogotá and Medellín (0.564 and 0.486, respectively), although calcium remains substantial there as well. Calcium, for the adult female, dominates across all three cities (from 0.358 to 0.488), followed at a considerable distance by vitamin B12 in Cali and Medellín (0.082 - 0.091). This pattern is rooted in the structure of dietary sources: pasteurized milk alone supplies between 64\% and 85\% of total dietary calcium and between 97\% and 99\% of vitamin B12 (see Appendix E). Vitamin C, by contrast, binds in 100\% of months as well, yet its SPE remains modest (from 0.042 - 0.046). In Bogotá and Medellín, guavas supply 90\% - 94\% of total vitamin C; in Cali cassava emerges as a source of comparable importance, a divergence that reflects underlying differences in the availability and relative price of these food items across urban markets. </w:t>
      </w:r>
    </w:p>
    <w:p w:rsidR="00D57813" w:rsidRDefault="005D41F5" w:rsidP="005D41F5">
      <w:pPr>
        <w:jc w:val="both"/>
        <w:rPr>
          <w:rFonts w:ascii="Garamond" w:hAnsi="Garamond" w:cs="Tahoma"/>
          <w:sz w:val="24"/>
          <w:szCs w:val="24"/>
          <w:lang w:val="en-US"/>
        </w:rPr>
      </w:pPr>
      <w:r w:rsidRPr="005D41F5">
        <w:rPr>
          <w:rFonts w:ascii="Garamond" w:hAnsi="Garamond" w:cs="Tahoma"/>
          <w:sz w:val="24"/>
          <w:szCs w:val="24"/>
          <w:lang w:val="en-US"/>
        </w:rPr>
        <w:t>Zinc ranks second in overall economic importance, with mean SPE of 0.564 in Bogotá. This implies that a 10\% increase in the minimum zinc requirement would raise the minimum diet cost by 5.64\%, evaluated at the margin. The corresponding values are 0.297 in Cali and 0.486 in Medellín. Its cost is drive primarily by legumes, specifically dried peas and lentils that jointly accounting for 55\% - 76\% of zinc intake for the adult female and the girl, although cereals, chiefly wheat flour and pre-cooked flour, contribute a non-trivial 15\% - 20\% for the adult male. The remaining nutrients that bind with appreciable frequency, as shown in Figure \ref{</w:t>
      </w:r>
      <w:proofErr w:type="spellStart"/>
      <w:proofErr w:type="gramStart"/>
      <w:r w:rsidRPr="005D41F5">
        <w:rPr>
          <w:rFonts w:ascii="Garamond" w:hAnsi="Garamond" w:cs="Tahoma"/>
          <w:sz w:val="24"/>
          <w:szCs w:val="24"/>
          <w:lang w:val="en-US"/>
        </w:rPr>
        <w:t>fig:limiting</w:t>
      </w:r>
      <w:proofErr w:type="gramEnd"/>
      <w:r w:rsidRPr="005D41F5">
        <w:rPr>
          <w:rFonts w:ascii="Garamond" w:hAnsi="Garamond" w:cs="Tahoma"/>
          <w:sz w:val="24"/>
          <w:szCs w:val="24"/>
          <w:lang w:val="en-US"/>
        </w:rPr>
        <w:t>-nutrients</w:t>
      </w:r>
      <w:proofErr w:type="spellEnd"/>
      <w:r w:rsidRPr="005D41F5">
        <w:rPr>
          <w:rFonts w:ascii="Garamond" w:hAnsi="Garamond" w:cs="Tahoma"/>
          <w:sz w:val="24"/>
          <w:szCs w:val="24"/>
          <w:lang w:val="en-US"/>
        </w:rPr>
        <w:t>}, namely Vitamin A, protein, niacin, and magnesium, carry comparatively modest SPE (0.004 - 0.094), suggesting that their fulfillment imposes only a moderate-to-low economic burden on the optimal diet.</w:t>
      </w:r>
    </w:p>
    <w:p w:rsidR="005D41F5" w:rsidRDefault="005D41F5" w:rsidP="005D41F5">
      <w:pPr>
        <w:jc w:val="center"/>
        <w:rPr>
          <w:rFonts w:ascii="Garamond" w:hAnsi="Garamond" w:cs="Tahoma"/>
          <w:sz w:val="24"/>
          <w:szCs w:val="24"/>
          <w:lang w:val="en-US"/>
        </w:rPr>
      </w:pPr>
      <w:r>
        <w:rPr>
          <w:rFonts w:ascii="Garamond" w:hAnsi="Garamond" w:cs="Tahoma"/>
          <w:noProof/>
          <w:sz w:val="28"/>
          <w:szCs w:val="28"/>
        </w:rPr>
        <w:drawing>
          <wp:inline distT="0" distB="0" distL="0" distR="0" wp14:anchorId="34433B40" wp14:editId="1244E483">
            <wp:extent cx="4418718" cy="3060611"/>
            <wp:effectExtent l="0" t="0" r="1270" b="698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441987" cy="3076728"/>
                    </a:xfrm>
                    <a:prstGeom prst="rect">
                      <a:avLst/>
                    </a:prstGeom>
                    <a:noFill/>
                    <a:ln>
                      <a:noFill/>
                    </a:ln>
                  </pic:spPr>
                </pic:pic>
              </a:graphicData>
            </a:graphic>
          </wp:inline>
        </w:drawing>
      </w:r>
    </w:p>
    <w:p w:rsidR="00974775" w:rsidRDefault="00974775" w:rsidP="00B763B5">
      <w:pPr>
        <w:jc w:val="both"/>
        <w:rPr>
          <w:rFonts w:ascii="Garamond" w:hAnsi="Garamond" w:cs="Tahoma"/>
          <w:sz w:val="28"/>
          <w:szCs w:val="28"/>
        </w:rPr>
      </w:pPr>
    </w:p>
    <w:p w:rsidR="00227E29" w:rsidRPr="00227E29" w:rsidRDefault="00227E29" w:rsidP="00B763B5">
      <w:pPr>
        <w:jc w:val="both"/>
        <w:rPr>
          <w:rFonts w:ascii="Garamond" w:hAnsi="Garamond" w:cs="Tahoma"/>
          <w:sz w:val="24"/>
          <w:szCs w:val="24"/>
          <w:lang w:val="en-US"/>
        </w:rPr>
      </w:pPr>
      <w:r w:rsidRPr="00227E29">
        <w:rPr>
          <w:rFonts w:ascii="Garamond" w:hAnsi="Garamond" w:cs="Tahoma"/>
          <w:sz w:val="24"/>
          <w:szCs w:val="24"/>
          <w:lang w:val="en-US"/>
        </w:rPr>
        <w:lastRenderedPageBreak/>
        <w:t>T</w:t>
      </w:r>
      <w:r>
        <w:rPr>
          <w:rFonts w:ascii="Garamond" w:hAnsi="Garamond" w:cs="Tahoma"/>
          <w:sz w:val="24"/>
          <w:szCs w:val="24"/>
          <w:lang w:val="en-US"/>
        </w:rPr>
        <w:t xml:space="preserve">hese </w:t>
      </w:r>
      <w:r w:rsidRPr="00227E29">
        <w:rPr>
          <w:rFonts w:ascii="Garamond" w:hAnsi="Garamond" w:cs="Tahoma"/>
          <w:sz w:val="24"/>
          <w:szCs w:val="24"/>
          <w:lang w:val="en-US"/>
        </w:rPr>
        <w:t>results indicate that the cost of nutritional adequacy hinges on two minimum-side constraints in particular: calcium, costly for every household member and on a rising trajectory, and zinc, costly specifically for the adult male and highly variable over time. The heterogeneity in constraint profiles across household members underscores that the cost of nutritional adequacy is not a homogeneous aggregate but the outcome of nutrient-specific tensions that vary with the demographic composition of the household.</w:t>
      </w:r>
    </w:p>
    <w:p w:rsidR="00974775" w:rsidRDefault="00974775" w:rsidP="00B763B5">
      <w:pPr>
        <w:jc w:val="both"/>
        <w:rPr>
          <w:rFonts w:ascii="Garamond" w:hAnsi="Garamond" w:cs="Tahoma"/>
          <w:sz w:val="28"/>
          <w:szCs w:val="28"/>
        </w:rPr>
      </w:pPr>
    </w:p>
    <w:p w:rsidR="00E74F12" w:rsidRPr="00C70E13" w:rsidRDefault="00975B47" w:rsidP="003563D7">
      <w:pPr>
        <w:pStyle w:val="Prrafodelista"/>
        <w:numPr>
          <w:ilvl w:val="1"/>
          <w:numId w:val="1"/>
        </w:numPr>
        <w:jc w:val="both"/>
        <w:rPr>
          <w:rFonts w:ascii="Garamond" w:hAnsi="Garamond" w:cs="Tahoma"/>
          <w:b/>
          <w:sz w:val="28"/>
          <w:szCs w:val="28"/>
          <w:lang w:val="en-US"/>
        </w:rPr>
      </w:pPr>
      <w:r w:rsidRPr="00C70E13">
        <w:rPr>
          <w:rFonts w:ascii="Garamond" w:hAnsi="Garamond" w:cs="Tahoma"/>
          <w:b/>
          <w:sz w:val="28"/>
          <w:szCs w:val="28"/>
          <w:lang w:val="en-US"/>
        </w:rPr>
        <w:t>The Cultural Acceptability Premium: Costs of CC-</w:t>
      </w:r>
      <w:proofErr w:type="spellStart"/>
      <w:r w:rsidRPr="00C70E13">
        <w:rPr>
          <w:rFonts w:ascii="Garamond" w:hAnsi="Garamond" w:cs="Tahoma"/>
          <w:b/>
          <w:sz w:val="28"/>
          <w:szCs w:val="28"/>
          <w:lang w:val="en-US"/>
        </w:rPr>
        <w:t>CoNA</w:t>
      </w:r>
      <w:bookmarkStart w:id="1" w:name="_GoBack"/>
      <w:bookmarkEnd w:id="1"/>
      <w:proofErr w:type="spellEnd"/>
    </w:p>
    <w:p w:rsidR="00C901AA" w:rsidRPr="00B763B5" w:rsidRDefault="00C901AA" w:rsidP="00B763B5">
      <w:pPr>
        <w:jc w:val="both"/>
        <w:rPr>
          <w:rFonts w:ascii="Garamond" w:hAnsi="Garamond" w:cs="Tahoma"/>
          <w:sz w:val="24"/>
          <w:szCs w:val="24"/>
        </w:rPr>
      </w:pPr>
      <w:r w:rsidRPr="00B763B5">
        <w:rPr>
          <w:rFonts w:ascii="Garamond" w:hAnsi="Garamond" w:cs="Tahoma"/>
          <w:sz w:val="24"/>
          <w:szCs w:val="24"/>
        </w:rPr>
        <w:t>La CC-</w:t>
      </w:r>
      <w:proofErr w:type="spellStart"/>
      <w:r w:rsidRPr="00B763B5">
        <w:rPr>
          <w:rFonts w:ascii="Garamond" w:hAnsi="Garamond" w:cs="Tahoma"/>
          <w:sz w:val="24"/>
          <w:szCs w:val="24"/>
        </w:rPr>
        <w:t>CoNA</w:t>
      </w:r>
      <w:proofErr w:type="spellEnd"/>
      <w:r w:rsidRPr="00B763B5">
        <w:rPr>
          <w:rFonts w:ascii="Garamond" w:hAnsi="Garamond" w:cs="Tahoma"/>
          <w:sz w:val="24"/>
          <w:szCs w:val="24"/>
        </w:rPr>
        <w:t xml:space="preserve"> extiende el </w:t>
      </w:r>
      <w:proofErr w:type="spellStart"/>
      <w:r w:rsidRPr="00B763B5">
        <w:rPr>
          <w:rFonts w:ascii="Garamond" w:hAnsi="Garamond" w:cs="Tahoma"/>
          <w:sz w:val="24"/>
          <w:szCs w:val="24"/>
        </w:rPr>
        <w:t>CoNA</w:t>
      </w:r>
      <w:proofErr w:type="spellEnd"/>
      <w:r w:rsidRPr="00B763B5">
        <w:rPr>
          <w:rFonts w:ascii="Garamond" w:hAnsi="Garamond" w:cs="Tahoma"/>
          <w:sz w:val="24"/>
          <w:szCs w:val="24"/>
        </w:rPr>
        <w:t xml:space="preserve"> incorporando un parámetro α</w:t>
      </w:r>
      <w:r w:rsidR="00377FBB" w:rsidRPr="00B763B5">
        <w:rPr>
          <w:rFonts w:ascii="Garamond" w:hAnsi="Garamond" w:cs="Tahoma"/>
          <w:sz w:val="24"/>
          <w:szCs w:val="24"/>
        </w:rPr>
        <w:t xml:space="preserve"> </w:t>
      </w:r>
      <w:r w:rsidRPr="00B763B5">
        <w:rPr>
          <w:rFonts w:ascii="Garamond" w:hAnsi="Garamond" w:cs="Tahoma"/>
          <w:sz w:val="24"/>
          <w:szCs w:val="24"/>
        </w:rPr>
        <w:t>que penaliza las desviaciones de la dieta óptima respecto a los patrones de consumo observados. A medida que α aumenta de 0 a 1, el programa lineal impone una adherencia progresivamente mayor a los hábitos alimentarios locales, y el costo resultante refleja el sobrecosto de diseñar una intervención dietética culturalmente aceptable. La Figura 6, la Figura 7 y la Tabla 3 presentan los costos y primas de la CC-</w:t>
      </w:r>
      <w:proofErr w:type="spellStart"/>
      <w:r w:rsidRPr="00B763B5">
        <w:rPr>
          <w:rFonts w:ascii="Garamond" w:hAnsi="Garamond" w:cs="Tahoma"/>
          <w:sz w:val="24"/>
          <w:szCs w:val="24"/>
        </w:rPr>
        <w:t>CoNA</w:t>
      </w:r>
      <w:proofErr w:type="spellEnd"/>
      <w:r w:rsidRPr="00B763B5">
        <w:rPr>
          <w:rFonts w:ascii="Garamond" w:hAnsi="Garamond" w:cs="Tahoma"/>
          <w:sz w:val="24"/>
          <w:szCs w:val="24"/>
        </w:rPr>
        <w:t xml:space="preserve"> respecto al </w:t>
      </w:r>
      <w:proofErr w:type="spellStart"/>
      <w:r w:rsidRPr="00B763B5">
        <w:rPr>
          <w:rFonts w:ascii="Garamond" w:hAnsi="Garamond" w:cs="Tahoma"/>
          <w:sz w:val="24"/>
          <w:szCs w:val="24"/>
        </w:rPr>
        <w:t>CoNA</w:t>
      </w:r>
      <w:proofErr w:type="spellEnd"/>
      <w:r w:rsidRPr="00B763B5">
        <w:rPr>
          <w:rFonts w:ascii="Garamond" w:hAnsi="Garamond" w:cs="Tahoma"/>
          <w:sz w:val="24"/>
          <w:szCs w:val="24"/>
        </w:rPr>
        <w:t xml:space="preserve"> durante el período 2019–2024. Para α = 1— plena adherencia a los patrones de consumo observados — la prima media sobre el </w:t>
      </w:r>
      <w:proofErr w:type="spellStart"/>
      <w:r w:rsidRPr="00B763B5">
        <w:rPr>
          <w:rFonts w:ascii="Garamond" w:hAnsi="Garamond" w:cs="Tahoma"/>
          <w:sz w:val="24"/>
          <w:szCs w:val="24"/>
        </w:rPr>
        <w:t>CoNA</w:t>
      </w:r>
      <w:proofErr w:type="spellEnd"/>
      <w:r w:rsidRPr="00B763B5">
        <w:rPr>
          <w:rFonts w:ascii="Garamond" w:hAnsi="Garamond" w:cs="Tahoma"/>
          <w:sz w:val="24"/>
          <w:szCs w:val="24"/>
        </w:rPr>
        <w:t xml:space="preserve"> ascendió a 1,96% en Bogotá, 2,22% en Cali y 1,71% en Medellín durante el período completo, lo que indica que diseñar una intervención nutricionalmente adecuada y culturalmente aceptable supone un sobrecosto modesto respecto a la dieta de mínimo costo sin restricciones de adherencia.</w:t>
      </w:r>
      <w:r w:rsidR="00377FBB" w:rsidRPr="00B763B5">
        <w:rPr>
          <w:rFonts w:ascii="Garamond" w:hAnsi="Garamond" w:cs="Tahoma"/>
          <w:sz w:val="24"/>
          <w:szCs w:val="24"/>
        </w:rPr>
        <w:t xml:space="preserve"> P</w:t>
      </w:r>
      <w:r w:rsidRPr="00B763B5">
        <w:rPr>
          <w:rFonts w:ascii="Garamond" w:hAnsi="Garamond" w:cs="Tahoma"/>
          <w:sz w:val="24"/>
          <w:szCs w:val="24"/>
        </w:rPr>
        <w:t>ara α=0,5</w:t>
      </w:r>
      <w:r w:rsidR="00377FBB" w:rsidRPr="00B763B5">
        <w:rPr>
          <w:rFonts w:ascii="Garamond" w:hAnsi="Garamond" w:cs="Tahoma"/>
          <w:sz w:val="24"/>
          <w:szCs w:val="24"/>
        </w:rPr>
        <w:t xml:space="preserve"> </w:t>
      </w:r>
      <w:r w:rsidRPr="00B763B5">
        <w:rPr>
          <w:rFonts w:ascii="Garamond" w:hAnsi="Garamond" w:cs="Tahoma"/>
          <w:sz w:val="24"/>
          <w:szCs w:val="24"/>
        </w:rPr>
        <w:t>la prima se reduce a la mitad (0,84%–1,09%) y para α=0,25</w:t>
      </w:r>
      <w:r w:rsidR="00377FBB" w:rsidRPr="00B763B5">
        <w:rPr>
          <w:rFonts w:ascii="Garamond" w:hAnsi="Garamond" w:cs="Tahoma"/>
          <w:sz w:val="24"/>
          <w:szCs w:val="24"/>
        </w:rPr>
        <w:t xml:space="preserve">, </w:t>
      </w:r>
      <w:r w:rsidRPr="00B763B5">
        <w:rPr>
          <w:rFonts w:ascii="Garamond" w:hAnsi="Garamond" w:cs="Tahoma"/>
          <w:sz w:val="24"/>
          <w:szCs w:val="24"/>
        </w:rPr>
        <w:t>a un cuarto (0,41%–0,53%) —, lo que sugiere que el costo marginal de imponer mayor adherencia cultural es relativamente constante a lo largo del rango de α</w:t>
      </w:r>
      <w:r w:rsidR="00377FBB" w:rsidRPr="00B763B5">
        <w:rPr>
          <w:rFonts w:ascii="Garamond" w:hAnsi="Garamond" w:cs="Tahoma"/>
          <w:sz w:val="24"/>
          <w:szCs w:val="24"/>
        </w:rPr>
        <w:t xml:space="preserve">. </w:t>
      </w:r>
      <w:r w:rsidRPr="00B763B5">
        <w:rPr>
          <w:rFonts w:ascii="Garamond" w:hAnsi="Garamond" w:cs="Tahoma"/>
          <w:sz w:val="24"/>
          <w:szCs w:val="24"/>
        </w:rPr>
        <w:t>Adicionalmente, las variaciones interanuales de la CC-</w:t>
      </w:r>
      <w:proofErr w:type="spellStart"/>
      <w:r w:rsidRPr="00B763B5">
        <w:rPr>
          <w:rFonts w:ascii="Garamond" w:hAnsi="Garamond" w:cs="Tahoma"/>
          <w:sz w:val="24"/>
          <w:szCs w:val="24"/>
        </w:rPr>
        <w:t>CoNA</w:t>
      </w:r>
      <w:proofErr w:type="spellEnd"/>
      <w:r w:rsidRPr="00B763B5">
        <w:rPr>
          <w:rFonts w:ascii="Garamond" w:hAnsi="Garamond" w:cs="Tahoma"/>
          <w:sz w:val="24"/>
          <w:szCs w:val="24"/>
        </w:rPr>
        <w:t xml:space="preserve"> están altamente correlacionadas con las del </w:t>
      </w:r>
      <w:proofErr w:type="spellStart"/>
      <w:r w:rsidRPr="00B763B5">
        <w:rPr>
          <w:rFonts w:ascii="Garamond" w:hAnsi="Garamond" w:cs="Tahoma"/>
          <w:sz w:val="24"/>
          <w:szCs w:val="24"/>
        </w:rPr>
        <w:t>CoNA</w:t>
      </w:r>
      <w:proofErr w:type="spellEnd"/>
      <w:r w:rsidRPr="00B763B5">
        <w:rPr>
          <w:rFonts w:ascii="Garamond" w:hAnsi="Garamond" w:cs="Tahoma"/>
          <w:sz w:val="24"/>
          <w:szCs w:val="24"/>
        </w:rPr>
        <w:t xml:space="preserve"> puro (correlaciones de Pearson de 0,925–0,957 entre las variaciones interanuales reales de ambas series), confirmando que la CC-</w:t>
      </w:r>
      <w:proofErr w:type="spellStart"/>
      <w:r w:rsidRPr="00B763B5">
        <w:rPr>
          <w:rFonts w:ascii="Garamond" w:hAnsi="Garamond" w:cs="Tahoma"/>
          <w:sz w:val="24"/>
          <w:szCs w:val="24"/>
        </w:rPr>
        <w:t>CoNA</w:t>
      </w:r>
      <w:proofErr w:type="spellEnd"/>
      <w:r w:rsidRPr="00B763B5">
        <w:rPr>
          <w:rFonts w:ascii="Garamond" w:hAnsi="Garamond" w:cs="Tahoma"/>
          <w:sz w:val="24"/>
          <w:szCs w:val="24"/>
        </w:rPr>
        <w:t xml:space="preserve"> responde a los mismos fundamentos de precios que el </w:t>
      </w:r>
      <w:proofErr w:type="spellStart"/>
      <w:r w:rsidRPr="00B763B5">
        <w:rPr>
          <w:rFonts w:ascii="Garamond" w:hAnsi="Garamond" w:cs="Tahoma"/>
          <w:sz w:val="24"/>
          <w:szCs w:val="24"/>
        </w:rPr>
        <w:t>CoNA</w:t>
      </w:r>
      <w:proofErr w:type="spellEnd"/>
      <w:r w:rsidRPr="00B763B5">
        <w:rPr>
          <w:rFonts w:ascii="Garamond" w:hAnsi="Garamond" w:cs="Tahoma"/>
          <w:sz w:val="24"/>
          <w:szCs w:val="24"/>
        </w:rPr>
        <w:t xml:space="preserve"> y que la prima de aceptabilidad cultural no introduce una fuente independiente de volatilidad en el costo de la dieta.</w:t>
      </w:r>
    </w:p>
    <w:p w:rsidR="00C901AA" w:rsidRPr="00C901AA" w:rsidRDefault="00C901AA" w:rsidP="00B763B5">
      <w:pPr>
        <w:jc w:val="both"/>
        <w:rPr>
          <w:rFonts w:ascii="Garamond" w:hAnsi="Garamond" w:cs="Tahoma"/>
          <w:sz w:val="28"/>
          <w:szCs w:val="28"/>
        </w:rPr>
      </w:pPr>
      <w:r w:rsidRPr="00C901AA">
        <w:rPr>
          <w:rFonts w:ascii="Garamond" w:hAnsi="Garamond" w:cs="Tahoma"/>
          <w:sz w:val="28"/>
          <w:szCs w:val="28"/>
        </w:rPr>
        <w:t>[Insertar Figura 6 aquí]</w:t>
      </w:r>
    </w:p>
    <w:p w:rsidR="00377FBB" w:rsidRPr="00B763B5" w:rsidRDefault="00377FBB" w:rsidP="00B763B5">
      <w:pPr>
        <w:jc w:val="both"/>
        <w:rPr>
          <w:rFonts w:ascii="Garamond" w:hAnsi="Garamond" w:cs="Tahoma"/>
          <w:sz w:val="24"/>
          <w:szCs w:val="24"/>
        </w:rPr>
      </w:pPr>
      <w:r w:rsidRPr="00B763B5">
        <w:rPr>
          <w:rFonts w:ascii="Garamond" w:hAnsi="Garamond" w:cs="Tahoma"/>
          <w:sz w:val="24"/>
          <w:szCs w:val="24"/>
        </w:rPr>
        <w:t xml:space="preserve">La comparación </w:t>
      </w:r>
      <w:proofErr w:type="spellStart"/>
      <w:r w:rsidRPr="00B763B5">
        <w:rPr>
          <w:rFonts w:ascii="Garamond" w:hAnsi="Garamond" w:cs="Tahoma"/>
          <w:sz w:val="24"/>
          <w:szCs w:val="24"/>
        </w:rPr>
        <w:t>intercidades</w:t>
      </w:r>
      <w:proofErr w:type="spellEnd"/>
      <w:r w:rsidRPr="00B763B5">
        <w:rPr>
          <w:rFonts w:ascii="Garamond" w:hAnsi="Garamond" w:cs="Tahoma"/>
          <w:sz w:val="24"/>
          <w:szCs w:val="24"/>
        </w:rPr>
        <w:t xml:space="preserve"> revela una reordenación estructural en las primas que constituye uno de los hallazgos más relevantes de esta subsección. En 2019, Bogotá presentaba la prima más elevada (1,63%) y Cali la más baja (1,29%), con Medellín en posición intermedia (1,18%) — una ordenación que se mantuvo durante el episodio inflacionario de 2020, cuando las tres ciudades convergieron hacia primas excepcionalmente altas (3,01%–3,49%) de manera simultánea. A partir de 2021, sin embargo, la ordenación comenzó a invertirse de manera progresiva: Cali superó a Bogotá en prima por primera vez en 2021 (1,57% frente a 1,44%), y esta inversión se consolidó y amplió en los años siguientes. Para 2023 y 2024 Cali se estableció como la ciudad con la prima más alta del sistema (2,19% y 3,65% respectivamente), mientras que Medellín — que en 2022 registró la prima más baja de todo el período (0,85%) — recuperó una posición intermedia.</w:t>
      </w:r>
      <w:r w:rsidR="00BD2E35" w:rsidRPr="00B763B5">
        <w:rPr>
          <w:rFonts w:ascii="Garamond" w:hAnsi="Garamond" w:cs="Tahoma"/>
          <w:sz w:val="24"/>
          <w:szCs w:val="24"/>
        </w:rPr>
        <w:t xml:space="preserve"> </w:t>
      </w:r>
      <w:r w:rsidRPr="00B763B5">
        <w:rPr>
          <w:rFonts w:ascii="Garamond" w:hAnsi="Garamond" w:cs="Tahoma"/>
          <w:sz w:val="24"/>
          <w:szCs w:val="24"/>
        </w:rPr>
        <w:t xml:space="preserve">Este patrón sugiere que el ajuste </w:t>
      </w:r>
      <w:proofErr w:type="spellStart"/>
      <w:r w:rsidRPr="00B763B5">
        <w:rPr>
          <w:rFonts w:ascii="Garamond" w:hAnsi="Garamond" w:cs="Tahoma"/>
          <w:sz w:val="24"/>
          <w:szCs w:val="24"/>
        </w:rPr>
        <w:t>post-inflacionario</w:t>
      </w:r>
      <w:proofErr w:type="spellEnd"/>
      <w:r w:rsidRPr="00B763B5">
        <w:rPr>
          <w:rFonts w:ascii="Garamond" w:hAnsi="Garamond" w:cs="Tahoma"/>
          <w:sz w:val="24"/>
          <w:szCs w:val="24"/>
        </w:rPr>
        <w:t xml:space="preserve"> de 2023–2024 afectó de manera asimétrica la estructura de precios relativos entre los alimentos del patrón de consumo observado y la cesta de mínimo costo en las tres ciudades: en Cali, la brecha entre ambas cestas se amplió de manera sostenida, haciendo progresivamente más costoso diseñar </w:t>
      </w:r>
      <w:r w:rsidRPr="00B763B5">
        <w:rPr>
          <w:rFonts w:ascii="Garamond" w:hAnsi="Garamond" w:cs="Tahoma"/>
          <w:sz w:val="24"/>
          <w:szCs w:val="24"/>
        </w:rPr>
        <w:lastRenderedPageBreak/>
        <w:t>intervenciones dietéticas que respeten los hábitos alimentarios locales, mientras que en Medellín dicha brecha se comprimió durante el episodio inflacionario antes de recuperarse parcialmente.</w:t>
      </w:r>
    </w:p>
    <w:p w:rsidR="00377FBB" w:rsidRPr="00C901AA" w:rsidRDefault="00377FBB" w:rsidP="00B763B5">
      <w:pPr>
        <w:jc w:val="both"/>
        <w:rPr>
          <w:rFonts w:ascii="Garamond" w:hAnsi="Garamond" w:cs="Tahoma"/>
          <w:sz w:val="28"/>
          <w:szCs w:val="28"/>
        </w:rPr>
      </w:pPr>
      <w:r w:rsidRPr="00C901AA">
        <w:rPr>
          <w:rFonts w:ascii="Garamond" w:hAnsi="Garamond" w:cs="Tahoma"/>
          <w:sz w:val="28"/>
          <w:szCs w:val="28"/>
        </w:rPr>
        <w:t>[Insertar Figura 7 aquí]</w:t>
      </w:r>
    </w:p>
    <w:p w:rsidR="00E74F12" w:rsidRDefault="00C901AA" w:rsidP="00B763B5">
      <w:pPr>
        <w:jc w:val="both"/>
        <w:rPr>
          <w:rFonts w:ascii="Garamond" w:hAnsi="Garamond" w:cs="Tahoma"/>
          <w:sz w:val="28"/>
          <w:szCs w:val="28"/>
        </w:rPr>
      </w:pPr>
      <w:r w:rsidRPr="00C901AA">
        <w:rPr>
          <w:rFonts w:ascii="Garamond" w:hAnsi="Garamond" w:cs="Tahoma"/>
          <w:sz w:val="28"/>
          <w:szCs w:val="28"/>
        </w:rPr>
        <w:t xml:space="preserve">[Insertar Tabla 3 aquí] </w:t>
      </w:r>
    </w:p>
    <w:p w:rsidR="00C901AA" w:rsidRDefault="00C901AA" w:rsidP="00B763B5">
      <w:pPr>
        <w:jc w:val="both"/>
        <w:rPr>
          <w:rFonts w:ascii="Garamond" w:hAnsi="Garamond" w:cs="Tahoma"/>
          <w:sz w:val="28"/>
          <w:szCs w:val="28"/>
        </w:rPr>
      </w:pPr>
    </w:p>
    <w:p w:rsidR="00E74F12" w:rsidRDefault="00E74F12" w:rsidP="003563D7">
      <w:pPr>
        <w:pStyle w:val="Prrafodelista"/>
        <w:numPr>
          <w:ilvl w:val="1"/>
          <w:numId w:val="1"/>
        </w:numPr>
        <w:jc w:val="both"/>
        <w:rPr>
          <w:rFonts w:ascii="Garamond" w:hAnsi="Garamond" w:cs="Tahoma"/>
          <w:b/>
          <w:sz w:val="28"/>
          <w:szCs w:val="28"/>
        </w:rPr>
      </w:pPr>
      <w:r>
        <w:rPr>
          <w:rFonts w:ascii="Garamond" w:hAnsi="Garamond" w:cs="Tahoma"/>
          <w:b/>
          <w:sz w:val="28"/>
          <w:szCs w:val="28"/>
        </w:rPr>
        <w:t>Asequibilidad a lo largo de la distribución del ingreso</w:t>
      </w:r>
    </w:p>
    <w:p w:rsidR="00A14DFC" w:rsidRPr="00B763B5" w:rsidRDefault="00A14DFC" w:rsidP="00B763B5">
      <w:pPr>
        <w:jc w:val="both"/>
        <w:rPr>
          <w:rFonts w:ascii="Garamond" w:hAnsi="Garamond" w:cs="Tahoma"/>
          <w:sz w:val="24"/>
          <w:szCs w:val="24"/>
        </w:rPr>
      </w:pPr>
      <w:r w:rsidRPr="00B763B5">
        <w:rPr>
          <w:rFonts w:ascii="Garamond" w:hAnsi="Garamond" w:cs="Tahoma"/>
          <w:sz w:val="24"/>
          <w:szCs w:val="24"/>
        </w:rPr>
        <w:t>La asequibilidad de una dieta se evalúa comparando su costo diario con el presupuesto alimentario efectivo del hogar. Un hogar se clasifica como inasequible cuando su gasto alimentario anual per cápita — estimado como una proporción fija del ingreso por par de deciles (39% para los deciles 1–2, 36% para los 3–4, decreciente hasta 26% para los deciles 9–10) — es insuficiente para cubrir el costo anual de la dieta óptima. Esta comparación mide si el presupuesto que el hogar efectivamente destina a alimentación alcanza para costear cada dieta, reconociendo que los hogares no pueden reasignar la totalidad de su ingreso a alimentación dado que enfrentan compromisos fijos en vivienda, transporte y otros rubros. Las métricas empleadas corresponden a la familia de índices Foster-</w:t>
      </w:r>
      <w:proofErr w:type="spellStart"/>
      <w:r w:rsidRPr="00B763B5">
        <w:rPr>
          <w:rFonts w:ascii="Garamond" w:hAnsi="Garamond" w:cs="Tahoma"/>
          <w:sz w:val="24"/>
          <w:szCs w:val="24"/>
        </w:rPr>
        <w:t>Greer</w:t>
      </w:r>
      <w:proofErr w:type="spellEnd"/>
      <w:r w:rsidRPr="00B763B5">
        <w:rPr>
          <w:rFonts w:ascii="Garamond" w:hAnsi="Garamond" w:cs="Tahoma"/>
          <w:sz w:val="24"/>
          <w:szCs w:val="24"/>
        </w:rPr>
        <w:t>-</w:t>
      </w:r>
      <w:proofErr w:type="spellStart"/>
      <w:r w:rsidRPr="00B763B5">
        <w:rPr>
          <w:rFonts w:ascii="Garamond" w:hAnsi="Garamond" w:cs="Tahoma"/>
          <w:sz w:val="24"/>
          <w:szCs w:val="24"/>
        </w:rPr>
        <w:t>Thorbecke</w:t>
      </w:r>
      <w:proofErr w:type="spellEnd"/>
      <w:r w:rsidRPr="00B763B5">
        <w:rPr>
          <w:rFonts w:ascii="Garamond" w:hAnsi="Garamond" w:cs="Tahoma"/>
          <w:sz w:val="24"/>
          <w:szCs w:val="24"/>
        </w:rPr>
        <w:t xml:space="preserve"> (FGT): la tasa de </w:t>
      </w:r>
      <w:proofErr w:type="spellStart"/>
      <w:r w:rsidRPr="00B763B5">
        <w:rPr>
          <w:rFonts w:ascii="Garamond" w:hAnsi="Garamond" w:cs="Tahoma"/>
          <w:sz w:val="24"/>
          <w:szCs w:val="24"/>
        </w:rPr>
        <w:t>inasequibilidad</w:t>
      </w:r>
      <w:proofErr w:type="spellEnd"/>
      <w:r w:rsidRPr="00B763B5">
        <w:rPr>
          <w:rFonts w:ascii="Garamond" w:hAnsi="Garamond" w:cs="Tahoma"/>
          <w:sz w:val="24"/>
          <w:szCs w:val="24"/>
        </w:rPr>
        <w:t xml:space="preserve"> (FGT0), la brecha de asequibilidad (FGT1) y la severidad (FGT2). Dado que los deciles están construidos para ser equiponderados — cada uno representa aproximadamente el 10% de la población urbana —, la media simple de tasas entre deciles equivale directamente al porcentaje total de hogares afectados en la ciudad.</w:t>
      </w:r>
    </w:p>
    <w:p w:rsidR="0092351E" w:rsidRDefault="0092351E" w:rsidP="00B763B5">
      <w:pPr>
        <w:jc w:val="both"/>
        <w:rPr>
          <w:rFonts w:ascii="Garamond" w:hAnsi="Garamond" w:cs="Tahoma"/>
          <w:b/>
          <w:i/>
          <w:sz w:val="28"/>
          <w:szCs w:val="28"/>
        </w:rPr>
      </w:pPr>
      <w:r>
        <w:rPr>
          <w:rFonts w:ascii="Garamond" w:hAnsi="Garamond" w:cs="Tahoma"/>
          <w:b/>
          <w:i/>
          <w:sz w:val="28"/>
          <w:szCs w:val="28"/>
        </w:rPr>
        <w:t>Incidencia de la asequibilidad</w:t>
      </w:r>
    </w:p>
    <w:p w:rsidR="00C6531D" w:rsidRPr="00B763B5" w:rsidRDefault="00C6531D" w:rsidP="00B763B5">
      <w:pPr>
        <w:jc w:val="both"/>
        <w:rPr>
          <w:rFonts w:ascii="Garamond" w:hAnsi="Garamond" w:cs="Tahoma"/>
          <w:sz w:val="24"/>
          <w:szCs w:val="24"/>
        </w:rPr>
      </w:pPr>
      <w:r w:rsidRPr="00B763B5">
        <w:rPr>
          <w:rFonts w:ascii="Garamond" w:hAnsi="Garamond" w:cs="Tahoma"/>
          <w:sz w:val="24"/>
          <w:szCs w:val="24"/>
        </w:rPr>
        <w:t>[Insertar Figura 8 aquí]</w:t>
      </w:r>
    </w:p>
    <w:p w:rsidR="00C6531D" w:rsidRPr="00B763B5" w:rsidRDefault="00C6531D" w:rsidP="00B763B5">
      <w:pPr>
        <w:jc w:val="both"/>
        <w:rPr>
          <w:rFonts w:ascii="Garamond" w:hAnsi="Garamond" w:cs="Tahoma"/>
          <w:sz w:val="24"/>
          <w:szCs w:val="24"/>
        </w:rPr>
      </w:pPr>
      <w:r w:rsidRPr="00B763B5">
        <w:rPr>
          <w:rFonts w:ascii="Garamond" w:hAnsi="Garamond" w:cs="Tahoma"/>
          <w:sz w:val="24"/>
          <w:szCs w:val="24"/>
        </w:rPr>
        <w:t>[Insertar Figura 9 aquí]</w:t>
      </w:r>
    </w:p>
    <w:p w:rsidR="002E4EBF" w:rsidRPr="00B763B5" w:rsidRDefault="002E4EBF" w:rsidP="00B763B5">
      <w:pPr>
        <w:jc w:val="both"/>
        <w:rPr>
          <w:rFonts w:ascii="Garamond" w:hAnsi="Garamond" w:cs="Tahoma"/>
          <w:sz w:val="24"/>
          <w:szCs w:val="24"/>
        </w:rPr>
      </w:pPr>
      <w:r w:rsidRPr="00B763B5">
        <w:rPr>
          <w:rFonts w:ascii="Garamond" w:hAnsi="Garamond" w:cs="Tahoma"/>
          <w:sz w:val="24"/>
          <w:szCs w:val="24"/>
        </w:rPr>
        <w:t xml:space="preserve">La </w:t>
      </w:r>
      <w:proofErr w:type="spellStart"/>
      <w:r w:rsidRPr="00B763B5">
        <w:rPr>
          <w:rFonts w:ascii="Garamond" w:hAnsi="Garamond" w:cs="Tahoma"/>
          <w:sz w:val="24"/>
          <w:szCs w:val="24"/>
        </w:rPr>
        <w:t>CoCA</w:t>
      </w:r>
      <w:proofErr w:type="spellEnd"/>
      <w:r w:rsidRPr="00B763B5">
        <w:rPr>
          <w:rFonts w:ascii="Garamond" w:hAnsi="Garamond" w:cs="Tahoma"/>
          <w:sz w:val="24"/>
          <w:szCs w:val="24"/>
        </w:rPr>
        <w:t xml:space="preserve"> — la dieta de menor costo, que garantiza únicamente adecuación calórica — afecta al 2,9%–4,1% de la población urbana en condiciones normales (2019), concentrado casi exclusivamente en el primer decil, donde entre el 29,2% y el 40,6% de los hogares no puede costear ni siquiera la dieta calóricamente suficiente de menor precio. A nivel agregado la incidencia es modesta, pero en Cali este porcentaje empeoró hasta el 47,4% en 2024 (+6,8 </w:t>
      </w:r>
      <w:proofErr w:type="spellStart"/>
      <w:r w:rsidRPr="00B763B5">
        <w:rPr>
          <w:rFonts w:ascii="Garamond" w:hAnsi="Garamond" w:cs="Tahoma"/>
          <w:sz w:val="24"/>
          <w:szCs w:val="24"/>
        </w:rPr>
        <w:t>pp</w:t>
      </w:r>
      <w:proofErr w:type="spellEnd"/>
      <w:r w:rsidRPr="00B763B5">
        <w:rPr>
          <w:rFonts w:ascii="Garamond" w:hAnsi="Garamond" w:cs="Tahoma"/>
          <w:sz w:val="24"/>
          <w:szCs w:val="24"/>
        </w:rPr>
        <w:t xml:space="preserve"> respecto a 2019), lo que significa que casi la mitad del decil de menores ingresos no puede cubrir el umbral calórico mínimo con su presupuesto alimentario efectivo. En Bogotá y Medellín, en cambio, la tasa del primer decil mejoró (−5,5 y −8,0 </w:t>
      </w:r>
      <w:proofErr w:type="spellStart"/>
      <w:r w:rsidRPr="00B763B5">
        <w:rPr>
          <w:rFonts w:ascii="Garamond" w:hAnsi="Garamond" w:cs="Tahoma"/>
          <w:sz w:val="24"/>
          <w:szCs w:val="24"/>
        </w:rPr>
        <w:t>pp</w:t>
      </w:r>
      <w:proofErr w:type="spellEnd"/>
      <w:r w:rsidRPr="00B763B5">
        <w:rPr>
          <w:rFonts w:ascii="Garamond" w:hAnsi="Garamond" w:cs="Tahoma"/>
          <w:sz w:val="24"/>
          <w:szCs w:val="24"/>
        </w:rPr>
        <w:t xml:space="preserve"> respectivamente). El pico de </w:t>
      </w:r>
      <w:proofErr w:type="spellStart"/>
      <w:r w:rsidRPr="00B763B5">
        <w:rPr>
          <w:rFonts w:ascii="Garamond" w:hAnsi="Garamond" w:cs="Tahoma"/>
          <w:sz w:val="24"/>
          <w:szCs w:val="24"/>
        </w:rPr>
        <w:t>inasequibilidad</w:t>
      </w:r>
      <w:proofErr w:type="spellEnd"/>
      <w:r w:rsidRPr="00B763B5">
        <w:rPr>
          <w:rFonts w:ascii="Garamond" w:hAnsi="Garamond" w:cs="Tahoma"/>
          <w:sz w:val="24"/>
          <w:szCs w:val="24"/>
        </w:rPr>
        <w:t xml:space="preserve"> agregada se registró en 2020 en las tres ciudades — 10,7% en Bogotá, 8,0% en Medellín y 11,9% en Cali — coincidiendo con las disrupciones del presupuesto alimentario asociadas a la pandemia.</w:t>
      </w:r>
    </w:p>
    <w:p w:rsidR="002E4EBF" w:rsidRPr="00B763B5" w:rsidRDefault="002E4EBF" w:rsidP="00B763B5">
      <w:pPr>
        <w:jc w:val="both"/>
        <w:rPr>
          <w:rFonts w:ascii="Garamond" w:hAnsi="Garamond" w:cs="Tahoma"/>
          <w:sz w:val="24"/>
          <w:szCs w:val="24"/>
        </w:rPr>
      </w:pPr>
      <w:r w:rsidRPr="00B763B5">
        <w:rPr>
          <w:rFonts w:ascii="Garamond" w:hAnsi="Garamond" w:cs="Tahoma"/>
          <w:sz w:val="24"/>
          <w:szCs w:val="24"/>
        </w:rPr>
        <w:t xml:space="preserve">La transición de la </w:t>
      </w:r>
      <w:proofErr w:type="spellStart"/>
      <w:r w:rsidRPr="00B763B5">
        <w:rPr>
          <w:rFonts w:ascii="Garamond" w:hAnsi="Garamond" w:cs="Tahoma"/>
          <w:sz w:val="24"/>
          <w:szCs w:val="24"/>
        </w:rPr>
        <w:t>CoCA</w:t>
      </w:r>
      <w:proofErr w:type="spellEnd"/>
      <w:r w:rsidRPr="00B763B5">
        <w:rPr>
          <w:rFonts w:ascii="Garamond" w:hAnsi="Garamond" w:cs="Tahoma"/>
          <w:sz w:val="24"/>
          <w:szCs w:val="24"/>
        </w:rPr>
        <w:t xml:space="preserve"> a la </w:t>
      </w:r>
      <w:proofErr w:type="spellStart"/>
      <w:r w:rsidRPr="00B763B5">
        <w:rPr>
          <w:rFonts w:ascii="Garamond" w:hAnsi="Garamond" w:cs="Tahoma"/>
          <w:sz w:val="24"/>
          <w:szCs w:val="24"/>
        </w:rPr>
        <w:t>CoNA</w:t>
      </w:r>
      <w:proofErr w:type="spellEnd"/>
      <w:r w:rsidRPr="00B763B5">
        <w:rPr>
          <w:rFonts w:ascii="Garamond" w:hAnsi="Garamond" w:cs="Tahoma"/>
          <w:sz w:val="24"/>
          <w:szCs w:val="24"/>
        </w:rPr>
        <w:t xml:space="preserve"> amplía drásticamente la incidencia. En 2019, el 7,6% de la población de Bogotá, el 9,4% de Medellín y el 10,9% de Cali no podían costear una dieta nutricionalmente adecuada — entre 2,5 y 3 veces más que la </w:t>
      </w:r>
      <w:proofErr w:type="spellStart"/>
      <w:r w:rsidRPr="00B763B5">
        <w:rPr>
          <w:rFonts w:ascii="Garamond" w:hAnsi="Garamond" w:cs="Tahoma"/>
          <w:sz w:val="24"/>
          <w:szCs w:val="24"/>
        </w:rPr>
        <w:t>inasequibilidad</w:t>
      </w:r>
      <w:proofErr w:type="spellEnd"/>
      <w:r w:rsidRPr="00B763B5">
        <w:rPr>
          <w:rFonts w:ascii="Garamond" w:hAnsi="Garamond" w:cs="Tahoma"/>
          <w:sz w:val="24"/>
          <w:szCs w:val="24"/>
        </w:rPr>
        <w:t xml:space="preserve"> calórica. La </w:t>
      </w:r>
      <w:proofErr w:type="spellStart"/>
      <w:r w:rsidRPr="00B763B5">
        <w:rPr>
          <w:rFonts w:ascii="Garamond" w:hAnsi="Garamond" w:cs="Tahoma"/>
          <w:sz w:val="24"/>
          <w:szCs w:val="24"/>
        </w:rPr>
        <w:t>inasequibilidad</w:t>
      </w:r>
      <w:proofErr w:type="spellEnd"/>
      <w:r w:rsidRPr="00B763B5">
        <w:rPr>
          <w:rFonts w:ascii="Garamond" w:hAnsi="Garamond" w:cs="Tahoma"/>
          <w:sz w:val="24"/>
          <w:szCs w:val="24"/>
        </w:rPr>
        <w:t xml:space="preserve"> de la </w:t>
      </w:r>
      <w:proofErr w:type="spellStart"/>
      <w:r w:rsidRPr="00B763B5">
        <w:rPr>
          <w:rFonts w:ascii="Garamond" w:hAnsi="Garamond" w:cs="Tahoma"/>
          <w:sz w:val="24"/>
          <w:szCs w:val="24"/>
        </w:rPr>
        <w:t>CoNA</w:t>
      </w:r>
      <w:proofErr w:type="spellEnd"/>
      <w:r w:rsidRPr="00B763B5">
        <w:rPr>
          <w:rFonts w:ascii="Garamond" w:hAnsi="Garamond" w:cs="Tahoma"/>
          <w:sz w:val="24"/>
          <w:szCs w:val="24"/>
        </w:rPr>
        <w:t xml:space="preserve"> no se limita al primer decil: en Bogotá alcanza hasta el cuarto decil (tasas de 91,9%, 28,5%, 5,6% y 2,4% respectivamente) y en Cali hasta el quinto (99,4%, 67,8%, </w:t>
      </w:r>
      <w:r w:rsidRPr="00B763B5">
        <w:rPr>
          <w:rFonts w:ascii="Garamond" w:hAnsi="Garamond" w:cs="Tahoma"/>
          <w:sz w:val="24"/>
          <w:szCs w:val="24"/>
        </w:rPr>
        <w:lastRenderedPageBreak/>
        <w:t xml:space="preserve">20,2%, 4,9% y 1,0%). La dinámica post-2020 diferencia claramente a las ciudades: mientras Bogotá y Medellín recuperaron parcialmente sus niveles de 2019 (8,3% y 10,6% en 2024), Cali registró en 2023 su peor año fuera de 2020 (23,6%) y en 2024 aún el 20,0% de su población no podía costear la </w:t>
      </w:r>
      <w:proofErr w:type="spellStart"/>
      <w:r w:rsidRPr="00B763B5">
        <w:rPr>
          <w:rFonts w:ascii="Garamond" w:hAnsi="Garamond" w:cs="Tahoma"/>
          <w:sz w:val="24"/>
          <w:szCs w:val="24"/>
        </w:rPr>
        <w:t>CoNA</w:t>
      </w:r>
      <w:proofErr w:type="spellEnd"/>
      <w:r w:rsidRPr="00B763B5">
        <w:rPr>
          <w:rFonts w:ascii="Garamond" w:hAnsi="Garamond" w:cs="Tahoma"/>
          <w:sz w:val="24"/>
          <w:szCs w:val="24"/>
        </w:rPr>
        <w:t xml:space="preserve"> — casi el doble que en Bogotá. El deterioro más severo se concentra en el segundo decil de Cali, cuya tasa pasó de 12,9% en 2019 a 81,9% en 2024 (+69,0 </w:t>
      </w:r>
      <w:proofErr w:type="spellStart"/>
      <w:r w:rsidRPr="00B763B5">
        <w:rPr>
          <w:rFonts w:ascii="Garamond" w:hAnsi="Garamond" w:cs="Tahoma"/>
          <w:sz w:val="24"/>
          <w:szCs w:val="24"/>
        </w:rPr>
        <w:t>pp</w:t>
      </w:r>
      <w:proofErr w:type="spellEnd"/>
      <w:r w:rsidRPr="00B763B5">
        <w:rPr>
          <w:rFonts w:ascii="Garamond" w:hAnsi="Garamond" w:cs="Tahoma"/>
          <w:sz w:val="24"/>
          <w:szCs w:val="24"/>
        </w:rPr>
        <w:t xml:space="preserve">), equivalente a que el 6,9% adicional de la población total de Cali cayó en </w:t>
      </w:r>
      <w:proofErr w:type="spellStart"/>
      <w:r w:rsidRPr="00B763B5">
        <w:rPr>
          <w:rFonts w:ascii="Garamond" w:hAnsi="Garamond" w:cs="Tahoma"/>
          <w:sz w:val="24"/>
          <w:szCs w:val="24"/>
        </w:rPr>
        <w:t>inasequibilidad</w:t>
      </w:r>
      <w:proofErr w:type="spellEnd"/>
      <w:r w:rsidRPr="00B763B5">
        <w:rPr>
          <w:rFonts w:ascii="Garamond" w:hAnsi="Garamond" w:cs="Tahoma"/>
          <w:sz w:val="24"/>
          <w:szCs w:val="24"/>
        </w:rPr>
        <w:t xml:space="preserve"> nutricional en ese período.</w:t>
      </w:r>
    </w:p>
    <w:p w:rsidR="002E4EBF" w:rsidRPr="00B763B5" w:rsidRDefault="002E4EBF" w:rsidP="00B763B5">
      <w:pPr>
        <w:jc w:val="both"/>
        <w:rPr>
          <w:rFonts w:ascii="Garamond" w:hAnsi="Garamond" w:cs="Tahoma"/>
          <w:sz w:val="24"/>
          <w:szCs w:val="24"/>
        </w:rPr>
      </w:pPr>
      <w:r w:rsidRPr="00B763B5">
        <w:rPr>
          <w:rFonts w:ascii="Garamond" w:hAnsi="Garamond" w:cs="Tahoma"/>
          <w:sz w:val="24"/>
          <w:szCs w:val="24"/>
        </w:rPr>
        <w:t xml:space="preserve">La </w:t>
      </w:r>
      <w:proofErr w:type="spellStart"/>
      <w:r w:rsidRPr="00B763B5">
        <w:rPr>
          <w:rFonts w:ascii="Garamond" w:hAnsi="Garamond" w:cs="Tahoma"/>
          <w:sz w:val="24"/>
          <w:szCs w:val="24"/>
        </w:rPr>
        <w:t>CoRD</w:t>
      </w:r>
      <w:proofErr w:type="spellEnd"/>
      <w:r w:rsidRPr="00B763B5">
        <w:rPr>
          <w:rFonts w:ascii="Garamond" w:hAnsi="Garamond" w:cs="Tahoma"/>
          <w:sz w:val="24"/>
          <w:szCs w:val="24"/>
        </w:rPr>
        <w:t xml:space="preserve"> afecta a casi 1 de cada 5 hogares en 2019 (18,9% en Bogotá, 19,0% en Medellín, 23,2% en Cali). El pico de 2020 elevó estas cifras hasta el 31,1%–41,4%, lo que implica que entre un tercio y casi la mitad de la población urbana no podía costear en ese año una dieta nutricionalmente adecuada y culturalmente aceptable. En 2024, Cali alcanzó el 37,0% de la población afectada — el nivel más alto del período fuera de 2020 —, con el tercer decil universalmente inasequible (100%), el cuarto emergiendo con una tasa del 66,6% y el quinto con una tasa del 3,4%, lo que equivale a que el 30% de la población </w:t>
      </w:r>
      <w:proofErr w:type="spellStart"/>
      <w:r w:rsidRPr="00B763B5">
        <w:rPr>
          <w:rFonts w:ascii="Garamond" w:hAnsi="Garamond" w:cs="Tahoma"/>
          <w:sz w:val="24"/>
          <w:szCs w:val="24"/>
        </w:rPr>
        <w:t>calena</w:t>
      </w:r>
      <w:proofErr w:type="spellEnd"/>
      <w:r w:rsidRPr="00B763B5">
        <w:rPr>
          <w:rFonts w:ascii="Garamond" w:hAnsi="Garamond" w:cs="Tahoma"/>
          <w:sz w:val="24"/>
          <w:szCs w:val="24"/>
        </w:rPr>
        <w:t xml:space="preserve"> no puede costear la </w:t>
      </w:r>
      <w:proofErr w:type="spellStart"/>
      <w:r w:rsidRPr="00B763B5">
        <w:rPr>
          <w:rFonts w:ascii="Garamond" w:hAnsi="Garamond" w:cs="Tahoma"/>
          <w:sz w:val="24"/>
          <w:szCs w:val="24"/>
        </w:rPr>
        <w:t>CoRD</w:t>
      </w:r>
      <w:proofErr w:type="spellEnd"/>
      <w:r w:rsidRPr="00B763B5">
        <w:rPr>
          <w:rFonts w:ascii="Garamond" w:hAnsi="Garamond" w:cs="Tahoma"/>
          <w:sz w:val="24"/>
          <w:szCs w:val="24"/>
        </w:rPr>
        <w:t>.</w:t>
      </w:r>
    </w:p>
    <w:p w:rsidR="00C6531D" w:rsidRPr="00B763B5" w:rsidRDefault="002E4EBF" w:rsidP="00B763B5">
      <w:pPr>
        <w:jc w:val="both"/>
        <w:rPr>
          <w:rFonts w:ascii="Garamond" w:hAnsi="Garamond" w:cs="Tahoma"/>
          <w:sz w:val="24"/>
          <w:szCs w:val="24"/>
        </w:rPr>
      </w:pPr>
      <w:r w:rsidRPr="00B763B5">
        <w:rPr>
          <w:rFonts w:ascii="Garamond" w:hAnsi="Garamond" w:cs="Tahoma"/>
          <w:sz w:val="24"/>
          <w:szCs w:val="24"/>
        </w:rPr>
        <w:t>[Insertar Figura 10 aquí]</w:t>
      </w:r>
    </w:p>
    <w:p w:rsidR="0092351E" w:rsidRDefault="0092351E" w:rsidP="00B763B5">
      <w:pPr>
        <w:jc w:val="both"/>
        <w:rPr>
          <w:rFonts w:ascii="Garamond" w:hAnsi="Garamond" w:cs="Tahoma"/>
          <w:b/>
          <w:i/>
          <w:sz w:val="28"/>
          <w:szCs w:val="28"/>
        </w:rPr>
      </w:pPr>
      <w:r>
        <w:rPr>
          <w:rFonts w:ascii="Garamond" w:hAnsi="Garamond" w:cs="Tahoma"/>
          <w:b/>
          <w:i/>
          <w:sz w:val="28"/>
          <w:szCs w:val="28"/>
        </w:rPr>
        <w:t>Brecha y severidad</w:t>
      </w:r>
    </w:p>
    <w:p w:rsidR="00C6531D" w:rsidRPr="00B763B5" w:rsidRDefault="00C6531D" w:rsidP="00B763B5">
      <w:pPr>
        <w:jc w:val="both"/>
        <w:rPr>
          <w:rFonts w:ascii="Garamond" w:hAnsi="Garamond" w:cs="Tahoma"/>
          <w:sz w:val="24"/>
          <w:szCs w:val="24"/>
        </w:rPr>
      </w:pPr>
      <w:r w:rsidRPr="00B763B5">
        <w:rPr>
          <w:rFonts w:ascii="Garamond" w:hAnsi="Garamond" w:cs="Tahoma"/>
          <w:sz w:val="24"/>
          <w:szCs w:val="24"/>
        </w:rPr>
        <w:t>[Insertar Figura 8B aquí]</w:t>
      </w:r>
    </w:p>
    <w:p w:rsidR="00C6531D" w:rsidRPr="00B763B5" w:rsidRDefault="00C6531D" w:rsidP="00B763B5">
      <w:pPr>
        <w:jc w:val="both"/>
        <w:rPr>
          <w:rFonts w:ascii="Garamond" w:hAnsi="Garamond" w:cs="Tahoma"/>
          <w:sz w:val="24"/>
          <w:szCs w:val="24"/>
        </w:rPr>
      </w:pPr>
      <w:r w:rsidRPr="00B763B5">
        <w:rPr>
          <w:rFonts w:ascii="Garamond" w:hAnsi="Garamond" w:cs="Tahoma"/>
          <w:sz w:val="24"/>
          <w:szCs w:val="24"/>
        </w:rPr>
        <w:t>[Insertar Figura 10B aquí]</w:t>
      </w:r>
    </w:p>
    <w:p w:rsidR="002E4EBF" w:rsidRPr="00B763B5" w:rsidRDefault="002E4EBF" w:rsidP="00B763B5">
      <w:pPr>
        <w:jc w:val="both"/>
        <w:rPr>
          <w:rFonts w:ascii="Garamond" w:hAnsi="Garamond" w:cs="Tahoma"/>
          <w:sz w:val="24"/>
          <w:szCs w:val="24"/>
        </w:rPr>
      </w:pPr>
      <w:r w:rsidRPr="00B763B5">
        <w:rPr>
          <w:rFonts w:ascii="Garamond" w:hAnsi="Garamond" w:cs="Tahoma"/>
          <w:sz w:val="24"/>
          <w:szCs w:val="24"/>
        </w:rPr>
        <w:t xml:space="preserve">La incidencia captura cuántos hogares son inasequibles, pero no cuán lejos están del umbral. Para la </w:t>
      </w:r>
      <w:proofErr w:type="spellStart"/>
      <w:r w:rsidRPr="00B763B5">
        <w:rPr>
          <w:rFonts w:ascii="Garamond" w:hAnsi="Garamond" w:cs="Tahoma"/>
          <w:sz w:val="24"/>
          <w:szCs w:val="24"/>
        </w:rPr>
        <w:t>CoNA</w:t>
      </w:r>
      <w:proofErr w:type="spellEnd"/>
      <w:r w:rsidRPr="00B763B5">
        <w:rPr>
          <w:rFonts w:ascii="Garamond" w:hAnsi="Garamond" w:cs="Tahoma"/>
          <w:sz w:val="24"/>
          <w:szCs w:val="24"/>
        </w:rPr>
        <w:t xml:space="preserve">, el primer decil presenta brechas medias de 0,460 en Bogotá, 0,472 en Medellín y 0,575 en Cali durante el período completo, lo que indica que el presupuesto alimentario del decil más pobre cubre apenas entre el 42,5% y el 54,0% del costo de la dieta nutricionalmente adecuada — no es que le falte un margen estrecho, sino que le falta casi la mitad. La severidad (FGT2) de 0,306–0,393 confirma que el déficit está altamente concentrado en los hogares más alejados del umbral. Para la </w:t>
      </w:r>
      <w:proofErr w:type="spellStart"/>
      <w:r w:rsidRPr="00B763B5">
        <w:rPr>
          <w:rFonts w:ascii="Garamond" w:hAnsi="Garamond" w:cs="Tahoma"/>
          <w:sz w:val="24"/>
          <w:szCs w:val="24"/>
        </w:rPr>
        <w:t>CoRD</w:t>
      </w:r>
      <w:proofErr w:type="spellEnd"/>
      <w:r w:rsidRPr="00B763B5">
        <w:rPr>
          <w:rFonts w:ascii="Garamond" w:hAnsi="Garamond" w:cs="Tahoma"/>
          <w:sz w:val="24"/>
          <w:szCs w:val="24"/>
        </w:rPr>
        <w:t xml:space="preserve">, la profundidad es aún mayor: el primer decil registra brechas de 0,626–0,703, lo que significa que el presupuesto alimentario promedio cubre apenas entre el 29,7% y el 37,4% del costo de la dieta recomendada, con severidades de 0,435–0,525. En Cali, la brecha del segundo decil alcanza 0,368 y la del tercero 0,207 en el período completo, lo que indica que incluso en hogares con tasas de </w:t>
      </w:r>
      <w:proofErr w:type="spellStart"/>
      <w:r w:rsidRPr="00B763B5">
        <w:rPr>
          <w:rFonts w:ascii="Garamond" w:hAnsi="Garamond" w:cs="Tahoma"/>
          <w:sz w:val="24"/>
          <w:szCs w:val="24"/>
        </w:rPr>
        <w:t>inasequibilidad</w:t>
      </w:r>
      <w:proofErr w:type="spellEnd"/>
      <w:r w:rsidRPr="00B763B5">
        <w:rPr>
          <w:rFonts w:ascii="Garamond" w:hAnsi="Garamond" w:cs="Tahoma"/>
          <w:sz w:val="24"/>
          <w:szCs w:val="24"/>
        </w:rPr>
        <w:t xml:space="preserve"> intermedias, el déficit promedio del presupuesto alimentario es del 20%–37% del costo de la </w:t>
      </w:r>
      <w:proofErr w:type="spellStart"/>
      <w:r w:rsidRPr="00B763B5">
        <w:rPr>
          <w:rFonts w:ascii="Garamond" w:hAnsi="Garamond" w:cs="Tahoma"/>
          <w:sz w:val="24"/>
          <w:szCs w:val="24"/>
        </w:rPr>
        <w:t>CoRD</w:t>
      </w:r>
      <w:proofErr w:type="spellEnd"/>
      <w:r w:rsidRPr="00B763B5">
        <w:rPr>
          <w:rFonts w:ascii="Garamond" w:hAnsi="Garamond" w:cs="Tahoma"/>
          <w:sz w:val="24"/>
          <w:szCs w:val="24"/>
        </w:rPr>
        <w:t xml:space="preserve">. La evolución entre 2019 y 2024 muestra un deterioro generalizado de las brechas en Cali — la brecha del primer decil en la </w:t>
      </w:r>
      <w:proofErr w:type="spellStart"/>
      <w:r w:rsidRPr="00B763B5">
        <w:rPr>
          <w:rFonts w:ascii="Garamond" w:hAnsi="Garamond" w:cs="Tahoma"/>
          <w:sz w:val="24"/>
          <w:szCs w:val="24"/>
        </w:rPr>
        <w:t>CoRD</w:t>
      </w:r>
      <w:proofErr w:type="spellEnd"/>
      <w:r w:rsidRPr="00B763B5">
        <w:rPr>
          <w:rFonts w:ascii="Garamond" w:hAnsi="Garamond" w:cs="Tahoma"/>
          <w:sz w:val="24"/>
          <w:szCs w:val="24"/>
        </w:rPr>
        <w:t xml:space="preserve"> pasó de 0,591 a 0,737 —, mientras que en Bogotá y Medellín el deterioro fue más acotado y concentrado en los deciles más bajos. </w:t>
      </w:r>
    </w:p>
    <w:p w:rsidR="00C6531D" w:rsidRDefault="00C6531D" w:rsidP="00B763B5">
      <w:pPr>
        <w:jc w:val="both"/>
        <w:rPr>
          <w:rFonts w:ascii="Garamond" w:hAnsi="Garamond" w:cs="Tahoma"/>
          <w:sz w:val="24"/>
          <w:szCs w:val="24"/>
        </w:rPr>
      </w:pPr>
      <w:r w:rsidRPr="00B763B5">
        <w:rPr>
          <w:rFonts w:ascii="Garamond" w:hAnsi="Garamond" w:cs="Tahoma"/>
          <w:sz w:val="24"/>
          <w:szCs w:val="24"/>
        </w:rPr>
        <w:t>[Insertar Tabla 4 aquí]</w:t>
      </w:r>
    </w:p>
    <w:p w:rsidR="00B763B5" w:rsidRPr="00B763B5" w:rsidRDefault="00B763B5" w:rsidP="00B763B5">
      <w:pPr>
        <w:jc w:val="both"/>
        <w:rPr>
          <w:rFonts w:ascii="Garamond" w:hAnsi="Garamond" w:cs="Tahoma"/>
          <w:sz w:val="24"/>
          <w:szCs w:val="24"/>
        </w:rPr>
      </w:pPr>
      <w:r w:rsidRPr="00B763B5">
        <w:rPr>
          <w:rFonts w:ascii="Garamond" w:hAnsi="Garamond" w:cs="Tahoma"/>
          <w:sz w:val="24"/>
          <w:szCs w:val="24"/>
        </w:rPr>
        <w:t xml:space="preserve">Los resultados de asequibilidad presentados </w:t>
      </w:r>
      <w:r>
        <w:rPr>
          <w:rFonts w:ascii="Garamond" w:hAnsi="Garamond" w:cs="Tahoma"/>
          <w:sz w:val="24"/>
          <w:szCs w:val="24"/>
        </w:rPr>
        <w:t xml:space="preserve">anteriormente </w:t>
      </w:r>
      <w:r w:rsidRPr="00B763B5">
        <w:rPr>
          <w:rFonts w:ascii="Garamond" w:hAnsi="Garamond" w:cs="Tahoma"/>
          <w:sz w:val="24"/>
          <w:szCs w:val="24"/>
        </w:rPr>
        <w:t xml:space="preserve">son sensibles al supuesto sobre la proporción del ingreso que los hogares destinan a alimentación — estimada aquí como una proporción fija por par de deciles a partir de patrones de consumo observados en la </w:t>
      </w:r>
      <w:r>
        <w:rPr>
          <w:rFonts w:ascii="Garamond" w:hAnsi="Garamond" w:cs="Tahoma"/>
          <w:sz w:val="24"/>
          <w:szCs w:val="24"/>
        </w:rPr>
        <w:t>ECV</w:t>
      </w:r>
      <w:r w:rsidRPr="00B763B5">
        <w:rPr>
          <w:rFonts w:ascii="Garamond" w:hAnsi="Garamond" w:cs="Tahoma"/>
          <w:sz w:val="24"/>
          <w:szCs w:val="24"/>
        </w:rPr>
        <w:t xml:space="preserve">. Para evaluar la robustez de los hallazgos, se </w:t>
      </w:r>
      <w:r>
        <w:rPr>
          <w:rFonts w:ascii="Garamond" w:hAnsi="Garamond" w:cs="Tahoma"/>
          <w:sz w:val="24"/>
          <w:szCs w:val="24"/>
        </w:rPr>
        <w:t>evalúa un escenario</w:t>
      </w:r>
      <w:r w:rsidRPr="00B763B5">
        <w:rPr>
          <w:rFonts w:ascii="Garamond" w:hAnsi="Garamond" w:cs="Tahoma"/>
          <w:sz w:val="24"/>
          <w:szCs w:val="24"/>
        </w:rPr>
        <w:t xml:space="preserve"> extremo en el que los hogares destinan la totalidad de su ingreso per cápita a alimentación (Figura A, Apéndice). Los resultados revelan que la </w:t>
      </w:r>
      <w:proofErr w:type="spellStart"/>
      <w:r w:rsidRPr="00B763B5">
        <w:rPr>
          <w:rFonts w:ascii="Garamond" w:hAnsi="Garamond" w:cs="Tahoma"/>
          <w:sz w:val="24"/>
          <w:szCs w:val="24"/>
        </w:rPr>
        <w:t>inasequibilidad</w:t>
      </w:r>
      <w:proofErr w:type="spellEnd"/>
      <w:r w:rsidRPr="00B763B5">
        <w:rPr>
          <w:rFonts w:ascii="Garamond" w:hAnsi="Garamond" w:cs="Tahoma"/>
          <w:sz w:val="24"/>
          <w:szCs w:val="24"/>
        </w:rPr>
        <w:t xml:space="preserve"> en este escenario se concentra exclusivamente en el primer decil. Más </w:t>
      </w:r>
      <w:r w:rsidRPr="00B763B5">
        <w:rPr>
          <w:rFonts w:ascii="Garamond" w:hAnsi="Garamond" w:cs="Tahoma"/>
          <w:sz w:val="24"/>
          <w:szCs w:val="24"/>
        </w:rPr>
        <w:lastRenderedPageBreak/>
        <w:t xml:space="preserve">importante aún, la </w:t>
      </w:r>
      <w:proofErr w:type="spellStart"/>
      <w:r w:rsidRPr="00B763B5">
        <w:rPr>
          <w:rFonts w:ascii="Garamond" w:hAnsi="Garamond" w:cs="Tahoma"/>
          <w:sz w:val="24"/>
          <w:szCs w:val="24"/>
        </w:rPr>
        <w:t>inasequibilidad</w:t>
      </w:r>
      <w:proofErr w:type="spellEnd"/>
      <w:r w:rsidRPr="00B763B5">
        <w:rPr>
          <w:rFonts w:ascii="Garamond" w:hAnsi="Garamond" w:cs="Tahoma"/>
          <w:sz w:val="24"/>
          <w:szCs w:val="24"/>
        </w:rPr>
        <w:t xml:space="preserve"> del primer decil persiste incluso en este escenario extremo: entre el 10,6% y el 15,8% de ese decil no podría costear la </w:t>
      </w:r>
      <w:proofErr w:type="spellStart"/>
      <w:r w:rsidRPr="00B763B5">
        <w:rPr>
          <w:rFonts w:ascii="Garamond" w:hAnsi="Garamond" w:cs="Tahoma"/>
          <w:sz w:val="24"/>
          <w:szCs w:val="24"/>
        </w:rPr>
        <w:t>CoCA</w:t>
      </w:r>
      <w:proofErr w:type="spellEnd"/>
      <w:r w:rsidRPr="00B763B5">
        <w:rPr>
          <w:rFonts w:ascii="Garamond" w:hAnsi="Garamond" w:cs="Tahoma"/>
          <w:sz w:val="24"/>
          <w:szCs w:val="24"/>
        </w:rPr>
        <w:t xml:space="preserve">, entre el 24,5% y el 39,7% no podría costear la </w:t>
      </w:r>
      <w:proofErr w:type="spellStart"/>
      <w:r w:rsidRPr="00B763B5">
        <w:rPr>
          <w:rFonts w:ascii="Garamond" w:hAnsi="Garamond" w:cs="Tahoma"/>
          <w:sz w:val="24"/>
          <w:szCs w:val="24"/>
        </w:rPr>
        <w:t>CoNA</w:t>
      </w:r>
      <w:proofErr w:type="spellEnd"/>
      <w:r w:rsidRPr="00B763B5">
        <w:rPr>
          <w:rFonts w:ascii="Garamond" w:hAnsi="Garamond" w:cs="Tahoma"/>
          <w:sz w:val="24"/>
          <w:szCs w:val="24"/>
        </w:rPr>
        <w:t xml:space="preserve">, y entre el 41,3% y el 60,6% no podría costear la </w:t>
      </w:r>
      <w:proofErr w:type="spellStart"/>
      <w:r w:rsidRPr="00B763B5">
        <w:rPr>
          <w:rFonts w:ascii="Garamond" w:hAnsi="Garamond" w:cs="Tahoma"/>
          <w:sz w:val="24"/>
          <w:szCs w:val="24"/>
        </w:rPr>
        <w:t>CoRD</w:t>
      </w:r>
      <w:proofErr w:type="spellEnd"/>
      <w:r w:rsidRPr="00B763B5">
        <w:rPr>
          <w:rFonts w:ascii="Garamond" w:hAnsi="Garamond" w:cs="Tahoma"/>
          <w:sz w:val="24"/>
          <w:szCs w:val="24"/>
        </w:rPr>
        <w:t xml:space="preserve"> — reduciendo la tasa respecto al análisis base en 31–73 puntos porcentuales según el modelo y la ciudad, pero sin eliminarla. Esto confirma que la </w:t>
      </w:r>
      <w:proofErr w:type="spellStart"/>
      <w:r w:rsidRPr="00B763B5">
        <w:rPr>
          <w:rFonts w:ascii="Garamond" w:hAnsi="Garamond" w:cs="Tahoma"/>
          <w:sz w:val="24"/>
          <w:szCs w:val="24"/>
        </w:rPr>
        <w:t>inasequibilidad</w:t>
      </w:r>
      <w:proofErr w:type="spellEnd"/>
      <w:r w:rsidRPr="00B763B5">
        <w:rPr>
          <w:rFonts w:ascii="Garamond" w:hAnsi="Garamond" w:cs="Tahoma"/>
          <w:sz w:val="24"/>
          <w:szCs w:val="24"/>
        </w:rPr>
        <w:t xml:space="preserve"> del decil más pobre ante dietas nutricionalmente adecuadas no es un artefacto del supuesto sobre el gasto alimentario, sino una restricción de ingreso absoluto.</w:t>
      </w:r>
    </w:p>
    <w:p w:rsidR="00E74F12" w:rsidRPr="0092351E" w:rsidRDefault="00E74F12" w:rsidP="003563D7">
      <w:pPr>
        <w:pStyle w:val="Prrafodelista"/>
        <w:numPr>
          <w:ilvl w:val="0"/>
          <w:numId w:val="1"/>
        </w:numPr>
        <w:jc w:val="both"/>
        <w:rPr>
          <w:rFonts w:ascii="Garamond" w:hAnsi="Garamond" w:cs="Tahoma"/>
          <w:b/>
          <w:sz w:val="28"/>
          <w:szCs w:val="28"/>
        </w:rPr>
      </w:pPr>
      <w:r w:rsidRPr="0092351E">
        <w:rPr>
          <w:rFonts w:ascii="Garamond" w:hAnsi="Garamond" w:cs="Tahoma"/>
          <w:b/>
          <w:sz w:val="28"/>
          <w:szCs w:val="28"/>
        </w:rPr>
        <w:t>Discusión y conclusión</w:t>
      </w:r>
    </w:p>
    <w:p w:rsidR="006E26EC" w:rsidRPr="00E70E0F" w:rsidRDefault="006E26EC" w:rsidP="00B763B5">
      <w:pPr>
        <w:jc w:val="both"/>
        <w:rPr>
          <w:rFonts w:ascii="Garamond" w:hAnsi="Garamond" w:cs="Tahoma"/>
          <w:sz w:val="24"/>
          <w:szCs w:val="24"/>
          <w:lang w:val="en-US"/>
        </w:rPr>
      </w:pPr>
    </w:p>
    <w:p w:rsidR="00E74F12" w:rsidRPr="00E74F12" w:rsidRDefault="00E74F12" w:rsidP="00B763B5">
      <w:pPr>
        <w:jc w:val="both"/>
        <w:rPr>
          <w:rFonts w:ascii="Garamond" w:hAnsi="Garamond" w:cs="Tahoma"/>
          <w:b/>
          <w:sz w:val="28"/>
          <w:szCs w:val="28"/>
        </w:rPr>
      </w:pPr>
    </w:p>
    <w:p w:rsidR="00E74F12" w:rsidRPr="00E74F12" w:rsidRDefault="00E74F12" w:rsidP="00B763B5">
      <w:pPr>
        <w:ind w:left="360"/>
        <w:jc w:val="both"/>
        <w:rPr>
          <w:rFonts w:ascii="Garamond" w:hAnsi="Garamond" w:cs="Tahoma"/>
          <w:b/>
          <w:sz w:val="28"/>
          <w:szCs w:val="28"/>
        </w:rPr>
      </w:pPr>
    </w:p>
    <w:sectPr w:rsidR="00E74F12" w:rsidRPr="00E74F12">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A746EB" w:rsidRDefault="00A746EB" w:rsidP="00F04943">
      <w:pPr>
        <w:spacing w:after="0" w:line="240" w:lineRule="auto"/>
      </w:pPr>
      <w:r>
        <w:separator/>
      </w:r>
    </w:p>
  </w:endnote>
  <w:endnote w:type="continuationSeparator" w:id="0">
    <w:p w:rsidR="00A746EB" w:rsidRDefault="00A746EB" w:rsidP="00F049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A746EB" w:rsidRDefault="00A746EB" w:rsidP="00F04943">
      <w:pPr>
        <w:spacing w:after="0" w:line="240" w:lineRule="auto"/>
      </w:pPr>
      <w:r>
        <w:separator/>
      </w:r>
    </w:p>
  </w:footnote>
  <w:footnote w:type="continuationSeparator" w:id="0">
    <w:p w:rsidR="00A746EB" w:rsidRDefault="00A746EB" w:rsidP="00F0494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1426EE"/>
    <w:multiLevelType w:val="multilevel"/>
    <w:tmpl w:val="75C6C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94D1939"/>
    <w:multiLevelType w:val="multilevel"/>
    <w:tmpl w:val="8FB0C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45D0993"/>
    <w:multiLevelType w:val="multilevel"/>
    <w:tmpl w:val="E47CF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B382410"/>
    <w:multiLevelType w:val="multilevel"/>
    <w:tmpl w:val="50007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3927270"/>
    <w:multiLevelType w:val="multilevel"/>
    <w:tmpl w:val="6AB29D6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5" w15:restartNumberingAfterBreak="0">
    <w:nsid w:val="4F966737"/>
    <w:multiLevelType w:val="multilevel"/>
    <w:tmpl w:val="CC3A5E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F995BE1"/>
    <w:multiLevelType w:val="multilevel"/>
    <w:tmpl w:val="12303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B2006B2"/>
    <w:multiLevelType w:val="multilevel"/>
    <w:tmpl w:val="6AB29D6E"/>
    <w:lvl w:ilvl="0">
      <w:start w:val="1"/>
      <w:numFmt w:val="decimal"/>
      <w:lvlText w:val="%1."/>
      <w:lvlJc w:val="left"/>
      <w:pPr>
        <w:ind w:left="720" w:hanging="360"/>
      </w:pPr>
      <w:rPr>
        <w:rFonts w:hint="default"/>
      </w:rPr>
    </w:lvl>
    <w:lvl w:ilvl="1">
      <w:start w:val="1"/>
      <w:numFmt w:val="decimal"/>
      <w:isLgl/>
      <w:lvlText w:val="%1.%2."/>
      <w:lvlJc w:val="left"/>
      <w:pPr>
        <w:ind w:left="1004"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8" w15:restartNumberingAfterBreak="0">
    <w:nsid w:val="6C62496F"/>
    <w:multiLevelType w:val="multilevel"/>
    <w:tmpl w:val="D4FC4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D4F387E"/>
    <w:multiLevelType w:val="multilevel"/>
    <w:tmpl w:val="D5162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2057726"/>
    <w:multiLevelType w:val="multilevel"/>
    <w:tmpl w:val="93CC6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2CC4B49"/>
    <w:multiLevelType w:val="multilevel"/>
    <w:tmpl w:val="E026C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997742A"/>
    <w:multiLevelType w:val="multilevel"/>
    <w:tmpl w:val="747AE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7"/>
  </w:num>
  <w:num w:numId="2">
    <w:abstractNumId w:val="12"/>
  </w:num>
  <w:num w:numId="3">
    <w:abstractNumId w:val="2"/>
  </w:num>
  <w:num w:numId="4">
    <w:abstractNumId w:val="3"/>
  </w:num>
  <w:num w:numId="5">
    <w:abstractNumId w:val="8"/>
  </w:num>
  <w:num w:numId="6">
    <w:abstractNumId w:val="1"/>
  </w:num>
  <w:num w:numId="7">
    <w:abstractNumId w:val="10"/>
  </w:num>
  <w:num w:numId="8">
    <w:abstractNumId w:val="6"/>
  </w:num>
  <w:num w:numId="9">
    <w:abstractNumId w:val="9"/>
  </w:num>
  <w:num w:numId="10">
    <w:abstractNumId w:val="0"/>
  </w:num>
  <w:num w:numId="11">
    <w:abstractNumId w:val="11"/>
  </w:num>
  <w:num w:numId="12">
    <w:abstractNumId w:val="5"/>
  </w:num>
  <w:num w:numId="1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4F12"/>
    <w:rsid w:val="00086CA0"/>
    <w:rsid w:val="00103E14"/>
    <w:rsid w:val="0012623C"/>
    <w:rsid w:val="00134CFE"/>
    <w:rsid w:val="001C7B63"/>
    <w:rsid w:val="001D3217"/>
    <w:rsid w:val="00227E29"/>
    <w:rsid w:val="00231DFA"/>
    <w:rsid w:val="00261694"/>
    <w:rsid w:val="00290AAE"/>
    <w:rsid w:val="002E4EBF"/>
    <w:rsid w:val="0034181C"/>
    <w:rsid w:val="00344B8B"/>
    <w:rsid w:val="003563D7"/>
    <w:rsid w:val="00377FBB"/>
    <w:rsid w:val="003A352E"/>
    <w:rsid w:val="003B769B"/>
    <w:rsid w:val="003E19ED"/>
    <w:rsid w:val="00407B29"/>
    <w:rsid w:val="00414992"/>
    <w:rsid w:val="00436F54"/>
    <w:rsid w:val="00461CF3"/>
    <w:rsid w:val="00470530"/>
    <w:rsid w:val="00473FEB"/>
    <w:rsid w:val="004F6AA7"/>
    <w:rsid w:val="00597410"/>
    <w:rsid w:val="005D41F5"/>
    <w:rsid w:val="0067668F"/>
    <w:rsid w:val="006D6532"/>
    <w:rsid w:val="006D6B1B"/>
    <w:rsid w:val="006E26EC"/>
    <w:rsid w:val="00756B72"/>
    <w:rsid w:val="007A5D24"/>
    <w:rsid w:val="007C3841"/>
    <w:rsid w:val="007E0612"/>
    <w:rsid w:val="00840486"/>
    <w:rsid w:val="00882C71"/>
    <w:rsid w:val="00891A07"/>
    <w:rsid w:val="008A73D5"/>
    <w:rsid w:val="008E4B36"/>
    <w:rsid w:val="009008E2"/>
    <w:rsid w:val="0092351E"/>
    <w:rsid w:val="00936D5C"/>
    <w:rsid w:val="00974775"/>
    <w:rsid w:val="00975B47"/>
    <w:rsid w:val="009D06A6"/>
    <w:rsid w:val="00A01771"/>
    <w:rsid w:val="00A14DFC"/>
    <w:rsid w:val="00A24912"/>
    <w:rsid w:val="00A25AA6"/>
    <w:rsid w:val="00A746EB"/>
    <w:rsid w:val="00A75AF1"/>
    <w:rsid w:val="00AC1B76"/>
    <w:rsid w:val="00B174A1"/>
    <w:rsid w:val="00B275F9"/>
    <w:rsid w:val="00B763B5"/>
    <w:rsid w:val="00BD2E35"/>
    <w:rsid w:val="00C0438C"/>
    <w:rsid w:val="00C205E3"/>
    <w:rsid w:val="00C23328"/>
    <w:rsid w:val="00C46098"/>
    <w:rsid w:val="00C50B7E"/>
    <w:rsid w:val="00C566A0"/>
    <w:rsid w:val="00C6531D"/>
    <w:rsid w:val="00C70E13"/>
    <w:rsid w:val="00C901AA"/>
    <w:rsid w:val="00C91307"/>
    <w:rsid w:val="00CB3D94"/>
    <w:rsid w:val="00D301EB"/>
    <w:rsid w:val="00D37C8E"/>
    <w:rsid w:val="00D57813"/>
    <w:rsid w:val="00D85D78"/>
    <w:rsid w:val="00DA28DA"/>
    <w:rsid w:val="00DC0AF3"/>
    <w:rsid w:val="00DD585A"/>
    <w:rsid w:val="00DE1B0D"/>
    <w:rsid w:val="00E0426D"/>
    <w:rsid w:val="00E45767"/>
    <w:rsid w:val="00E472EF"/>
    <w:rsid w:val="00E70E0F"/>
    <w:rsid w:val="00E74F12"/>
    <w:rsid w:val="00E75221"/>
    <w:rsid w:val="00EB3BAE"/>
    <w:rsid w:val="00ED61CA"/>
    <w:rsid w:val="00F04943"/>
    <w:rsid w:val="00F21385"/>
    <w:rsid w:val="00F247E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67E913"/>
  <w15:chartTrackingRefBased/>
  <w15:docId w15:val="{A2896D52-2637-4AED-9489-BA37398206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E74F12"/>
    <w:pPr>
      <w:ind w:left="720"/>
      <w:contextualSpacing/>
    </w:pPr>
  </w:style>
  <w:style w:type="paragraph" w:styleId="Textonotapie">
    <w:name w:val="footnote text"/>
    <w:basedOn w:val="Normal"/>
    <w:link w:val="TextonotapieCar"/>
    <w:uiPriority w:val="99"/>
    <w:semiHidden/>
    <w:unhideWhenUsed/>
    <w:rsid w:val="00F04943"/>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F04943"/>
    <w:rPr>
      <w:sz w:val="20"/>
      <w:szCs w:val="20"/>
    </w:rPr>
  </w:style>
  <w:style w:type="character" w:styleId="Refdenotaalpie">
    <w:name w:val="footnote reference"/>
    <w:basedOn w:val="Fuentedeprrafopredeter"/>
    <w:uiPriority w:val="99"/>
    <w:semiHidden/>
    <w:unhideWhenUsed/>
    <w:rsid w:val="00F04943"/>
    <w:rPr>
      <w:vertAlign w:val="superscript"/>
    </w:rPr>
  </w:style>
  <w:style w:type="paragraph" w:customStyle="1" w:styleId="font-claude-response-body">
    <w:name w:val="font-claude-response-body"/>
    <w:basedOn w:val="Normal"/>
    <w:rsid w:val="00E70E0F"/>
    <w:pPr>
      <w:spacing w:before="100" w:beforeAutospacing="1" w:after="100" w:afterAutospacing="1" w:line="240" w:lineRule="auto"/>
    </w:pPr>
    <w:rPr>
      <w:rFonts w:ascii="Times New Roman" w:eastAsia="Times New Roman" w:hAnsi="Times New Roman" w:cs="Times New Roman"/>
      <w:sz w:val="24"/>
      <w:szCs w:val="24"/>
      <w:lang w:eastAsia="es-CO"/>
    </w:rPr>
  </w:style>
  <w:style w:type="character" w:styleId="Textoennegrita">
    <w:name w:val="Strong"/>
    <w:basedOn w:val="Fuentedeprrafopredeter"/>
    <w:uiPriority w:val="22"/>
    <w:qFormat/>
    <w:rsid w:val="00E70E0F"/>
    <w:rPr>
      <w:b/>
      <w:bCs/>
    </w:rPr>
  </w:style>
  <w:style w:type="character" w:styleId="nfasis">
    <w:name w:val="Emphasis"/>
    <w:basedOn w:val="Fuentedeprrafopredeter"/>
    <w:uiPriority w:val="20"/>
    <w:qFormat/>
    <w:rsid w:val="00E70E0F"/>
    <w:rPr>
      <w:i/>
      <w:iCs/>
    </w:rPr>
  </w:style>
  <w:style w:type="character" w:customStyle="1" w:styleId="katex-mathml">
    <w:name w:val="katex-mathml"/>
    <w:basedOn w:val="Fuentedeprrafopredeter"/>
    <w:rsid w:val="006D6532"/>
  </w:style>
  <w:style w:type="character" w:customStyle="1" w:styleId="mord">
    <w:name w:val="mord"/>
    <w:basedOn w:val="Fuentedeprrafopredeter"/>
    <w:rsid w:val="006D653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69411304">
      <w:bodyDiv w:val="1"/>
      <w:marLeft w:val="0"/>
      <w:marRight w:val="0"/>
      <w:marTop w:val="0"/>
      <w:marBottom w:val="0"/>
      <w:divBdr>
        <w:top w:val="none" w:sz="0" w:space="0" w:color="auto"/>
        <w:left w:val="none" w:sz="0" w:space="0" w:color="auto"/>
        <w:bottom w:val="none" w:sz="0" w:space="0" w:color="auto"/>
        <w:right w:val="none" w:sz="0" w:space="0" w:color="auto"/>
      </w:divBdr>
      <w:divsChild>
        <w:div w:id="15218916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716314">
      <w:bodyDiv w:val="1"/>
      <w:marLeft w:val="0"/>
      <w:marRight w:val="0"/>
      <w:marTop w:val="0"/>
      <w:marBottom w:val="0"/>
      <w:divBdr>
        <w:top w:val="none" w:sz="0" w:space="0" w:color="auto"/>
        <w:left w:val="none" w:sz="0" w:space="0" w:color="auto"/>
        <w:bottom w:val="none" w:sz="0" w:space="0" w:color="auto"/>
        <w:right w:val="none" w:sz="0" w:space="0" w:color="auto"/>
      </w:divBdr>
    </w:div>
    <w:div w:id="204217506">
      <w:bodyDiv w:val="1"/>
      <w:marLeft w:val="0"/>
      <w:marRight w:val="0"/>
      <w:marTop w:val="0"/>
      <w:marBottom w:val="0"/>
      <w:divBdr>
        <w:top w:val="none" w:sz="0" w:space="0" w:color="auto"/>
        <w:left w:val="none" w:sz="0" w:space="0" w:color="auto"/>
        <w:bottom w:val="none" w:sz="0" w:space="0" w:color="auto"/>
        <w:right w:val="none" w:sz="0" w:space="0" w:color="auto"/>
      </w:divBdr>
      <w:divsChild>
        <w:div w:id="1401900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7828001">
      <w:bodyDiv w:val="1"/>
      <w:marLeft w:val="0"/>
      <w:marRight w:val="0"/>
      <w:marTop w:val="0"/>
      <w:marBottom w:val="0"/>
      <w:divBdr>
        <w:top w:val="none" w:sz="0" w:space="0" w:color="auto"/>
        <w:left w:val="none" w:sz="0" w:space="0" w:color="auto"/>
        <w:bottom w:val="none" w:sz="0" w:space="0" w:color="auto"/>
        <w:right w:val="none" w:sz="0" w:space="0" w:color="auto"/>
      </w:divBdr>
    </w:div>
    <w:div w:id="534806066">
      <w:bodyDiv w:val="1"/>
      <w:marLeft w:val="0"/>
      <w:marRight w:val="0"/>
      <w:marTop w:val="0"/>
      <w:marBottom w:val="0"/>
      <w:divBdr>
        <w:top w:val="none" w:sz="0" w:space="0" w:color="auto"/>
        <w:left w:val="none" w:sz="0" w:space="0" w:color="auto"/>
        <w:bottom w:val="none" w:sz="0" w:space="0" w:color="auto"/>
        <w:right w:val="none" w:sz="0" w:space="0" w:color="auto"/>
      </w:divBdr>
      <w:divsChild>
        <w:div w:id="17577460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7548804">
      <w:bodyDiv w:val="1"/>
      <w:marLeft w:val="0"/>
      <w:marRight w:val="0"/>
      <w:marTop w:val="0"/>
      <w:marBottom w:val="0"/>
      <w:divBdr>
        <w:top w:val="none" w:sz="0" w:space="0" w:color="auto"/>
        <w:left w:val="none" w:sz="0" w:space="0" w:color="auto"/>
        <w:bottom w:val="none" w:sz="0" w:space="0" w:color="auto"/>
        <w:right w:val="none" w:sz="0" w:space="0" w:color="auto"/>
      </w:divBdr>
    </w:div>
    <w:div w:id="545265151">
      <w:bodyDiv w:val="1"/>
      <w:marLeft w:val="0"/>
      <w:marRight w:val="0"/>
      <w:marTop w:val="0"/>
      <w:marBottom w:val="0"/>
      <w:divBdr>
        <w:top w:val="none" w:sz="0" w:space="0" w:color="auto"/>
        <w:left w:val="none" w:sz="0" w:space="0" w:color="auto"/>
        <w:bottom w:val="none" w:sz="0" w:space="0" w:color="auto"/>
        <w:right w:val="none" w:sz="0" w:space="0" w:color="auto"/>
      </w:divBdr>
    </w:div>
    <w:div w:id="1084690414">
      <w:bodyDiv w:val="1"/>
      <w:marLeft w:val="0"/>
      <w:marRight w:val="0"/>
      <w:marTop w:val="0"/>
      <w:marBottom w:val="0"/>
      <w:divBdr>
        <w:top w:val="none" w:sz="0" w:space="0" w:color="auto"/>
        <w:left w:val="none" w:sz="0" w:space="0" w:color="auto"/>
        <w:bottom w:val="none" w:sz="0" w:space="0" w:color="auto"/>
        <w:right w:val="none" w:sz="0" w:space="0" w:color="auto"/>
      </w:divBdr>
    </w:div>
    <w:div w:id="1174806420">
      <w:bodyDiv w:val="1"/>
      <w:marLeft w:val="0"/>
      <w:marRight w:val="0"/>
      <w:marTop w:val="0"/>
      <w:marBottom w:val="0"/>
      <w:divBdr>
        <w:top w:val="none" w:sz="0" w:space="0" w:color="auto"/>
        <w:left w:val="none" w:sz="0" w:space="0" w:color="auto"/>
        <w:bottom w:val="none" w:sz="0" w:space="0" w:color="auto"/>
        <w:right w:val="none" w:sz="0" w:space="0" w:color="auto"/>
      </w:divBdr>
    </w:div>
    <w:div w:id="1184367484">
      <w:bodyDiv w:val="1"/>
      <w:marLeft w:val="0"/>
      <w:marRight w:val="0"/>
      <w:marTop w:val="0"/>
      <w:marBottom w:val="0"/>
      <w:divBdr>
        <w:top w:val="none" w:sz="0" w:space="0" w:color="auto"/>
        <w:left w:val="none" w:sz="0" w:space="0" w:color="auto"/>
        <w:bottom w:val="none" w:sz="0" w:space="0" w:color="auto"/>
        <w:right w:val="none" w:sz="0" w:space="0" w:color="auto"/>
      </w:divBdr>
      <w:divsChild>
        <w:div w:id="416681817">
          <w:marLeft w:val="0"/>
          <w:marRight w:val="0"/>
          <w:marTop w:val="0"/>
          <w:marBottom w:val="0"/>
          <w:divBdr>
            <w:top w:val="none" w:sz="0" w:space="0" w:color="auto"/>
            <w:left w:val="none" w:sz="0" w:space="0" w:color="auto"/>
            <w:bottom w:val="none" w:sz="0" w:space="0" w:color="auto"/>
            <w:right w:val="none" w:sz="0" w:space="0" w:color="auto"/>
          </w:divBdr>
          <w:divsChild>
            <w:div w:id="1947537279">
              <w:marLeft w:val="0"/>
              <w:marRight w:val="0"/>
              <w:marTop w:val="0"/>
              <w:marBottom w:val="0"/>
              <w:divBdr>
                <w:top w:val="none" w:sz="0" w:space="0" w:color="auto"/>
                <w:left w:val="none" w:sz="0" w:space="0" w:color="auto"/>
                <w:bottom w:val="none" w:sz="0" w:space="0" w:color="auto"/>
                <w:right w:val="none" w:sz="0" w:space="0" w:color="auto"/>
              </w:divBdr>
              <w:divsChild>
                <w:div w:id="46759437">
                  <w:marLeft w:val="0"/>
                  <w:marRight w:val="0"/>
                  <w:marTop w:val="0"/>
                  <w:marBottom w:val="0"/>
                  <w:divBdr>
                    <w:top w:val="none" w:sz="0" w:space="0" w:color="auto"/>
                    <w:left w:val="none" w:sz="0" w:space="0" w:color="auto"/>
                    <w:bottom w:val="none" w:sz="0" w:space="0" w:color="auto"/>
                    <w:right w:val="none" w:sz="0" w:space="0" w:color="auto"/>
                  </w:divBdr>
                  <w:divsChild>
                    <w:div w:id="1317412603">
                      <w:marLeft w:val="0"/>
                      <w:marRight w:val="0"/>
                      <w:marTop w:val="0"/>
                      <w:marBottom w:val="0"/>
                      <w:divBdr>
                        <w:top w:val="none" w:sz="0" w:space="0" w:color="auto"/>
                        <w:left w:val="none" w:sz="0" w:space="0" w:color="auto"/>
                        <w:bottom w:val="none" w:sz="0" w:space="0" w:color="auto"/>
                        <w:right w:val="none" w:sz="0" w:space="0" w:color="auto"/>
                      </w:divBdr>
                      <w:divsChild>
                        <w:div w:id="1928615374">
                          <w:marLeft w:val="0"/>
                          <w:marRight w:val="0"/>
                          <w:marTop w:val="0"/>
                          <w:marBottom w:val="0"/>
                          <w:divBdr>
                            <w:top w:val="none" w:sz="0" w:space="0" w:color="auto"/>
                            <w:left w:val="none" w:sz="0" w:space="0" w:color="auto"/>
                            <w:bottom w:val="none" w:sz="0" w:space="0" w:color="auto"/>
                            <w:right w:val="none" w:sz="0" w:space="0" w:color="auto"/>
                          </w:divBdr>
                          <w:divsChild>
                            <w:div w:id="494419098">
                              <w:marLeft w:val="0"/>
                              <w:marRight w:val="0"/>
                              <w:marTop w:val="0"/>
                              <w:marBottom w:val="0"/>
                              <w:divBdr>
                                <w:top w:val="none" w:sz="0" w:space="0" w:color="auto"/>
                                <w:left w:val="none" w:sz="0" w:space="0" w:color="auto"/>
                                <w:bottom w:val="none" w:sz="0" w:space="0" w:color="auto"/>
                                <w:right w:val="none" w:sz="0" w:space="0" w:color="auto"/>
                              </w:divBdr>
                              <w:divsChild>
                                <w:div w:id="455874369">
                                  <w:marLeft w:val="0"/>
                                  <w:marRight w:val="0"/>
                                  <w:marTop w:val="0"/>
                                  <w:marBottom w:val="0"/>
                                  <w:divBdr>
                                    <w:top w:val="none" w:sz="0" w:space="0" w:color="auto"/>
                                    <w:left w:val="none" w:sz="0" w:space="0" w:color="auto"/>
                                    <w:bottom w:val="none" w:sz="0" w:space="0" w:color="auto"/>
                                    <w:right w:val="none" w:sz="0" w:space="0" w:color="auto"/>
                                  </w:divBdr>
                                  <w:divsChild>
                                    <w:div w:id="982587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5565933">
                      <w:marLeft w:val="0"/>
                      <w:marRight w:val="0"/>
                      <w:marTop w:val="0"/>
                      <w:marBottom w:val="0"/>
                      <w:divBdr>
                        <w:top w:val="none" w:sz="0" w:space="0" w:color="auto"/>
                        <w:left w:val="none" w:sz="0" w:space="0" w:color="auto"/>
                        <w:bottom w:val="none" w:sz="0" w:space="0" w:color="auto"/>
                        <w:right w:val="none" w:sz="0" w:space="0" w:color="auto"/>
                      </w:divBdr>
                      <w:divsChild>
                        <w:div w:id="1906380471">
                          <w:marLeft w:val="0"/>
                          <w:marRight w:val="0"/>
                          <w:marTop w:val="0"/>
                          <w:marBottom w:val="0"/>
                          <w:divBdr>
                            <w:top w:val="none" w:sz="0" w:space="0" w:color="auto"/>
                            <w:left w:val="none" w:sz="0" w:space="0" w:color="auto"/>
                            <w:bottom w:val="none" w:sz="0" w:space="0" w:color="auto"/>
                            <w:right w:val="none" w:sz="0" w:space="0" w:color="auto"/>
                          </w:divBdr>
                          <w:divsChild>
                            <w:div w:id="1772508846">
                              <w:marLeft w:val="0"/>
                              <w:marRight w:val="0"/>
                              <w:marTop w:val="0"/>
                              <w:marBottom w:val="0"/>
                              <w:divBdr>
                                <w:top w:val="none" w:sz="0" w:space="0" w:color="auto"/>
                                <w:left w:val="none" w:sz="0" w:space="0" w:color="auto"/>
                                <w:bottom w:val="none" w:sz="0" w:space="0" w:color="auto"/>
                                <w:right w:val="none" w:sz="0" w:space="0" w:color="auto"/>
                              </w:divBdr>
                              <w:divsChild>
                                <w:div w:id="508494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819920">
      <w:bodyDiv w:val="1"/>
      <w:marLeft w:val="0"/>
      <w:marRight w:val="0"/>
      <w:marTop w:val="0"/>
      <w:marBottom w:val="0"/>
      <w:divBdr>
        <w:top w:val="none" w:sz="0" w:space="0" w:color="auto"/>
        <w:left w:val="none" w:sz="0" w:space="0" w:color="auto"/>
        <w:bottom w:val="none" w:sz="0" w:space="0" w:color="auto"/>
        <w:right w:val="none" w:sz="0" w:space="0" w:color="auto"/>
      </w:divBdr>
    </w:div>
    <w:div w:id="1703284634">
      <w:bodyDiv w:val="1"/>
      <w:marLeft w:val="0"/>
      <w:marRight w:val="0"/>
      <w:marTop w:val="0"/>
      <w:marBottom w:val="0"/>
      <w:divBdr>
        <w:top w:val="none" w:sz="0" w:space="0" w:color="auto"/>
        <w:left w:val="none" w:sz="0" w:space="0" w:color="auto"/>
        <w:bottom w:val="none" w:sz="0" w:space="0" w:color="auto"/>
        <w:right w:val="none" w:sz="0" w:space="0" w:color="auto"/>
      </w:divBdr>
    </w:div>
    <w:div w:id="1735810873">
      <w:bodyDiv w:val="1"/>
      <w:marLeft w:val="0"/>
      <w:marRight w:val="0"/>
      <w:marTop w:val="0"/>
      <w:marBottom w:val="0"/>
      <w:divBdr>
        <w:top w:val="none" w:sz="0" w:space="0" w:color="auto"/>
        <w:left w:val="none" w:sz="0" w:space="0" w:color="auto"/>
        <w:bottom w:val="none" w:sz="0" w:space="0" w:color="auto"/>
        <w:right w:val="none" w:sz="0" w:space="0" w:color="auto"/>
      </w:divBdr>
    </w:div>
    <w:div w:id="1874153268">
      <w:bodyDiv w:val="1"/>
      <w:marLeft w:val="0"/>
      <w:marRight w:val="0"/>
      <w:marTop w:val="0"/>
      <w:marBottom w:val="0"/>
      <w:divBdr>
        <w:top w:val="none" w:sz="0" w:space="0" w:color="auto"/>
        <w:left w:val="none" w:sz="0" w:space="0" w:color="auto"/>
        <w:bottom w:val="none" w:sz="0" w:space="0" w:color="auto"/>
        <w:right w:val="none" w:sz="0" w:space="0" w:color="auto"/>
      </w:divBdr>
    </w:div>
    <w:div w:id="1965457357">
      <w:bodyDiv w:val="1"/>
      <w:marLeft w:val="0"/>
      <w:marRight w:val="0"/>
      <w:marTop w:val="0"/>
      <w:marBottom w:val="0"/>
      <w:divBdr>
        <w:top w:val="none" w:sz="0" w:space="0" w:color="auto"/>
        <w:left w:val="none" w:sz="0" w:space="0" w:color="auto"/>
        <w:bottom w:val="none" w:sz="0" w:space="0" w:color="auto"/>
        <w:right w:val="none" w:sz="0" w:space="0" w:color="auto"/>
      </w:divBdr>
    </w:div>
    <w:div w:id="20298717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C9DCDD-F029-4510-B11D-CB4FA2E41F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3890</TotalTime>
  <Pages>12</Pages>
  <Words>3558</Words>
  <Characters>19572</Characters>
  <Application>Microsoft Office Word</Application>
  <DocSecurity>0</DocSecurity>
  <Lines>163</Lines>
  <Paragraphs>46</Paragraphs>
  <ScaleCrop>false</ScaleCrop>
  <HeadingPairs>
    <vt:vector size="2" baseType="variant">
      <vt:variant>
        <vt:lpstr>Título</vt:lpstr>
      </vt:variant>
      <vt:variant>
        <vt:i4>1</vt:i4>
      </vt:variant>
    </vt:vector>
  </HeadingPairs>
  <TitlesOfParts>
    <vt:vector size="1" baseType="lpstr">
      <vt:lpstr/>
    </vt:vector>
  </TitlesOfParts>
  <Company>Javeriana Cali</Company>
  <LinksUpToDate>false</LinksUpToDate>
  <CharactersWithSpaces>23084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Sergio Barona</dc:creator>
  <cp:keywords/>
  <dc:description/>
  <cp:lastModifiedBy>Sergio Alejandro Barona Montoya</cp:lastModifiedBy>
  <cp:revision>8</cp:revision>
  <dcterms:created xsi:type="dcterms:W3CDTF">2026-06-15T01:12:00Z</dcterms:created>
  <dcterms:modified xsi:type="dcterms:W3CDTF">2026-06-24T16:06:00Z</dcterms:modified>
</cp:coreProperties>
</file>