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6F68" w14:textId="10C6092D" w:rsidR="001C76F7" w:rsidRPr="001C76F7" w:rsidRDefault="001C76F7" w:rsidP="001C76F7">
      <w:pPr>
        <w:pStyle w:val="Ttulo"/>
        <w:spacing w:before="0" w:line="242" w:lineRule="auto"/>
        <w:ind w:left="-567" w:right="-568"/>
        <w:rPr>
          <w:sz w:val="40"/>
          <w:szCs w:val="40"/>
        </w:rPr>
      </w:pPr>
      <w:bookmarkStart w:id="0" w:name="_Hlk138753322"/>
      <w:r w:rsidRPr="001C76F7">
        <w:rPr>
          <w:sz w:val="40"/>
          <w:szCs w:val="40"/>
        </w:rPr>
        <w:t>Estancia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prolongada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en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unidades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de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cuidados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intensivos:</w:t>
      </w:r>
      <w:r w:rsidRPr="001C76F7">
        <w:rPr>
          <w:spacing w:val="1"/>
          <w:sz w:val="40"/>
          <w:szCs w:val="40"/>
        </w:rPr>
        <w:t xml:space="preserve"> </w:t>
      </w:r>
      <w:r w:rsidRPr="001C76F7">
        <w:rPr>
          <w:sz w:val="40"/>
          <w:szCs w:val="40"/>
        </w:rPr>
        <w:t>análisis</w:t>
      </w:r>
      <w:r w:rsidRPr="001C76F7">
        <w:rPr>
          <w:spacing w:val="3"/>
          <w:sz w:val="40"/>
          <w:szCs w:val="40"/>
        </w:rPr>
        <w:t xml:space="preserve"> </w:t>
      </w:r>
      <w:r w:rsidRPr="001C76F7">
        <w:rPr>
          <w:sz w:val="40"/>
          <w:szCs w:val="40"/>
        </w:rPr>
        <w:t>de</w:t>
      </w:r>
      <w:r w:rsidRPr="001C76F7">
        <w:rPr>
          <w:spacing w:val="2"/>
          <w:sz w:val="40"/>
          <w:szCs w:val="40"/>
        </w:rPr>
        <w:t xml:space="preserve"> </w:t>
      </w:r>
      <w:r w:rsidRPr="001C76F7">
        <w:rPr>
          <w:sz w:val="40"/>
          <w:szCs w:val="40"/>
        </w:rPr>
        <w:t>supervivencia</w:t>
      </w:r>
      <w:r w:rsidRPr="001C76F7">
        <w:rPr>
          <w:spacing w:val="2"/>
          <w:sz w:val="40"/>
          <w:szCs w:val="40"/>
        </w:rPr>
        <w:t xml:space="preserve"> </w:t>
      </w:r>
      <w:r w:rsidRPr="001C76F7">
        <w:rPr>
          <w:sz w:val="40"/>
          <w:szCs w:val="40"/>
        </w:rPr>
        <w:t>para</w:t>
      </w:r>
      <w:r w:rsidRPr="001C76F7">
        <w:rPr>
          <w:spacing w:val="3"/>
          <w:sz w:val="40"/>
          <w:szCs w:val="40"/>
        </w:rPr>
        <w:t xml:space="preserve"> </w:t>
      </w:r>
      <w:r w:rsidRPr="001C76F7">
        <w:rPr>
          <w:sz w:val="40"/>
          <w:szCs w:val="40"/>
        </w:rPr>
        <w:t>pacientes</w:t>
      </w:r>
      <w:r w:rsidRPr="001C76F7">
        <w:rPr>
          <w:spacing w:val="-117"/>
          <w:sz w:val="40"/>
          <w:szCs w:val="40"/>
        </w:rPr>
        <w:t xml:space="preserve"> </w:t>
      </w:r>
      <w:r w:rsidRPr="001C76F7">
        <w:rPr>
          <w:sz w:val="40"/>
          <w:szCs w:val="40"/>
        </w:rPr>
        <w:t>críticos</w:t>
      </w:r>
      <w:r w:rsidRPr="001C76F7">
        <w:rPr>
          <w:spacing w:val="47"/>
          <w:sz w:val="40"/>
          <w:szCs w:val="40"/>
        </w:rPr>
        <w:t xml:space="preserve"> </w:t>
      </w:r>
      <w:r w:rsidRPr="001C76F7">
        <w:rPr>
          <w:sz w:val="40"/>
          <w:szCs w:val="40"/>
        </w:rPr>
        <w:t>crónicos</w:t>
      </w:r>
      <w:r w:rsidRPr="001C76F7">
        <w:rPr>
          <w:spacing w:val="47"/>
          <w:sz w:val="40"/>
          <w:szCs w:val="40"/>
        </w:rPr>
        <w:t xml:space="preserve"> </w:t>
      </w:r>
      <w:r w:rsidRPr="001C76F7">
        <w:rPr>
          <w:sz w:val="40"/>
          <w:szCs w:val="40"/>
        </w:rPr>
        <w:t>con</w:t>
      </w:r>
      <w:r w:rsidRPr="001C76F7">
        <w:rPr>
          <w:spacing w:val="47"/>
          <w:sz w:val="40"/>
          <w:szCs w:val="40"/>
        </w:rPr>
        <w:t xml:space="preserve"> </w:t>
      </w:r>
      <w:r w:rsidRPr="001C76F7">
        <w:rPr>
          <w:sz w:val="40"/>
          <w:szCs w:val="40"/>
        </w:rPr>
        <w:t>COVID-19</w:t>
      </w:r>
    </w:p>
    <w:p w14:paraId="397D072C" w14:textId="0C8907FE" w:rsidR="001C76F7" w:rsidRPr="001C76F7" w:rsidRDefault="001C76F7" w:rsidP="001C76F7">
      <w:pPr>
        <w:spacing w:before="287" w:after="160" w:line="264" w:lineRule="exact"/>
        <w:ind w:left="2268" w:right="1133"/>
        <w:rPr>
          <w:rFonts w:ascii="Cambria" w:hAnsi="Cambria"/>
          <w:w w:val="105"/>
          <w:position w:val="8"/>
          <w:sz w:val="16"/>
        </w:rPr>
      </w:pPr>
      <w:r>
        <w:rPr>
          <w:w w:val="105"/>
          <w:sz w:val="22"/>
        </w:rPr>
        <w:t>Autor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1</w:t>
      </w:r>
      <w:r>
        <w:rPr>
          <w:spacing w:val="22"/>
          <w:w w:val="105"/>
          <w:sz w:val="22"/>
        </w:rPr>
        <w:t xml:space="preserve"> </w:t>
      </w:r>
      <w:r>
        <w:rPr>
          <w:rFonts w:ascii="Cambria" w:hAnsi="Cambria"/>
          <w:w w:val="105"/>
          <w:position w:val="8"/>
          <w:sz w:val="16"/>
        </w:rPr>
        <w:t>∗</w:t>
      </w:r>
      <w:r>
        <w:rPr>
          <w:w w:val="105"/>
          <w:sz w:val="22"/>
        </w:rPr>
        <w:t>,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Autor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2</w:t>
      </w:r>
      <w:r>
        <w:rPr>
          <w:spacing w:val="21"/>
          <w:w w:val="105"/>
          <w:sz w:val="22"/>
        </w:rPr>
        <w:t xml:space="preserve"> </w:t>
      </w:r>
      <w:r>
        <w:rPr>
          <w:rFonts w:ascii="Cambria" w:hAnsi="Cambria"/>
          <w:w w:val="105"/>
          <w:position w:val="8"/>
          <w:sz w:val="16"/>
        </w:rPr>
        <w:t>†</w:t>
      </w:r>
      <w:r>
        <w:rPr>
          <w:w w:val="105"/>
          <w:sz w:val="22"/>
        </w:rPr>
        <w:t>,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Sergio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A.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Barona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M.</w:t>
      </w:r>
      <w:r>
        <w:rPr>
          <w:rFonts w:ascii="Cambria" w:hAnsi="Cambria"/>
          <w:w w:val="105"/>
          <w:position w:val="8"/>
          <w:sz w:val="16"/>
        </w:rPr>
        <w:t>‡</w:t>
      </w:r>
    </w:p>
    <w:p w14:paraId="76143B5D" w14:textId="45449394" w:rsidR="001C76F7" w:rsidRDefault="001C76F7" w:rsidP="001C76F7">
      <w:pPr>
        <w:pStyle w:val="Textoindependiente"/>
        <w:spacing w:line="235" w:lineRule="exact"/>
        <w:ind w:left="0" w:hanging="142"/>
        <w:jc w:val="center"/>
      </w:pPr>
      <w:r>
        <w:rPr>
          <w:rFonts w:ascii="Cambria" w:hAnsi="Cambria"/>
          <w:w w:val="105"/>
          <w:position w:val="7"/>
          <w:sz w:val="16"/>
        </w:rPr>
        <w:t>∗</w:t>
      </w:r>
      <w:r>
        <w:rPr>
          <w:rFonts w:ascii="Cambria" w:hAnsi="Cambria"/>
          <w:spacing w:val="28"/>
          <w:w w:val="105"/>
          <w:position w:val="7"/>
          <w:sz w:val="16"/>
        </w:rPr>
        <w:t xml:space="preserve"> </w:t>
      </w:r>
      <w:r>
        <w:rPr>
          <w:w w:val="105"/>
        </w:rPr>
        <w:t>Departamento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Ciencias</w:t>
      </w:r>
      <w:r>
        <w:rPr>
          <w:spacing w:val="36"/>
          <w:w w:val="105"/>
        </w:rPr>
        <w:t xml:space="preserve"> </w:t>
      </w:r>
      <w:r>
        <w:rPr>
          <w:w w:val="105"/>
        </w:rPr>
        <w:t>Naturales</w:t>
      </w:r>
      <w:r>
        <w:rPr>
          <w:spacing w:val="36"/>
          <w:w w:val="105"/>
        </w:rPr>
        <w:t xml:space="preserve"> </w:t>
      </w:r>
      <w:r>
        <w:rPr>
          <w:w w:val="105"/>
        </w:rPr>
        <w:t>y</w:t>
      </w:r>
      <w:r>
        <w:rPr>
          <w:spacing w:val="37"/>
          <w:w w:val="105"/>
        </w:rPr>
        <w:t xml:space="preserve"> </w:t>
      </w:r>
      <w:r>
        <w:rPr>
          <w:w w:val="105"/>
        </w:rPr>
        <w:t>Matemáticas,</w:t>
      </w:r>
      <w:r>
        <w:rPr>
          <w:spacing w:val="36"/>
          <w:w w:val="105"/>
        </w:rPr>
        <w:t xml:space="preserve"> </w:t>
      </w:r>
      <w:r>
        <w:rPr>
          <w:w w:val="105"/>
        </w:rPr>
        <w:t>Pontificia</w:t>
      </w:r>
      <w:r>
        <w:rPr>
          <w:spacing w:val="36"/>
          <w:w w:val="105"/>
        </w:rPr>
        <w:t xml:space="preserve"> </w:t>
      </w:r>
      <w:r>
        <w:rPr>
          <w:w w:val="105"/>
        </w:rPr>
        <w:t>Universidad</w:t>
      </w:r>
      <w:r>
        <w:rPr>
          <w:spacing w:val="36"/>
          <w:w w:val="105"/>
        </w:rPr>
        <w:t xml:space="preserve"> </w:t>
      </w:r>
      <w:r>
        <w:rPr>
          <w:w w:val="105"/>
        </w:rPr>
        <w:t>Javeriana</w:t>
      </w:r>
      <w:r>
        <w:rPr>
          <w:spacing w:val="36"/>
          <w:w w:val="105"/>
        </w:rPr>
        <w:t xml:space="preserve"> </w:t>
      </w:r>
      <w:r>
        <w:rPr>
          <w:w w:val="105"/>
        </w:rPr>
        <w:t>—</w:t>
      </w:r>
      <w:r>
        <w:rPr>
          <w:spacing w:val="37"/>
          <w:w w:val="105"/>
        </w:rPr>
        <w:t xml:space="preserve"> </w:t>
      </w:r>
      <w:r>
        <w:rPr>
          <w:w w:val="105"/>
        </w:rPr>
        <w:t>Cali</w:t>
      </w:r>
    </w:p>
    <w:p w14:paraId="01366656" w14:textId="77777777" w:rsidR="001C76F7" w:rsidRDefault="001C76F7" w:rsidP="001C76F7">
      <w:pPr>
        <w:pStyle w:val="Textoindependiente"/>
        <w:spacing w:line="236" w:lineRule="exact"/>
        <w:ind w:left="0" w:hanging="142"/>
        <w:jc w:val="center"/>
      </w:pPr>
      <w:r>
        <w:rPr>
          <w:rFonts w:ascii="Cambria" w:hAnsi="Cambria"/>
          <w:position w:val="7"/>
          <w:sz w:val="16"/>
        </w:rPr>
        <w:t>†</w:t>
      </w:r>
      <w:r>
        <w:t>Departamento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Ciencias</w:t>
      </w:r>
      <w:r>
        <w:rPr>
          <w:spacing w:val="2"/>
        </w:rPr>
        <w:t xml:space="preserve"> </w:t>
      </w:r>
      <w:r>
        <w:t>Naturales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Matemáticas,</w:t>
      </w:r>
      <w:r>
        <w:rPr>
          <w:spacing w:val="1"/>
        </w:rPr>
        <w:t xml:space="preserve"> </w:t>
      </w:r>
      <w:r>
        <w:t>Pontificia</w:t>
      </w:r>
      <w:r>
        <w:rPr>
          <w:spacing w:val="2"/>
        </w:rPr>
        <w:t xml:space="preserve"> </w:t>
      </w:r>
      <w:r>
        <w:t>Universidad</w:t>
      </w:r>
      <w:r>
        <w:rPr>
          <w:spacing w:val="2"/>
        </w:rPr>
        <w:t xml:space="preserve"> </w:t>
      </w:r>
      <w:r>
        <w:t>Javeriana</w:t>
      </w:r>
      <w:r>
        <w:rPr>
          <w:spacing w:val="2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t>Cali</w:t>
      </w:r>
    </w:p>
    <w:p w14:paraId="1F0094FC" w14:textId="77777777" w:rsidR="001C76F7" w:rsidRDefault="001C76F7" w:rsidP="001C76F7">
      <w:pPr>
        <w:pStyle w:val="Textoindependiente"/>
        <w:spacing w:line="251" w:lineRule="exact"/>
        <w:ind w:left="0" w:hanging="142"/>
        <w:jc w:val="center"/>
      </w:pPr>
      <w:r>
        <w:rPr>
          <w:rFonts w:ascii="Cambria" w:hAnsi="Cambria"/>
          <w:position w:val="7"/>
          <w:sz w:val="16"/>
        </w:rPr>
        <w:t>‡</w:t>
      </w:r>
      <w:r>
        <w:rPr>
          <w:rFonts w:ascii="Cambria" w:hAnsi="Cambria"/>
          <w:spacing w:val="23"/>
          <w:position w:val="7"/>
          <w:sz w:val="16"/>
        </w:rPr>
        <w:t xml:space="preserve"> </w:t>
      </w:r>
      <w:r>
        <w:t>Departamento</w:t>
      </w:r>
      <w:r>
        <w:rPr>
          <w:spacing w:val="-1"/>
        </w:rPr>
        <w:t xml:space="preserve"> </w:t>
      </w:r>
      <w:r>
        <w:t>de Economía,</w:t>
      </w:r>
      <w:r>
        <w:rPr>
          <w:spacing w:val="-1"/>
        </w:rPr>
        <w:t xml:space="preserve"> </w:t>
      </w:r>
      <w:r>
        <w:t>Pontificia Universidad</w:t>
      </w:r>
      <w:r>
        <w:rPr>
          <w:spacing w:val="-1"/>
        </w:rPr>
        <w:t xml:space="preserve"> </w:t>
      </w:r>
      <w:r>
        <w:t>Javeriana —</w:t>
      </w:r>
      <w:r>
        <w:rPr>
          <w:spacing w:val="-1"/>
        </w:rPr>
        <w:t xml:space="preserve"> </w:t>
      </w:r>
      <w:r>
        <w:t>Cali</w:t>
      </w:r>
    </w:p>
    <w:p w14:paraId="3451648F" w14:textId="77777777" w:rsidR="001C76F7" w:rsidRDefault="001C76F7" w:rsidP="001C76F7">
      <w:pPr>
        <w:pStyle w:val="Textoindependiente"/>
        <w:spacing w:line="251" w:lineRule="exact"/>
        <w:ind w:left="0" w:hanging="142"/>
        <w:jc w:val="center"/>
      </w:pPr>
    </w:p>
    <w:p w14:paraId="0E429B6A" w14:textId="063C8C28" w:rsidR="001C76F7" w:rsidRDefault="001C76F7" w:rsidP="001C76F7">
      <w:pPr>
        <w:pStyle w:val="Textoindependiente"/>
        <w:spacing w:line="251" w:lineRule="exact"/>
        <w:ind w:left="-142" w:firstLine="284"/>
        <w:rPr>
          <w:b/>
          <w:bCs/>
          <w:sz w:val="24"/>
          <w:szCs w:val="24"/>
        </w:rPr>
      </w:pPr>
      <w:r w:rsidRPr="00873135">
        <w:rPr>
          <w:b/>
          <w:bCs/>
          <w:sz w:val="24"/>
          <w:szCs w:val="24"/>
        </w:rPr>
        <w:t xml:space="preserve">Resumen: </w:t>
      </w:r>
    </w:p>
    <w:p w14:paraId="7F7F0D29" w14:textId="77777777" w:rsidR="00AD1BFC" w:rsidRPr="00873135" w:rsidRDefault="00AD1BFC" w:rsidP="001C76F7">
      <w:pPr>
        <w:pStyle w:val="Textoindependiente"/>
        <w:spacing w:line="251" w:lineRule="exact"/>
        <w:ind w:left="-142" w:firstLine="284"/>
        <w:rPr>
          <w:sz w:val="24"/>
          <w:szCs w:val="24"/>
          <w:lang w:val="fr-FR"/>
        </w:rPr>
      </w:pPr>
    </w:p>
    <w:p w14:paraId="13357969" w14:textId="77777777" w:rsidR="001C76F7" w:rsidRPr="00873135" w:rsidRDefault="001C76F7" w:rsidP="001C76F7">
      <w:pPr>
        <w:pStyle w:val="Textoindependiente"/>
        <w:spacing w:line="251" w:lineRule="exact"/>
        <w:ind w:left="-142" w:firstLine="284"/>
        <w:rPr>
          <w:b/>
          <w:bCs/>
          <w:sz w:val="24"/>
          <w:szCs w:val="24"/>
          <w:lang w:val="fr-FR"/>
        </w:rPr>
      </w:pPr>
    </w:p>
    <w:p w14:paraId="4E7A645A" w14:textId="4560FA2F" w:rsidR="00873135" w:rsidRPr="00AD1BFC" w:rsidRDefault="001C76F7" w:rsidP="00AD1BFC">
      <w:pPr>
        <w:pStyle w:val="Textoindependiente"/>
        <w:numPr>
          <w:ilvl w:val="0"/>
          <w:numId w:val="3"/>
        </w:numPr>
        <w:spacing w:line="251" w:lineRule="exact"/>
        <w:rPr>
          <w:b/>
          <w:bCs/>
          <w:sz w:val="24"/>
          <w:szCs w:val="24"/>
          <w:lang w:val="fr-FR"/>
        </w:rPr>
      </w:pPr>
      <w:r w:rsidRPr="00873135">
        <w:rPr>
          <w:b/>
          <w:bCs/>
          <w:sz w:val="24"/>
          <w:szCs w:val="24"/>
        </w:rPr>
        <w:t>Introducción</w:t>
      </w:r>
    </w:p>
    <w:p w14:paraId="304A7496" w14:textId="77777777" w:rsid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  <w:lang w:val="fr-FR"/>
        </w:rPr>
      </w:pPr>
    </w:p>
    <w:p w14:paraId="2404609B" w14:textId="5F289FF5" w:rsidR="00AD1BFC" w:rsidRPr="00191754" w:rsidRDefault="00AD1BFC" w:rsidP="00AD1BFC">
      <w:pPr>
        <w:pStyle w:val="Textoindependiente"/>
        <w:spacing w:line="251" w:lineRule="exact"/>
        <w:ind w:left="142" w:firstLine="284"/>
        <w:rPr>
          <w:w w:val="100"/>
          <w:sz w:val="22"/>
          <w:szCs w:val="22"/>
        </w:rPr>
      </w:pPr>
      <w:r w:rsidRPr="00191754">
        <w:rPr>
          <w:w w:val="100"/>
          <w:sz w:val="22"/>
          <w:szCs w:val="22"/>
        </w:rPr>
        <w:t>Los sistemas de salud enfrentaron una presión extrema a consecuencia de la emergencia sanitaria por la pandemia de COVID-19. A medida que el número de casos incrementaba, los sistemas de salud padecieron no sólo la escasez de pruebas de detección, equipos de protección y personal médico; sino, además, la escasez de recursos de cuidados intensivos, en especial, de tecnología para el soporte ventilatorio prolongado en pacientes con fallas respiratorias severas y de camas disponibles en Unidades de Cuidados Intensivos (UCI) [</w:t>
      </w:r>
      <w:r w:rsidRPr="00191754">
        <w:rPr>
          <w:color w:val="00B0F0"/>
          <w:w w:val="100"/>
          <w:sz w:val="22"/>
          <w:szCs w:val="22"/>
        </w:rPr>
        <w:t>3 - 7</w:t>
      </w:r>
      <w:r w:rsidRPr="00191754">
        <w:rPr>
          <w:w w:val="100"/>
          <w:sz w:val="22"/>
          <w:szCs w:val="22"/>
        </w:rPr>
        <w:t>]. La presión sobre la disponibilidad de recursos de cuidados intensivos fue subsanada mediante dos tipos de medidas: primero, el control del crecimiento exponencial de los casos de COVID-19 [</w:t>
      </w:r>
      <w:r w:rsidRPr="00191754">
        <w:rPr>
          <w:color w:val="00B0F0"/>
          <w:w w:val="100"/>
          <w:sz w:val="22"/>
          <w:szCs w:val="22"/>
        </w:rPr>
        <w:t>8</w:t>
      </w:r>
      <w:r w:rsidRPr="00191754">
        <w:rPr>
          <w:w w:val="100"/>
          <w:sz w:val="22"/>
          <w:szCs w:val="22"/>
        </w:rPr>
        <w:t>]; y segundo, la expansión de la capacidad y la asignación de los recursos escasos según medidas según medidas de priorización y racionamiento, ya sea mediante el triaje médico fundamentado en la severidad de la enfermedad, ya sea mediante la selección a priori basada en la probabilidad de eficacia del tratamiento [</w:t>
      </w:r>
      <w:r w:rsidRPr="00191754">
        <w:rPr>
          <w:color w:val="00B0F0"/>
          <w:w w:val="100"/>
          <w:sz w:val="22"/>
          <w:szCs w:val="22"/>
        </w:rPr>
        <w:t>9</w:t>
      </w:r>
      <w:r w:rsidRPr="00191754">
        <w:rPr>
          <w:w w:val="100"/>
          <w:sz w:val="22"/>
          <w:szCs w:val="22"/>
        </w:rPr>
        <w:t>].</w:t>
      </w:r>
    </w:p>
    <w:p w14:paraId="647B2095" w14:textId="77777777" w:rsidR="00AD1BFC" w:rsidRDefault="00AD1BFC" w:rsidP="00AD1BFC">
      <w:pPr>
        <w:pStyle w:val="Textoindependiente"/>
        <w:spacing w:line="251" w:lineRule="exact"/>
        <w:ind w:left="142" w:firstLine="284"/>
        <w:rPr>
          <w:sz w:val="22"/>
          <w:szCs w:val="22"/>
        </w:rPr>
      </w:pPr>
    </w:p>
    <w:p w14:paraId="0EADD206" w14:textId="13081017" w:rsidR="00593647" w:rsidRPr="00191754" w:rsidRDefault="00AD1BFC" w:rsidP="0058637A">
      <w:pPr>
        <w:pStyle w:val="Textoindependiente"/>
        <w:spacing w:line="251" w:lineRule="exact"/>
        <w:ind w:left="142" w:firstLine="284"/>
        <w:rPr>
          <w:w w:val="100"/>
          <w:sz w:val="22"/>
          <w:szCs w:val="22"/>
        </w:rPr>
      </w:pPr>
      <w:r w:rsidRPr="00191754">
        <w:rPr>
          <w:w w:val="100"/>
          <w:sz w:val="22"/>
          <w:szCs w:val="22"/>
        </w:rPr>
        <w:t xml:space="preserve">La </w:t>
      </w:r>
      <w:r w:rsidR="00E57291" w:rsidRPr="00191754">
        <w:rPr>
          <w:w w:val="100"/>
          <w:sz w:val="22"/>
          <w:szCs w:val="22"/>
        </w:rPr>
        <w:t xml:space="preserve">priorización según la selección </w:t>
      </w:r>
      <w:r w:rsidR="00E57291" w:rsidRPr="00191754">
        <w:rPr>
          <w:i/>
          <w:iCs/>
          <w:w w:val="100"/>
          <w:sz w:val="22"/>
          <w:szCs w:val="22"/>
        </w:rPr>
        <w:t xml:space="preserve">a priori </w:t>
      </w:r>
      <w:r w:rsidR="00E57291" w:rsidRPr="00191754">
        <w:rPr>
          <w:w w:val="100"/>
          <w:sz w:val="22"/>
          <w:szCs w:val="22"/>
        </w:rPr>
        <w:t xml:space="preserve">se ha fundamentado en la identificación de factores de riesgo. Estudios anteriores </w:t>
      </w:r>
      <w:r w:rsidR="00924E45" w:rsidRPr="00191754">
        <w:rPr>
          <w:w w:val="100"/>
          <w:sz w:val="22"/>
          <w:szCs w:val="22"/>
        </w:rPr>
        <w:t>han mostrado</w:t>
      </w:r>
      <w:r w:rsidR="00E57291" w:rsidRPr="00191754">
        <w:rPr>
          <w:w w:val="100"/>
          <w:sz w:val="22"/>
          <w:szCs w:val="22"/>
        </w:rPr>
        <w:t xml:space="preserve"> que los pacientes de COVID-19 con edad </w:t>
      </w:r>
      <w:r w:rsidR="00924E45" w:rsidRPr="00191754">
        <w:rPr>
          <w:w w:val="100"/>
          <w:sz w:val="22"/>
          <w:szCs w:val="22"/>
        </w:rPr>
        <w:t xml:space="preserve">avanzada </w:t>
      </w:r>
      <w:r w:rsidR="00E57291" w:rsidRPr="00191754">
        <w:rPr>
          <w:w w:val="100"/>
          <w:sz w:val="22"/>
          <w:szCs w:val="22"/>
        </w:rPr>
        <w:t>muestran un mayor riesgo de desarrollar síndrome de dificultad respiratoria aguda y, en general, registran una tasa superior de mortalidad en UCI [</w:t>
      </w:r>
      <w:r w:rsidR="00E57291" w:rsidRPr="00191754">
        <w:rPr>
          <w:color w:val="00B0F0"/>
          <w:w w:val="100"/>
          <w:sz w:val="22"/>
          <w:szCs w:val="22"/>
        </w:rPr>
        <w:t>11, 12</w:t>
      </w:r>
      <w:r w:rsidR="00E57291" w:rsidRPr="00191754">
        <w:rPr>
          <w:w w:val="100"/>
          <w:sz w:val="22"/>
          <w:szCs w:val="22"/>
        </w:rPr>
        <w:t xml:space="preserve">]. </w:t>
      </w:r>
      <w:r w:rsidR="00924E45" w:rsidRPr="00191754">
        <w:rPr>
          <w:w w:val="100"/>
          <w:sz w:val="22"/>
          <w:szCs w:val="22"/>
        </w:rPr>
        <w:t>De manera</w:t>
      </w:r>
      <w:r w:rsidR="00E57291" w:rsidRPr="00191754">
        <w:rPr>
          <w:w w:val="100"/>
          <w:sz w:val="22"/>
          <w:szCs w:val="22"/>
        </w:rPr>
        <w:t xml:space="preserve"> similar, se ha verificado que, en comparación con una cohorte de pacientes de sexo femenino con características similares, los pacientes de COVID-19 con sexo masculino muestran un mayor riesgo de hospitalización, de ser ingresados en UCI y de requerir ventilación mecánica [</w:t>
      </w:r>
      <w:r w:rsidR="00E57291" w:rsidRPr="00191754">
        <w:rPr>
          <w:color w:val="00B0F0"/>
          <w:w w:val="100"/>
          <w:sz w:val="22"/>
          <w:szCs w:val="22"/>
        </w:rPr>
        <w:t>17, 18</w:t>
      </w:r>
      <w:r w:rsidR="00E57291" w:rsidRPr="00191754">
        <w:rPr>
          <w:w w:val="100"/>
          <w:sz w:val="22"/>
          <w:szCs w:val="22"/>
        </w:rPr>
        <w:t>]. De hecho, un metaanálisis de casos global</w:t>
      </w:r>
      <w:r w:rsidR="00924E45" w:rsidRPr="00191754">
        <w:rPr>
          <w:w w:val="100"/>
          <w:sz w:val="22"/>
          <w:szCs w:val="22"/>
        </w:rPr>
        <w:t>es</w:t>
      </w:r>
      <w:r w:rsidR="00E57291" w:rsidRPr="00191754">
        <w:rPr>
          <w:w w:val="100"/>
          <w:sz w:val="22"/>
          <w:szCs w:val="22"/>
        </w:rPr>
        <w:t xml:space="preserve"> muestra que, aun cuando existe una distribución similar de pacientes según el sexo, </w:t>
      </w:r>
      <w:r w:rsidR="00924E45" w:rsidRPr="00191754">
        <w:rPr>
          <w:w w:val="100"/>
          <w:sz w:val="22"/>
          <w:szCs w:val="22"/>
        </w:rPr>
        <w:t>la</w:t>
      </w:r>
      <w:r w:rsidR="00E57291" w:rsidRPr="00191754">
        <w:rPr>
          <w:w w:val="100"/>
          <w:sz w:val="22"/>
          <w:szCs w:val="22"/>
        </w:rPr>
        <w:t xml:space="preserve"> </w:t>
      </w:r>
      <w:r w:rsidR="00924E45" w:rsidRPr="00191754">
        <w:rPr>
          <w:w w:val="100"/>
          <w:sz w:val="22"/>
          <w:szCs w:val="22"/>
        </w:rPr>
        <w:t>conclusión</w:t>
      </w:r>
      <w:r w:rsidR="00E57291" w:rsidRPr="00191754">
        <w:rPr>
          <w:w w:val="100"/>
          <w:sz w:val="22"/>
          <w:szCs w:val="22"/>
        </w:rPr>
        <w:t xml:space="preserve"> anterior se conserva [</w:t>
      </w:r>
      <w:r w:rsidR="00E57291" w:rsidRPr="00191754">
        <w:rPr>
          <w:color w:val="00B0F0"/>
          <w:w w:val="100"/>
          <w:sz w:val="22"/>
          <w:szCs w:val="22"/>
        </w:rPr>
        <w:t>19, 20</w:t>
      </w:r>
      <w:r w:rsidR="00E57291" w:rsidRPr="00191754">
        <w:rPr>
          <w:w w:val="100"/>
          <w:sz w:val="22"/>
          <w:szCs w:val="22"/>
        </w:rPr>
        <w:t>]. Además de la edad avanzada y el sexo masculino, estudios previos han identificado</w:t>
      </w:r>
      <w:r w:rsidR="00924E45" w:rsidRPr="00191754">
        <w:rPr>
          <w:w w:val="100"/>
          <w:sz w:val="22"/>
          <w:szCs w:val="22"/>
        </w:rPr>
        <w:t xml:space="preserve"> otros</w:t>
      </w:r>
      <w:r w:rsidR="00E57291" w:rsidRPr="00191754">
        <w:rPr>
          <w:w w:val="100"/>
          <w:sz w:val="22"/>
          <w:szCs w:val="22"/>
        </w:rPr>
        <w:t xml:space="preserve"> factores de riesgo: comorbilidades (</w:t>
      </w:r>
      <w:r w:rsidR="00E57291" w:rsidRPr="00191754">
        <w:rPr>
          <w:i/>
          <w:iCs/>
          <w:w w:val="100"/>
          <w:sz w:val="22"/>
          <w:szCs w:val="22"/>
        </w:rPr>
        <w:t>v.gr.</w:t>
      </w:r>
      <w:r w:rsidR="00E57291" w:rsidRPr="00191754">
        <w:rPr>
          <w:w w:val="100"/>
          <w:sz w:val="22"/>
          <w:szCs w:val="22"/>
        </w:rPr>
        <w:t>: obesidad, hipertensión arterial, enfermedad pulmonar obstructiva crónica, diabetes mellitus, enfermedades cardiovasculares preexistentes, etc.) [</w:t>
      </w:r>
      <w:r w:rsidR="00E57291" w:rsidRPr="00191754">
        <w:rPr>
          <w:color w:val="00B0F0"/>
          <w:w w:val="100"/>
          <w:sz w:val="22"/>
          <w:szCs w:val="22"/>
        </w:rPr>
        <w:t>15</w:t>
      </w:r>
      <w:r w:rsidR="00E57291" w:rsidRPr="00191754">
        <w:rPr>
          <w:w w:val="100"/>
          <w:sz w:val="22"/>
          <w:szCs w:val="22"/>
        </w:rPr>
        <w:t xml:space="preserve">, </w:t>
      </w:r>
      <w:r w:rsidR="00E57291" w:rsidRPr="00191754">
        <w:rPr>
          <w:color w:val="00B0F0"/>
          <w:w w:val="100"/>
          <w:sz w:val="22"/>
          <w:szCs w:val="22"/>
        </w:rPr>
        <w:t>21- 25</w:t>
      </w:r>
      <w:r w:rsidR="00E57291" w:rsidRPr="00191754">
        <w:rPr>
          <w:w w:val="100"/>
          <w:sz w:val="22"/>
          <w:szCs w:val="22"/>
        </w:rPr>
        <w:t xml:space="preserve">], </w:t>
      </w:r>
      <w:r w:rsidR="00924E45" w:rsidRPr="00191754">
        <w:rPr>
          <w:w w:val="100"/>
          <w:sz w:val="22"/>
          <w:szCs w:val="22"/>
        </w:rPr>
        <w:t>tabaquismo [26- 28] y el puntaje de los sistemas de clasificación de severidad de la enfermedad en UCI (</w:t>
      </w:r>
      <w:r w:rsidR="00924E45" w:rsidRPr="00191754">
        <w:rPr>
          <w:i/>
          <w:iCs/>
          <w:w w:val="100"/>
          <w:sz w:val="22"/>
          <w:szCs w:val="22"/>
        </w:rPr>
        <w:t>v.gr.:</w:t>
      </w:r>
      <w:r w:rsidR="00924E45" w:rsidRPr="00191754">
        <w:rPr>
          <w:w w:val="100"/>
          <w:sz w:val="22"/>
          <w:szCs w:val="22"/>
        </w:rPr>
        <w:t xml:space="preserve"> puntajes SAPS II, APACHE II y SOFA) [</w:t>
      </w:r>
      <w:r w:rsidR="00924E45" w:rsidRPr="00191754">
        <w:rPr>
          <w:color w:val="00B0F0"/>
          <w:w w:val="100"/>
          <w:sz w:val="22"/>
          <w:szCs w:val="22"/>
        </w:rPr>
        <w:t>27, 29</w:t>
      </w:r>
      <w:r w:rsidR="00924E45" w:rsidRPr="00191754">
        <w:rPr>
          <w:w w:val="100"/>
          <w:sz w:val="22"/>
          <w:szCs w:val="22"/>
        </w:rPr>
        <w:t>].</w:t>
      </w:r>
    </w:p>
    <w:p w14:paraId="39D5C0EC" w14:textId="77777777" w:rsidR="0058637A" w:rsidRDefault="0058637A" w:rsidP="00920A2E">
      <w:pPr>
        <w:pStyle w:val="Textoindependiente"/>
        <w:spacing w:line="251" w:lineRule="exact"/>
        <w:ind w:left="0"/>
        <w:rPr>
          <w:sz w:val="22"/>
          <w:szCs w:val="22"/>
        </w:rPr>
      </w:pPr>
    </w:p>
    <w:p w14:paraId="6EFA6696" w14:textId="486398FC" w:rsidR="00AD1BFC" w:rsidRPr="00191754" w:rsidRDefault="0011304E" w:rsidP="00593647">
      <w:pPr>
        <w:pStyle w:val="Textoindependiente"/>
        <w:spacing w:line="251" w:lineRule="exact"/>
        <w:ind w:left="142" w:firstLine="284"/>
        <w:rPr>
          <w:color w:val="000000" w:themeColor="text1"/>
          <w:w w:val="100"/>
          <w:sz w:val="22"/>
          <w:szCs w:val="22"/>
        </w:rPr>
      </w:pPr>
      <w:r w:rsidRPr="00191754">
        <w:rPr>
          <w:w w:val="100"/>
          <w:sz w:val="22"/>
          <w:szCs w:val="22"/>
        </w:rPr>
        <w:t xml:space="preserve">La relación entre los factores de riesgo y la supervivencia en UCI para pacientes de COVID-19 ha sido examinada mediante tres métodos fundamentales. </w:t>
      </w:r>
      <w:r w:rsidRPr="00191754">
        <w:rPr>
          <w:b/>
          <w:bCs/>
          <w:w w:val="100"/>
          <w:sz w:val="22"/>
          <w:szCs w:val="22"/>
        </w:rPr>
        <w:t>En primer lugar</w:t>
      </w:r>
      <w:r w:rsidRPr="00191754">
        <w:rPr>
          <w:w w:val="100"/>
          <w:sz w:val="22"/>
          <w:szCs w:val="22"/>
        </w:rPr>
        <w:t xml:space="preserve">, se han </w:t>
      </w:r>
      <w:r w:rsidR="00D6209E" w:rsidRPr="00191754">
        <w:rPr>
          <w:w w:val="100"/>
          <w:sz w:val="22"/>
          <w:szCs w:val="22"/>
        </w:rPr>
        <w:t>propuesto</w:t>
      </w:r>
      <w:r w:rsidRPr="00191754">
        <w:rPr>
          <w:w w:val="100"/>
          <w:sz w:val="22"/>
          <w:szCs w:val="22"/>
        </w:rPr>
        <w:t xml:space="preserve"> modelos paramétricos que conservan la hipótesis según la cual el tiempo de permanencia en UCI sigue una distribución positivamente asimétrica</w:t>
      </w:r>
      <w:r w:rsidR="00D6209E" w:rsidRPr="00191754">
        <w:rPr>
          <w:w w:val="100"/>
          <w:sz w:val="22"/>
          <w:szCs w:val="22"/>
        </w:rPr>
        <w:t xml:space="preserve"> [</w:t>
      </w:r>
      <w:r w:rsidR="00D6209E" w:rsidRPr="00191754">
        <w:rPr>
          <w:color w:val="00B0F0"/>
          <w:w w:val="100"/>
          <w:sz w:val="22"/>
          <w:szCs w:val="22"/>
        </w:rPr>
        <w:t>32</w:t>
      </w:r>
      <w:r w:rsidR="00D6209E" w:rsidRPr="00191754">
        <w:rPr>
          <w:w w:val="100"/>
          <w:sz w:val="22"/>
          <w:szCs w:val="22"/>
        </w:rPr>
        <w:t>]</w:t>
      </w:r>
      <w:r w:rsidRPr="00191754">
        <w:rPr>
          <w:w w:val="100"/>
          <w:sz w:val="22"/>
          <w:szCs w:val="22"/>
        </w:rPr>
        <w:t xml:space="preserve">, </w:t>
      </w:r>
      <w:r w:rsidR="00D6209E" w:rsidRPr="00191754">
        <w:rPr>
          <w:w w:val="100"/>
          <w:sz w:val="22"/>
          <w:szCs w:val="22"/>
        </w:rPr>
        <w:t>más precisamente</w:t>
      </w:r>
      <w:r w:rsidRPr="00191754">
        <w:rPr>
          <w:w w:val="100"/>
          <w:sz w:val="22"/>
          <w:szCs w:val="22"/>
        </w:rPr>
        <w:t>, una distribución de la familia gamma generalizada</w:t>
      </w:r>
      <w:r w:rsidR="00A50E6E" w:rsidRPr="00191754">
        <w:rPr>
          <w:w w:val="100"/>
          <w:sz w:val="22"/>
          <w:szCs w:val="22"/>
        </w:rPr>
        <w:t xml:space="preserve"> (</w:t>
      </w:r>
      <w:r w:rsidR="00D6209E" w:rsidRPr="00191754">
        <w:rPr>
          <w:w w:val="100"/>
          <w:sz w:val="22"/>
          <w:szCs w:val="22"/>
        </w:rPr>
        <w:t>lognormal, gamma o Weibull</w:t>
      </w:r>
      <w:r w:rsidR="00A50E6E" w:rsidRPr="00191754">
        <w:rPr>
          <w:w w:val="100"/>
          <w:sz w:val="22"/>
          <w:szCs w:val="22"/>
        </w:rPr>
        <w:t xml:space="preserve">) </w:t>
      </w:r>
      <w:r w:rsidR="00D6209E" w:rsidRPr="00191754">
        <w:rPr>
          <w:w w:val="100"/>
          <w:sz w:val="22"/>
          <w:szCs w:val="22"/>
        </w:rPr>
        <w:t>[</w:t>
      </w:r>
      <w:r w:rsidR="00D6209E" w:rsidRPr="00191754">
        <w:rPr>
          <w:color w:val="00B0F0"/>
          <w:w w:val="100"/>
          <w:sz w:val="22"/>
          <w:szCs w:val="22"/>
        </w:rPr>
        <w:t>33 - 35</w:t>
      </w:r>
      <w:r w:rsidR="00D6209E" w:rsidRPr="00191754">
        <w:rPr>
          <w:w w:val="100"/>
          <w:sz w:val="22"/>
          <w:szCs w:val="22"/>
        </w:rPr>
        <w:t>]</w:t>
      </w:r>
      <w:r w:rsidR="00D6209E" w:rsidRPr="00191754">
        <w:rPr>
          <w:rStyle w:val="Refdenotaalpie"/>
          <w:w w:val="100"/>
          <w:sz w:val="22"/>
          <w:szCs w:val="22"/>
        </w:rPr>
        <w:footnoteReference w:id="1"/>
      </w:r>
      <w:r w:rsidR="00D6209E" w:rsidRPr="00191754">
        <w:rPr>
          <w:w w:val="100"/>
          <w:sz w:val="22"/>
          <w:szCs w:val="22"/>
        </w:rPr>
        <w:t xml:space="preserve">. </w:t>
      </w:r>
      <w:r w:rsidR="00D6209E" w:rsidRPr="00191754">
        <w:rPr>
          <w:b/>
          <w:bCs/>
          <w:w w:val="100"/>
          <w:sz w:val="22"/>
          <w:szCs w:val="22"/>
        </w:rPr>
        <w:t>En segundo lugar</w:t>
      </w:r>
      <w:r w:rsidR="00A53720" w:rsidRPr="00191754">
        <w:rPr>
          <w:w w:val="100"/>
          <w:sz w:val="22"/>
          <w:szCs w:val="22"/>
        </w:rPr>
        <w:t xml:space="preserve">, </w:t>
      </w:r>
      <w:r w:rsidR="00A53720" w:rsidRPr="00191754">
        <w:rPr>
          <w:w w:val="100"/>
          <w:sz w:val="22"/>
          <w:szCs w:val="22"/>
        </w:rPr>
        <w:lastRenderedPageBreak/>
        <w:t>se han propuesto aproximaciones no-paramétricas, en especial, el método de Kaplan-Meier [</w:t>
      </w:r>
      <w:r w:rsidR="00A53720" w:rsidRPr="00191754">
        <w:rPr>
          <w:color w:val="00B0F0"/>
          <w:w w:val="100"/>
          <w:sz w:val="22"/>
          <w:szCs w:val="22"/>
        </w:rPr>
        <w:t>38</w:t>
      </w:r>
      <w:r w:rsidR="00A53720" w:rsidRPr="00191754">
        <w:rPr>
          <w:w w:val="100"/>
          <w:sz w:val="22"/>
          <w:szCs w:val="22"/>
        </w:rPr>
        <w:t>]</w:t>
      </w:r>
      <w:r w:rsidR="00E76F97" w:rsidRPr="00191754">
        <w:rPr>
          <w:w w:val="100"/>
          <w:sz w:val="22"/>
          <w:szCs w:val="22"/>
        </w:rPr>
        <w:t>, para prescindir del supuesto según el cual la variable de interés se ajusta a un modelo definido por una distribución de probabilidad subyacente</w:t>
      </w:r>
      <w:r w:rsidR="00A50E6E" w:rsidRPr="00191754">
        <w:rPr>
          <w:w w:val="100"/>
          <w:sz w:val="22"/>
          <w:szCs w:val="22"/>
        </w:rPr>
        <w:t xml:space="preserve">. </w:t>
      </w:r>
      <w:r w:rsidR="00C051DB" w:rsidRPr="00191754">
        <w:rPr>
          <w:w w:val="100"/>
          <w:sz w:val="22"/>
          <w:szCs w:val="22"/>
        </w:rPr>
        <w:t>N</w:t>
      </w:r>
      <w:r w:rsidR="00A50E6E" w:rsidRPr="00191754">
        <w:rPr>
          <w:w w:val="100"/>
          <w:sz w:val="22"/>
          <w:szCs w:val="22"/>
        </w:rPr>
        <w:t xml:space="preserve">umerosos estudios han empleado la aproximación de Kaplan-Meier para estimar </w:t>
      </w:r>
      <w:r w:rsidR="00A53720" w:rsidRPr="00191754">
        <w:rPr>
          <w:w w:val="100"/>
          <w:sz w:val="22"/>
          <w:szCs w:val="22"/>
        </w:rPr>
        <w:t>la tasa de mortalidad en UCI</w:t>
      </w:r>
      <w:r w:rsidR="00A50E6E" w:rsidRPr="00191754">
        <w:rPr>
          <w:w w:val="100"/>
          <w:sz w:val="22"/>
          <w:szCs w:val="22"/>
        </w:rPr>
        <w:t xml:space="preserve"> </w:t>
      </w:r>
      <w:r w:rsidR="00C051DB" w:rsidRPr="00191754">
        <w:rPr>
          <w:w w:val="100"/>
          <w:sz w:val="22"/>
          <w:szCs w:val="22"/>
        </w:rPr>
        <w:t>de</w:t>
      </w:r>
      <w:r w:rsidR="00A50E6E" w:rsidRPr="00191754">
        <w:rPr>
          <w:w w:val="100"/>
          <w:sz w:val="22"/>
          <w:szCs w:val="22"/>
        </w:rPr>
        <w:t xml:space="preserve"> </w:t>
      </w:r>
      <w:r w:rsidR="00A53720" w:rsidRPr="00191754">
        <w:rPr>
          <w:w w:val="100"/>
          <w:sz w:val="22"/>
          <w:szCs w:val="22"/>
        </w:rPr>
        <w:t>subpoblaciones</w:t>
      </w:r>
      <w:r w:rsidR="00A50E6E" w:rsidRPr="00191754">
        <w:rPr>
          <w:w w:val="100"/>
          <w:sz w:val="22"/>
          <w:szCs w:val="22"/>
        </w:rPr>
        <w:t xml:space="preserve"> definidas según la edad, la severidad del síndrome de dificultad respiratoria aguda, la necesidad de ventilación mecánica, etc. </w:t>
      </w:r>
      <w:r w:rsidR="00A50E6E" w:rsidRPr="00191754">
        <w:rPr>
          <w:color w:val="000000" w:themeColor="text1"/>
          <w:w w:val="100"/>
          <w:sz w:val="22"/>
          <w:szCs w:val="22"/>
        </w:rPr>
        <w:t>[</w:t>
      </w:r>
      <w:r w:rsidR="00A50E6E" w:rsidRPr="00191754">
        <w:rPr>
          <w:color w:val="00B0F0"/>
          <w:w w:val="100"/>
          <w:sz w:val="22"/>
          <w:szCs w:val="22"/>
        </w:rPr>
        <w:t>11, 16, 27, 39, 40</w:t>
      </w:r>
      <w:r w:rsidR="00A50E6E" w:rsidRPr="00191754">
        <w:rPr>
          <w:color w:val="000000" w:themeColor="text1"/>
          <w:w w:val="100"/>
          <w:sz w:val="22"/>
          <w:szCs w:val="22"/>
        </w:rPr>
        <w:t xml:space="preserve">]. Y, </w:t>
      </w:r>
      <w:r w:rsidR="00A50E6E" w:rsidRPr="00191754">
        <w:rPr>
          <w:b/>
          <w:bCs/>
          <w:color w:val="000000" w:themeColor="text1"/>
          <w:w w:val="100"/>
          <w:sz w:val="22"/>
          <w:szCs w:val="22"/>
        </w:rPr>
        <w:t>en tercer lugar</w:t>
      </w:r>
      <w:r w:rsidR="00A50E6E" w:rsidRPr="00191754">
        <w:rPr>
          <w:color w:val="000000" w:themeColor="text1"/>
          <w:w w:val="100"/>
          <w:sz w:val="22"/>
          <w:szCs w:val="22"/>
        </w:rPr>
        <w:t xml:space="preserve">, con el propósito de determinar un conjunto de factores de riesgo que contribuyan a explicar la tasa de mortalidad en UCI, se han implementado </w:t>
      </w:r>
      <w:r w:rsidR="00C051DB" w:rsidRPr="00191754">
        <w:rPr>
          <w:color w:val="000000" w:themeColor="text1"/>
          <w:w w:val="100"/>
          <w:sz w:val="22"/>
          <w:szCs w:val="22"/>
        </w:rPr>
        <w:t>aproximaciones semi-paramétricas mediante métodos cercanos a las técnicas de regresión ordinaria [</w:t>
      </w:r>
      <w:r w:rsidR="00C051DB" w:rsidRPr="00191754">
        <w:rPr>
          <w:color w:val="00B0F0"/>
          <w:w w:val="100"/>
          <w:sz w:val="22"/>
          <w:szCs w:val="22"/>
        </w:rPr>
        <w:t>35</w:t>
      </w:r>
      <w:r w:rsidR="00C051DB" w:rsidRPr="00191754">
        <w:rPr>
          <w:color w:val="000000" w:themeColor="text1"/>
          <w:w w:val="100"/>
          <w:sz w:val="22"/>
          <w:szCs w:val="22"/>
        </w:rPr>
        <w:t>], en especial, el modelo de riesgos proporcionales de Cox [</w:t>
      </w:r>
      <w:r w:rsidR="00C051DB" w:rsidRPr="00191754">
        <w:rPr>
          <w:color w:val="00B0F0"/>
          <w:w w:val="100"/>
          <w:sz w:val="22"/>
          <w:szCs w:val="22"/>
        </w:rPr>
        <w:t>46</w:t>
      </w:r>
      <w:r w:rsidR="00C051DB" w:rsidRPr="00191754">
        <w:rPr>
          <w:color w:val="000000" w:themeColor="text1"/>
          <w:w w:val="100"/>
          <w:sz w:val="22"/>
          <w:szCs w:val="22"/>
        </w:rPr>
        <w:t>] con variables explicativas asociadas a características demográfica, antropométricas, síntomas registrados, comorbilidades, etc. [</w:t>
      </w:r>
      <w:r w:rsidR="00C051DB" w:rsidRPr="00191754">
        <w:rPr>
          <w:color w:val="00B0F0"/>
          <w:w w:val="100"/>
          <w:sz w:val="22"/>
          <w:szCs w:val="22"/>
        </w:rPr>
        <w:t>15, 24, 39, 47, 48</w:t>
      </w:r>
      <w:r w:rsidR="00C051DB" w:rsidRPr="00191754">
        <w:rPr>
          <w:color w:val="000000" w:themeColor="text1"/>
          <w:w w:val="100"/>
          <w:sz w:val="22"/>
          <w:szCs w:val="22"/>
        </w:rPr>
        <w:t>].</w:t>
      </w:r>
      <w:r w:rsidR="0048362E" w:rsidRPr="00191754">
        <w:rPr>
          <w:color w:val="000000" w:themeColor="text1"/>
          <w:w w:val="100"/>
          <w:sz w:val="22"/>
          <w:szCs w:val="22"/>
        </w:rPr>
        <w:t xml:space="preserve"> </w:t>
      </w:r>
    </w:p>
    <w:p w14:paraId="0240AECB" w14:textId="77777777" w:rsidR="00191754" w:rsidRDefault="00191754" w:rsidP="00593647">
      <w:pPr>
        <w:pStyle w:val="Textoindependiente"/>
        <w:spacing w:line="251" w:lineRule="exact"/>
        <w:ind w:left="142" w:firstLine="284"/>
        <w:rPr>
          <w:color w:val="000000" w:themeColor="text1"/>
          <w:sz w:val="22"/>
          <w:szCs w:val="22"/>
        </w:rPr>
      </w:pPr>
    </w:p>
    <w:p w14:paraId="7CE1FC78" w14:textId="45567B99" w:rsidR="00191754" w:rsidRPr="00191754" w:rsidRDefault="00191754" w:rsidP="00191754">
      <w:pPr>
        <w:pStyle w:val="Textoindependiente"/>
        <w:spacing w:line="251" w:lineRule="exact"/>
        <w:ind w:left="142" w:firstLine="284"/>
        <w:rPr>
          <w:w w:val="100"/>
          <w:sz w:val="22"/>
          <w:szCs w:val="22"/>
        </w:rPr>
      </w:pPr>
      <w:r w:rsidRPr="00191754">
        <w:rPr>
          <w:w w:val="100"/>
          <w:sz w:val="22"/>
          <w:szCs w:val="22"/>
        </w:rPr>
        <w:t>El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análisis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sobre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el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tiempo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estancia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en</w:t>
      </w:r>
      <w:r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UCI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para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pacientes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COVID-19,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así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como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la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identificación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factores</w:t>
      </w:r>
      <w:r w:rsidRPr="00191754">
        <w:rPr>
          <w:spacing w:val="20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20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riesgo</w:t>
      </w:r>
      <w:r w:rsidRPr="00191754">
        <w:rPr>
          <w:spacing w:val="20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asociados,</w:t>
      </w:r>
      <w:r w:rsidRPr="00191754">
        <w:rPr>
          <w:spacing w:val="2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proporciona</w:t>
      </w:r>
      <w:r w:rsidRPr="00191754">
        <w:rPr>
          <w:spacing w:val="20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información</w:t>
      </w:r>
      <w:r w:rsidRPr="00191754">
        <w:rPr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útil</w:t>
      </w:r>
      <w:r w:rsidRPr="00191754">
        <w:rPr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para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la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distribución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eficiente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recursos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cuidados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intensivos. La literatura descrita ha omitido, sin embargo,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un grupo específico</w:t>
      </w:r>
      <w:r w:rsidRPr="00191754">
        <w:rPr>
          <w:w w:val="100"/>
          <w:sz w:val="22"/>
          <w:szCs w:val="22"/>
        </w:rPr>
        <w:t xml:space="preserve"> de interés</w:t>
      </w:r>
      <w:r w:rsidRPr="00191754">
        <w:rPr>
          <w:w w:val="100"/>
          <w:sz w:val="22"/>
          <w:szCs w:val="22"/>
        </w:rPr>
        <w:t>: los pacientes críticos de COVID-19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con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estancia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prolongada en UCI.  No existe, de hecho,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un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acuerdo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general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alrededor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del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umbral que</w:t>
      </w:r>
      <w:r>
        <w:rPr>
          <w:w w:val="100"/>
          <w:sz w:val="22"/>
          <w:szCs w:val="22"/>
        </w:rPr>
        <w:t xml:space="preserve"> determina una </w:t>
      </w:r>
      <w:r w:rsidRPr="00191754">
        <w:rPr>
          <w:w w:val="100"/>
          <w:sz w:val="22"/>
          <w:szCs w:val="22"/>
        </w:rPr>
        <w:t>estancia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prolongada.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Algunos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estudios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relacionados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consideran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que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una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estancia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prolongada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cuando es</w:t>
      </w:r>
      <w:r w:rsidRPr="00191754">
        <w:rPr>
          <w:spacing w:val="1"/>
          <w:w w:val="100"/>
          <w:sz w:val="22"/>
          <w:szCs w:val="22"/>
        </w:rPr>
        <w:t xml:space="preserve"> </w:t>
      </w:r>
      <w:r>
        <w:rPr>
          <w:w w:val="100"/>
          <w:sz w:val="22"/>
          <w:szCs w:val="22"/>
        </w:rPr>
        <w:t>mayor</w:t>
      </w:r>
      <w:r w:rsidRPr="00191754">
        <w:rPr>
          <w:w w:val="100"/>
          <w:sz w:val="22"/>
          <w:szCs w:val="22"/>
        </w:rPr>
        <w:t xml:space="preserve"> o igual a dos semanas consecutivas [</w:t>
      </w:r>
      <w:hyperlink w:anchor="_bookmark65" w:history="1">
        <w:r w:rsidRPr="00191754">
          <w:rPr>
            <w:color w:val="00AEEF"/>
            <w:w w:val="100"/>
            <w:sz w:val="22"/>
            <w:szCs w:val="22"/>
          </w:rPr>
          <w:t>54</w:t>
        </w:r>
      </w:hyperlink>
      <w:r w:rsidRPr="00191754">
        <w:rPr>
          <w:w w:val="100"/>
          <w:sz w:val="22"/>
          <w:szCs w:val="22"/>
        </w:rPr>
        <w:t>–</w:t>
      </w:r>
      <w:hyperlink w:anchor="_bookmark69" w:history="1">
        <w:r w:rsidRPr="00191754">
          <w:rPr>
            <w:color w:val="00AEEF"/>
            <w:w w:val="100"/>
            <w:sz w:val="22"/>
            <w:szCs w:val="22"/>
          </w:rPr>
          <w:t>58</w:t>
        </w:r>
      </w:hyperlink>
      <w:r w:rsidRPr="00191754">
        <w:rPr>
          <w:w w:val="100"/>
          <w:sz w:val="22"/>
          <w:szCs w:val="22"/>
        </w:rPr>
        <w:t>]; otros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estudios, cuando es mayor o igual a 21 días consecutivos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[</w:t>
      </w:r>
      <w:hyperlink w:anchor="_bookmark70" w:history="1">
        <w:r w:rsidRPr="00191754">
          <w:rPr>
            <w:color w:val="00AEEF"/>
            <w:w w:val="100"/>
            <w:sz w:val="22"/>
            <w:szCs w:val="22"/>
          </w:rPr>
          <w:t>59</w:t>
        </w:r>
      </w:hyperlink>
      <w:r w:rsidRPr="00191754">
        <w:rPr>
          <w:w w:val="100"/>
          <w:sz w:val="22"/>
          <w:szCs w:val="22"/>
        </w:rPr>
        <w:t xml:space="preserve">, </w:t>
      </w:r>
      <w:hyperlink w:anchor="_bookmark71" w:history="1">
        <w:r w:rsidRPr="00191754">
          <w:rPr>
            <w:color w:val="00AEEF"/>
            <w:w w:val="100"/>
            <w:sz w:val="22"/>
            <w:szCs w:val="22"/>
          </w:rPr>
          <w:t>60</w:t>
        </w:r>
      </w:hyperlink>
      <w:r w:rsidRPr="00191754">
        <w:rPr>
          <w:w w:val="100"/>
          <w:sz w:val="22"/>
          <w:szCs w:val="22"/>
        </w:rPr>
        <w:t>]. Aun cuando la definición puede variar ligeramente, estudios retrospectivos han evidenciado que, en general,</w:t>
      </w:r>
      <w:r w:rsidRPr="00191754">
        <w:rPr>
          <w:spacing w:val="-50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la población de pacientes con estancia prolongada muestra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un mayor riesgo de resultados desfavorables y consumen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una proporción significativa de los recursos de cuidados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intensivos</w:t>
      </w:r>
      <w:r w:rsidRPr="00191754">
        <w:rPr>
          <w:spacing w:val="19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[</w:t>
      </w:r>
      <w:hyperlink w:anchor="_bookmark68" w:history="1">
        <w:r w:rsidRPr="00191754">
          <w:rPr>
            <w:color w:val="00AEEF"/>
            <w:w w:val="100"/>
            <w:sz w:val="22"/>
            <w:szCs w:val="22"/>
          </w:rPr>
          <w:t>57</w:t>
        </w:r>
      </w:hyperlink>
      <w:r w:rsidRPr="00191754">
        <w:rPr>
          <w:w w:val="100"/>
          <w:sz w:val="22"/>
          <w:szCs w:val="22"/>
        </w:rPr>
        <w:t>,</w:t>
      </w:r>
      <w:r w:rsidRPr="00191754">
        <w:rPr>
          <w:spacing w:val="20"/>
          <w:w w:val="100"/>
          <w:sz w:val="22"/>
          <w:szCs w:val="22"/>
        </w:rPr>
        <w:t xml:space="preserve"> </w:t>
      </w:r>
      <w:hyperlink w:anchor="_bookmark69" w:history="1">
        <w:r w:rsidRPr="00191754">
          <w:rPr>
            <w:color w:val="00AEEF"/>
            <w:w w:val="100"/>
            <w:sz w:val="22"/>
            <w:szCs w:val="22"/>
          </w:rPr>
          <w:t>58</w:t>
        </w:r>
      </w:hyperlink>
      <w:r w:rsidRPr="00191754">
        <w:rPr>
          <w:w w:val="100"/>
          <w:sz w:val="22"/>
          <w:szCs w:val="22"/>
        </w:rPr>
        <w:t>,</w:t>
      </w:r>
      <w:r w:rsidRPr="00191754">
        <w:rPr>
          <w:spacing w:val="20"/>
          <w:w w:val="100"/>
          <w:sz w:val="22"/>
          <w:szCs w:val="22"/>
        </w:rPr>
        <w:t xml:space="preserve"> </w:t>
      </w:r>
      <w:hyperlink w:anchor="_bookmark72" w:history="1">
        <w:r w:rsidRPr="00191754">
          <w:rPr>
            <w:color w:val="00AEEF"/>
            <w:w w:val="100"/>
            <w:sz w:val="22"/>
            <w:szCs w:val="22"/>
          </w:rPr>
          <w:t>61</w:t>
        </w:r>
      </w:hyperlink>
      <w:r w:rsidRPr="00191754">
        <w:rPr>
          <w:w w:val="100"/>
          <w:sz w:val="22"/>
          <w:szCs w:val="22"/>
        </w:rPr>
        <w:t>,</w:t>
      </w:r>
      <w:r w:rsidRPr="00191754">
        <w:rPr>
          <w:spacing w:val="20"/>
          <w:w w:val="100"/>
          <w:sz w:val="22"/>
          <w:szCs w:val="22"/>
        </w:rPr>
        <w:t xml:space="preserve"> </w:t>
      </w:r>
      <w:hyperlink w:anchor="_bookmark73" w:history="1">
        <w:r w:rsidRPr="00191754">
          <w:rPr>
            <w:color w:val="00AEEF"/>
            <w:w w:val="100"/>
            <w:sz w:val="22"/>
            <w:szCs w:val="22"/>
          </w:rPr>
          <w:t>62</w:t>
        </w:r>
      </w:hyperlink>
      <w:r w:rsidRPr="00191754">
        <w:rPr>
          <w:w w:val="100"/>
          <w:sz w:val="22"/>
          <w:szCs w:val="22"/>
        </w:rPr>
        <w:t>].</w:t>
      </w:r>
      <w:r w:rsidRPr="00191754">
        <w:rPr>
          <w:w w:val="100"/>
          <w:sz w:val="22"/>
          <w:szCs w:val="22"/>
        </w:rPr>
        <w:t xml:space="preserve"> </w:t>
      </w:r>
    </w:p>
    <w:p w14:paraId="71DC2A3A" w14:textId="148F73FD" w:rsidR="00191754" w:rsidRPr="00191754" w:rsidRDefault="00191754" w:rsidP="00191754">
      <w:pPr>
        <w:pStyle w:val="Textoindependiente"/>
        <w:spacing w:before="199" w:line="249" w:lineRule="auto"/>
        <w:ind w:left="119" w:right="38" w:firstLine="199"/>
        <w:rPr>
          <w:w w:val="100"/>
          <w:sz w:val="22"/>
          <w:szCs w:val="22"/>
        </w:rPr>
      </w:pPr>
      <w:r w:rsidRPr="00191754">
        <w:rPr>
          <w:w w:val="100"/>
          <w:sz w:val="22"/>
          <w:szCs w:val="22"/>
        </w:rPr>
        <w:t>Los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estudios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recientes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 xml:space="preserve">de </w:t>
      </w:r>
      <w:r w:rsidRPr="00191754">
        <w:rPr>
          <w:w w:val="100"/>
          <w:sz w:val="22"/>
          <w:szCs w:val="22"/>
        </w:rPr>
        <w:t>Roedl et al</w:t>
      </w:r>
      <w:r w:rsidRPr="00191754">
        <w:rPr>
          <w:w w:val="100"/>
          <w:sz w:val="22"/>
          <w:szCs w:val="22"/>
        </w:rPr>
        <w:t>.  [</w:t>
      </w:r>
      <w:hyperlink w:anchor="_bookmark71" w:history="1">
        <w:r w:rsidRPr="00191754">
          <w:rPr>
            <w:color w:val="00AEEF"/>
            <w:w w:val="100"/>
            <w:sz w:val="22"/>
            <w:szCs w:val="22"/>
          </w:rPr>
          <w:t>60</w:t>
        </w:r>
      </w:hyperlink>
      <w:r w:rsidRPr="00191754">
        <w:rPr>
          <w:w w:val="100"/>
          <w:sz w:val="22"/>
          <w:szCs w:val="22"/>
        </w:rPr>
        <w:t xml:space="preserve">] y Han </w:t>
      </w:r>
      <w:r w:rsidRPr="00191754">
        <w:rPr>
          <w:w w:val="100"/>
          <w:sz w:val="22"/>
          <w:szCs w:val="22"/>
        </w:rPr>
        <w:t>et</w:t>
      </w:r>
      <w:r w:rsidRPr="00191754">
        <w:rPr>
          <w:spacing w:val="-50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al. [</w:t>
      </w:r>
      <w:hyperlink w:anchor="_bookmark66" w:history="1">
        <w:r w:rsidRPr="00191754">
          <w:rPr>
            <w:color w:val="00AEEF"/>
            <w:w w:val="100"/>
            <w:sz w:val="22"/>
            <w:szCs w:val="22"/>
          </w:rPr>
          <w:t>55</w:t>
        </w:r>
      </w:hyperlink>
      <w:r w:rsidRPr="00191754">
        <w:rPr>
          <w:w w:val="100"/>
          <w:sz w:val="22"/>
          <w:szCs w:val="22"/>
        </w:rPr>
        <w:t>] constituyen notables excepciones. A partir de una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cohorte de pacientes críticos de COVID-19 en UCI, Roedl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et al. [</w:t>
      </w:r>
      <w:hyperlink w:anchor="_bookmark71" w:history="1">
        <w:r w:rsidRPr="00191754">
          <w:rPr>
            <w:color w:val="00AEEF"/>
            <w:w w:val="100"/>
            <w:sz w:val="22"/>
            <w:szCs w:val="22"/>
          </w:rPr>
          <w:t>60</w:t>
        </w:r>
      </w:hyperlink>
      <w:r w:rsidRPr="00191754">
        <w:rPr>
          <w:w w:val="100"/>
          <w:sz w:val="22"/>
          <w:szCs w:val="22"/>
        </w:rPr>
        <w:t>] proporcionan dos resultados generales: primero,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siguiendo</w:t>
      </w:r>
      <w:r w:rsidRPr="00191754">
        <w:rPr>
          <w:spacing w:val="36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el</w:t>
      </w:r>
      <w:r w:rsidRPr="00191754">
        <w:rPr>
          <w:spacing w:val="36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estimador</w:t>
      </w:r>
      <w:r w:rsidRPr="00191754">
        <w:rPr>
          <w:spacing w:val="37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36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Kaplan-Meier,</w:t>
      </w:r>
      <w:r w:rsidRPr="00191754">
        <w:rPr>
          <w:spacing w:val="36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la</w:t>
      </w:r>
      <w:r w:rsidRPr="00191754">
        <w:rPr>
          <w:spacing w:val="37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mortalidad</w:t>
      </w:r>
      <w:r w:rsidRPr="00191754">
        <w:rPr>
          <w:spacing w:val="36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</w:t>
      </w:r>
      <w:r w:rsidRPr="00191754">
        <w:rPr>
          <w:spacing w:val="-50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90 días diferenciada según pacientes críticos y pacientes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críticos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crónicos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—i.e.: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pacientes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críticos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con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estancia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prolongada en UCI—; segundo, una regresión multivariada</w:t>
      </w:r>
      <w:r w:rsidRPr="00191754">
        <w:rPr>
          <w:spacing w:val="-50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Cox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 xml:space="preserve">para evaluar los factores de </w:t>
      </w:r>
      <w:r w:rsidRPr="00191754">
        <w:rPr>
          <w:w w:val="100"/>
          <w:sz w:val="22"/>
          <w:szCs w:val="22"/>
        </w:rPr>
        <w:t>riesgo asociados</w:t>
      </w:r>
      <w:r w:rsidRPr="00191754">
        <w:rPr>
          <w:w w:val="100"/>
          <w:sz w:val="22"/>
          <w:szCs w:val="22"/>
        </w:rPr>
        <w:t xml:space="preserve"> a</w:t>
      </w:r>
      <w:r w:rsidRPr="00191754">
        <w:rPr>
          <w:spacing w:val="-50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la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mortalidad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pacientes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críticos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crónicos.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El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estudio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verifica,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entre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 xml:space="preserve">otras cosas, que la </w:t>
      </w:r>
      <w:r w:rsidRPr="00191754">
        <w:rPr>
          <w:w w:val="100"/>
          <w:sz w:val="22"/>
          <w:szCs w:val="22"/>
        </w:rPr>
        <w:t>mortalidad a 90 días</w:t>
      </w:r>
      <w:r w:rsidRPr="00191754">
        <w:rPr>
          <w:spacing w:val="-50"/>
          <w:w w:val="100"/>
          <w:sz w:val="22"/>
          <w:szCs w:val="22"/>
        </w:rPr>
        <w:t xml:space="preserve"> </w:t>
      </w:r>
      <w:r w:rsidRPr="00191754">
        <w:rPr>
          <w:spacing w:val="-1"/>
          <w:w w:val="100"/>
          <w:sz w:val="22"/>
          <w:szCs w:val="22"/>
        </w:rPr>
        <w:t>en</w:t>
      </w:r>
      <w:r w:rsidRPr="00191754">
        <w:rPr>
          <w:w w:val="100"/>
          <w:sz w:val="22"/>
          <w:szCs w:val="22"/>
        </w:rPr>
        <w:t xml:space="preserve"> </w:t>
      </w:r>
      <w:r w:rsidRPr="00191754">
        <w:rPr>
          <w:spacing w:val="-1"/>
          <w:w w:val="100"/>
          <w:sz w:val="22"/>
          <w:szCs w:val="22"/>
        </w:rPr>
        <w:t>pacientes</w:t>
      </w:r>
      <w:r w:rsidRPr="00191754">
        <w:rPr>
          <w:w w:val="100"/>
          <w:sz w:val="22"/>
          <w:szCs w:val="22"/>
        </w:rPr>
        <w:t xml:space="preserve"> </w:t>
      </w:r>
      <w:r w:rsidRPr="00191754">
        <w:rPr>
          <w:spacing w:val="-1"/>
          <w:w w:val="100"/>
          <w:sz w:val="22"/>
          <w:szCs w:val="22"/>
        </w:rPr>
        <w:t>crónicos</w:t>
      </w:r>
      <w:r w:rsidRPr="00191754">
        <w:rPr>
          <w:w w:val="100"/>
          <w:sz w:val="22"/>
          <w:szCs w:val="22"/>
        </w:rPr>
        <w:t xml:space="preserve"> críticos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(28 %)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inferior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la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mortalidad a 90 días pacientes críticos (50 %) [</w:t>
      </w:r>
      <w:hyperlink w:anchor="_bookmark71" w:history="1">
        <w:r w:rsidRPr="00191754">
          <w:rPr>
            <w:color w:val="00AEEF"/>
            <w:w w:val="100"/>
            <w:sz w:val="22"/>
            <w:szCs w:val="22"/>
          </w:rPr>
          <w:t>60</w:t>
        </w:r>
      </w:hyperlink>
      <w:r w:rsidRPr="00191754">
        <w:rPr>
          <w:w w:val="100"/>
          <w:sz w:val="22"/>
          <w:szCs w:val="22"/>
        </w:rPr>
        <w:t>]. Más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recientemente, por medio de modelos de regresión logística, Han et al. [</w:t>
      </w:r>
      <w:hyperlink w:anchor="_bookmark66" w:history="1">
        <w:r w:rsidRPr="00191754">
          <w:rPr>
            <w:color w:val="00AEEF"/>
            <w:w w:val="100"/>
            <w:sz w:val="22"/>
            <w:szCs w:val="22"/>
          </w:rPr>
          <w:t>55</w:t>
        </w:r>
      </w:hyperlink>
      <w:r w:rsidRPr="00191754">
        <w:rPr>
          <w:w w:val="100"/>
          <w:sz w:val="22"/>
          <w:szCs w:val="22"/>
        </w:rPr>
        <w:t>] identifican los factores de pronóstico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asociados con la estancia prologada en UCI de pacientes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graves de COVID-19. Existe, sin embargo, una ausencia de</w:t>
      </w:r>
      <w:r w:rsidRPr="00191754">
        <w:rPr>
          <w:spacing w:val="-50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estudios similares en Colombia y, en general, en América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Latina.</w:t>
      </w:r>
    </w:p>
    <w:p w14:paraId="77BEE821" w14:textId="77777777" w:rsidR="00191754" w:rsidRDefault="00191754" w:rsidP="00191754">
      <w:pPr>
        <w:pStyle w:val="Textoindependiente"/>
        <w:spacing w:line="251" w:lineRule="exact"/>
        <w:rPr>
          <w:color w:val="000000" w:themeColor="text1"/>
          <w:sz w:val="22"/>
          <w:szCs w:val="22"/>
        </w:rPr>
      </w:pPr>
    </w:p>
    <w:p w14:paraId="3B7BAEDA" w14:textId="47034DB6" w:rsidR="00191754" w:rsidRDefault="00191754" w:rsidP="00191754">
      <w:pPr>
        <w:pStyle w:val="Textoindependiente"/>
        <w:spacing w:before="96" w:line="249" w:lineRule="auto"/>
        <w:ind w:left="0" w:right="-1" w:firstLine="199"/>
        <w:rPr>
          <w:w w:val="100"/>
          <w:sz w:val="22"/>
          <w:szCs w:val="22"/>
        </w:rPr>
      </w:pPr>
      <w:r w:rsidRPr="00191754">
        <w:rPr>
          <w:w w:val="100"/>
          <w:sz w:val="22"/>
          <w:szCs w:val="22"/>
        </w:rPr>
        <w:t>Con</w:t>
      </w:r>
      <w:r w:rsidRPr="00191754">
        <w:rPr>
          <w:spacing w:val="26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el</w:t>
      </w:r>
      <w:r w:rsidRPr="00191754">
        <w:rPr>
          <w:spacing w:val="25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 xml:space="preserve">propósito de subsanar el </w:t>
      </w:r>
      <w:r w:rsidRPr="00191754">
        <w:rPr>
          <w:w w:val="100"/>
          <w:sz w:val="22"/>
          <w:szCs w:val="22"/>
        </w:rPr>
        <w:t>vacío</w:t>
      </w:r>
      <w:r>
        <w:rPr>
          <w:w w:val="100"/>
          <w:sz w:val="22"/>
          <w:szCs w:val="22"/>
        </w:rPr>
        <w:t xml:space="preserve"> señalado en la literatura</w:t>
      </w:r>
      <w:r w:rsidRPr="00191754">
        <w:rPr>
          <w:w w:val="100"/>
          <w:sz w:val="22"/>
          <w:szCs w:val="22"/>
        </w:rPr>
        <w:t>,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nuestro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estudio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desarrolla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un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análisis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supervivencia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sobre el tiempo de</w:t>
      </w:r>
      <w:r w:rsidRPr="00191754">
        <w:rPr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 xml:space="preserve">permanencia </w:t>
      </w:r>
      <w:r w:rsidRPr="00191754">
        <w:rPr>
          <w:w w:val="100"/>
          <w:sz w:val="22"/>
          <w:szCs w:val="22"/>
        </w:rPr>
        <w:t>en UCI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pacientes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COVID-19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para el caso</w:t>
      </w:r>
      <w:r w:rsidRPr="00191754">
        <w:rPr>
          <w:w w:val="100"/>
          <w:sz w:val="22"/>
          <w:szCs w:val="22"/>
        </w:rPr>
        <w:t xml:space="preserve"> de</w:t>
      </w:r>
      <w:r w:rsidR="00D8092D">
        <w:rPr>
          <w:w w:val="100"/>
          <w:sz w:val="22"/>
          <w:szCs w:val="22"/>
        </w:rPr>
        <w:t xml:space="preserve"> una ciudad principal de Colombia (Cali, Valle del Cauca)</w:t>
      </w:r>
      <w:r w:rsidRPr="00191754">
        <w:rPr>
          <w:w w:val="100"/>
          <w:sz w:val="22"/>
          <w:szCs w:val="22"/>
        </w:rPr>
        <w:t xml:space="preserve"> a fin de identificar factores demográficos de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riesgo asociados a la estancia prolongada en UCI. Nuestra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aproximación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opera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según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los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tres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métodos generales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otrora</w:t>
      </w:r>
      <w:r w:rsidRPr="00191754">
        <w:rPr>
          <w:spacing w:val="48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señalados:</w:t>
      </w:r>
      <w:r w:rsidRPr="00191754">
        <w:rPr>
          <w:spacing w:val="49"/>
          <w:w w:val="100"/>
          <w:sz w:val="22"/>
          <w:szCs w:val="22"/>
        </w:rPr>
        <w:t xml:space="preserve"> </w:t>
      </w:r>
      <w:r w:rsidRPr="00191754">
        <w:rPr>
          <w:b/>
          <w:bCs/>
          <w:w w:val="100"/>
          <w:sz w:val="22"/>
          <w:szCs w:val="22"/>
        </w:rPr>
        <w:t>(1)</w:t>
      </w:r>
      <w:r w:rsidRPr="00191754">
        <w:rPr>
          <w:spacing w:val="49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un</w:t>
      </w:r>
      <w:r w:rsidRPr="00191754">
        <w:rPr>
          <w:spacing w:val="49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modelo</w:t>
      </w:r>
      <w:r w:rsidRPr="00191754">
        <w:rPr>
          <w:spacing w:val="49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paramétrico</w:t>
      </w:r>
      <w:r w:rsidRPr="00191754">
        <w:rPr>
          <w:spacing w:val="49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derivado</w:t>
      </w:r>
      <w:r w:rsidRPr="00191754">
        <w:rPr>
          <w:spacing w:val="48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</w:t>
      </w:r>
      <w:r w:rsidRPr="00191754">
        <w:rPr>
          <w:spacing w:val="-50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una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distribución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la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familia gamma</w:t>
      </w:r>
      <w:r w:rsidRPr="00191754">
        <w:rPr>
          <w:w w:val="100"/>
          <w:sz w:val="22"/>
          <w:szCs w:val="22"/>
        </w:rPr>
        <w:t xml:space="preserve"> generalizada;</w:t>
      </w:r>
      <w:r w:rsidRPr="00191754">
        <w:rPr>
          <w:w w:val="100"/>
          <w:sz w:val="22"/>
          <w:szCs w:val="22"/>
        </w:rPr>
        <w:t xml:space="preserve"> </w:t>
      </w:r>
      <w:r w:rsidRPr="00191754">
        <w:rPr>
          <w:b/>
          <w:bCs/>
          <w:w w:val="100"/>
          <w:sz w:val="22"/>
          <w:szCs w:val="22"/>
        </w:rPr>
        <w:t>(2)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una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aproximación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no-paramétrica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fundamentada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el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 xml:space="preserve">estimador de Kaplan-Meier; </w:t>
      </w:r>
      <w:r w:rsidRPr="00191754">
        <w:rPr>
          <w:b/>
          <w:bCs/>
          <w:w w:val="100"/>
          <w:sz w:val="22"/>
          <w:szCs w:val="22"/>
        </w:rPr>
        <w:t>(3)</w:t>
      </w:r>
      <w:r w:rsidRPr="00191754">
        <w:rPr>
          <w:w w:val="100"/>
          <w:sz w:val="22"/>
          <w:szCs w:val="22"/>
        </w:rPr>
        <w:t xml:space="preserve"> una aproximación semi-paramétrica,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más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precisamente,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un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modelo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riesgos</w:t>
      </w:r>
      <w:r w:rsidRPr="00191754">
        <w:rPr>
          <w:spacing w:val="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proporcionales</w:t>
      </w:r>
      <w:r w:rsidRPr="00191754">
        <w:rPr>
          <w:spacing w:val="21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de</w:t>
      </w:r>
      <w:r w:rsidRPr="00191754">
        <w:rPr>
          <w:spacing w:val="22"/>
          <w:w w:val="100"/>
          <w:sz w:val="22"/>
          <w:szCs w:val="22"/>
        </w:rPr>
        <w:t xml:space="preserve"> </w:t>
      </w:r>
      <w:r w:rsidRPr="00191754">
        <w:rPr>
          <w:w w:val="100"/>
          <w:sz w:val="22"/>
          <w:szCs w:val="22"/>
        </w:rPr>
        <w:t>Cox.</w:t>
      </w:r>
    </w:p>
    <w:p w14:paraId="4CA12F00" w14:textId="77777777" w:rsidR="00D8092D" w:rsidRDefault="00D8092D" w:rsidP="00191754">
      <w:pPr>
        <w:pStyle w:val="Textoindependiente"/>
        <w:spacing w:before="96" w:line="249" w:lineRule="auto"/>
        <w:ind w:left="0" w:right="-1" w:firstLine="199"/>
        <w:rPr>
          <w:w w:val="100"/>
          <w:sz w:val="22"/>
          <w:szCs w:val="22"/>
        </w:rPr>
      </w:pPr>
    </w:p>
    <w:p w14:paraId="46023AB6" w14:textId="77777777" w:rsidR="00D8092D" w:rsidRDefault="00D8092D" w:rsidP="00191754">
      <w:pPr>
        <w:pStyle w:val="Textoindependiente"/>
        <w:spacing w:before="96" w:line="249" w:lineRule="auto"/>
        <w:ind w:left="0" w:right="-1" w:firstLine="199"/>
        <w:rPr>
          <w:w w:val="100"/>
          <w:sz w:val="22"/>
          <w:szCs w:val="22"/>
        </w:rPr>
      </w:pPr>
    </w:p>
    <w:p w14:paraId="516EA47A" w14:textId="77777777" w:rsidR="00D8092D" w:rsidRDefault="00D8092D" w:rsidP="00191754">
      <w:pPr>
        <w:pStyle w:val="Textoindependiente"/>
        <w:spacing w:before="96" w:line="249" w:lineRule="auto"/>
        <w:ind w:left="0" w:right="-1" w:firstLine="199"/>
        <w:rPr>
          <w:w w:val="100"/>
          <w:sz w:val="22"/>
          <w:szCs w:val="22"/>
        </w:rPr>
      </w:pPr>
    </w:p>
    <w:p w14:paraId="0DA9485B" w14:textId="77777777" w:rsidR="00D8092D" w:rsidRDefault="00D8092D" w:rsidP="00191754">
      <w:pPr>
        <w:pStyle w:val="Textoindependiente"/>
        <w:spacing w:before="96" w:line="249" w:lineRule="auto"/>
        <w:ind w:left="0" w:right="-1" w:firstLine="199"/>
        <w:rPr>
          <w:w w:val="100"/>
          <w:sz w:val="22"/>
          <w:szCs w:val="22"/>
        </w:rPr>
      </w:pPr>
    </w:p>
    <w:p w14:paraId="4AF7E361" w14:textId="3B031E02" w:rsidR="00D8092D" w:rsidRPr="00D8092D" w:rsidRDefault="00D8092D" w:rsidP="00D8092D">
      <w:pPr>
        <w:pStyle w:val="Textoindependiente"/>
        <w:numPr>
          <w:ilvl w:val="0"/>
          <w:numId w:val="3"/>
        </w:numPr>
        <w:spacing w:before="96" w:line="249" w:lineRule="auto"/>
        <w:ind w:right="-1"/>
        <w:rPr>
          <w:b/>
          <w:bCs/>
          <w:w w:val="100"/>
          <w:sz w:val="22"/>
          <w:szCs w:val="22"/>
        </w:rPr>
      </w:pPr>
      <w:r w:rsidRPr="00D8092D">
        <w:rPr>
          <w:b/>
          <w:bCs/>
          <w:w w:val="100"/>
          <w:sz w:val="22"/>
          <w:szCs w:val="22"/>
        </w:rPr>
        <w:lastRenderedPageBreak/>
        <w:t>Métodos</w:t>
      </w:r>
    </w:p>
    <w:p w14:paraId="68B8563D" w14:textId="77777777" w:rsidR="00D8092D" w:rsidRDefault="00D8092D" w:rsidP="00D8092D">
      <w:pPr>
        <w:pStyle w:val="Textoindependiente"/>
        <w:spacing w:before="96" w:line="249" w:lineRule="auto"/>
        <w:ind w:left="142" w:right="-1"/>
        <w:rPr>
          <w:w w:val="100"/>
          <w:sz w:val="22"/>
          <w:szCs w:val="22"/>
        </w:rPr>
      </w:pPr>
    </w:p>
    <w:p w14:paraId="37D68F78" w14:textId="11F3512C" w:rsidR="00D8092D" w:rsidRPr="00D8092D" w:rsidRDefault="00D8092D" w:rsidP="00D8092D">
      <w:pPr>
        <w:pStyle w:val="Textoindependiente"/>
        <w:spacing w:before="96" w:line="249" w:lineRule="auto"/>
        <w:ind w:left="0" w:right="-1"/>
        <w:rPr>
          <w:w w:val="100"/>
          <w:sz w:val="22"/>
          <w:szCs w:val="22"/>
        </w:rPr>
      </w:pPr>
    </w:p>
    <w:p w14:paraId="0EDF9900" w14:textId="77777777" w:rsidR="00191754" w:rsidRPr="00191754" w:rsidRDefault="00191754" w:rsidP="00593647">
      <w:pPr>
        <w:pStyle w:val="Textoindependiente"/>
        <w:spacing w:line="251" w:lineRule="exact"/>
        <w:ind w:left="142" w:firstLine="284"/>
        <w:rPr>
          <w:color w:val="000000" w:themeColor="text1"/>
          <w:sz w:val="22"/>
          <w:szCs w:val="22"/>
        </w:rPr>
      </w:pPr>
    </w:p>
    <w:p w14:paraId="1FDDCA69" w14:textId="77777777" w:rsidR="00593647" w:rsidRDefault="00593647" w:rsidP="00593647">
      <w:pPr>
        <w:pStyle w:val="Textoindependiente"/>
        <w:spacing w:line="251" w:lineRule="exact"/>
        <w:ind w:left="142" w:firstLine="284"/>
        <w:rPr>
          <w:b/>
          <w:bCs/>
          <w:sz w:val="24"/>
          <w:szCs w:val="24"/>
        </w:rPr>
      </w:pPr>
    </w:p>
    <w:p w14:paraId="293DCFA6" w14:textId="22C0A997" w:rsidR="00593647" w:rsidRDefault="00593647" w:rsidP="00593647">
      <w:pPr>
        <w:pStyle w:val="Textoindependiente"/>
        <w:spacing w:line="251" w:lineRule="exact"/>
        <w:ind w:left="142" w:firstLine="284"/>
        <w:rPr>
          <w:b/>
          <w:bCs/>
          <w:sz w:val="24"/>
          <w:szCs w:val="24"/>
        </w:rPr>
      </w:pPr>
    </w:p>
    <w:p w14:paraId="3007C108" w14:textId="77777777" w:rsidR="00924E45" w:rsidRDefault="00924E45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31CEC28A" w14:textId="77777777" w:rsidR="00593647" w:rsidRDefault="00593647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42C8243B" w14:textId="77777777" w:rsidR="00593647" w:rsidRDefault="00593647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4B2B4A7F" w14:textId="77777777" w:rsidR="00AD1BFC" w:rsidRP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51AACD77" w14:textId="0A395A3C" w:rsidR="00AD1BFC" w:rsidRP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3226C3BC" w14:textId="77777777" w:rsid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3D39BA34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7507DF3F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58618409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6BF53624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3F1EB5E0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2523A50F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3F460B04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06E29C28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4E7F19DE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708B9FFA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0C57D235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37406AA2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7D7331EA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34EF4F20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3B57D4C2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4EA6FBA8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6B2413FB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6DC4E01B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1FF4EC88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61182D35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2FE05F4C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28CC5E86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607E7B14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377613D2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719809BA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3118C68E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17A8DEAB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0D8D09D7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1E4D6619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6D1D1CF6" w14:textId="3B5934B0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6BFA6CCF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3BAC7235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41EAC45C" w14:textId="77777777" w:rsidR="00D6209E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3A651B56" w14:textId="77777777" w:rsidR="00D6209E" w:rsidRPr="00AD1BFC" w:rsidRDefault="00D6209E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079D236C" w14:textId="77777777" w:rsidR="00AD1BFC" w:rsidRP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57D71362" w14:textId="77777777" w:rsidR="00AD1BFC" w:rsidRP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7B0871CF" w14:textId="77777777" w:rsidR="00AD1BFC" w:rsidRP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28B77637" w14:textId="77777777" w:rsidR="00AD1BFC" w:rsidRP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06133A5B" w14:textId="77777777" w:rsidR="00AD1BFC" w:rsidRP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1810D093" w14:textId="77777777" w:rsidR="00AD1BFC" w:rsidRP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205EA68E" w14:textId="77777777" w:rsidR="00AD1BFC" w:rsidRP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28ACC3C9" w14:textId="77777777" w:rsidR="00AD1BFC" w:rsidRP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502AFFA4" w14:textId="77777777" w:rsidR="00AD1BFC" w:rsidRPr="00AD1BFC" w:rsidRDefault="00AD1BFC" w:rsidP="00873135">
      <w:pPr>
        <w:pStyle w:val="Textoindependiente"/>
        <w:spacing w:line="251" w:lineRule="exact"/>
        <w:ind w:left="142"/>
        <w:rPr>
          <w:b/>
          <w:bCs/>
          <w:sz w:val="24"/>
          <w:szCs w:val="24"/>
        </w:rPr>
      </w:pPr>
    </w:p>
    <w:p w14:paraId="1FEC8747" w14:textId="77777777" w:rsidR="00873135" w:rsidRPr="00873135" w:rsidRDefault="00873135" w:rsidP="00873135">
      <w:pPr>
        <w:pStyle w:val="Textoindependiente"/>
        <w:spacing w:line="251" w:lineRule="exact"/>
        <w:ind w:left="0"/>
        <w:rPr>
          <w:b/>
          <w:bCs/>
          <w:sz w:val="24"/>
          <w:szCs w:val="24"/>
        </w:rPr>
      </w:pPr>
    </w:p>
    <w:p w14:paraId="307F9F55" w14:textId="45C4AB63" w:rsidR="00873135" w:rsidRPr="00873135" w:rsidRDefault="00873135" w:rsidP="00873135">
      <w:pPr>
        <w:pStyle w:val="Textoindependiente"/>
        <w:numPr>
          <w:ilvl w:val="0"/>
          <w:numId w:val="3"/>
        </w:numPr>
        <w:spacing w:line="251" w:lineRule="exact"/>
        <w:jc w:val="center"/>
        <w:rPr>
          <w:b/>
          <w:bCs/>
          <w:sz w:val="24"/>
          <w:szCs w:val="24"/>
        </w:rPr>
      </w:pPr>
      <w:r w:rsidRPr="00873135">
        <w:rPr>
          <w:b/>
          <w:bCs/>
          <w:sz w:val="24"/>
          <w:szCs w:val="24"/>
        </w:rPr>
        <w:t>Referencias</w:t>
      </w:r>
    </w:p>
    <w:p w14:paraId="2E56749E" w14:textId="77777777" w:rsidR="00873135" w:rsidRPr="00873135" w:rsidRDefault="00873135" w:rsidP="00873135">
      <w:pPr>
        <w:pStyle w:val="Textoindependiente"/>
        <w:spacing w:line="251" w:lineRule="exact"/>
        <w:ind w:left="862"/>
        <w:jc w:val="left"/>
        <w:rPr>
          <w:sz w:val="24"/>
          <w:szCs w:val="24"/>
        </w:rPr>
      </w:pPr>
    </w:p>
    <w:bookmarkEnd w:id="0"/>
    <w:p w14:paraId="61F49A5C" w14:textId="78EDC0CA" w:rsidR="001C76F7" w:rsidRPr="00873135" w:rsidRDefault="001C76F7" w:rsidP="00873135">
      <w:pPr>
        <w:pStyle w:val="Textoindependiente"/>
        <w:spacing w:line="251" w:lineRule="exact"/>
        <w:ind w:left="1080"/>
        <w:jc w:val="left"/>
        <w:rPr>
          <w:b/>
          <w:bCs/>
          <w:sz w:val="24"/>
          <w:szCs w:val="24"/>
        </w:rPr>
      </w:pPr>
    </w:p>
    <w:sectPr w:rsidR="001C76F7" w:rsidRPr="00873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C27E" w14:textId="77777777" w:rsidR="00474AC7" w:rsidRDefault="00474AC7" w:rsidP="00D6209E">
      <w:r>
        <w:separator/>
      </w:r>
    </w:p>
  </w:endnote>
  <w:endnote w:type="continuationSeparator" w:id="0">
    <w:p w14:paraId="42FED2B9" w14:textId="77777777" w:rsidR="00474AC7" w:rsidRDefault="00474AC7" w:rsidP="00D62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5F2DB" w14:textId="77777777" w:rsidR="00474AC7" w:rsidRDefault="00474AC7" w:rsidP="00D6209E">
      <w:r>
        <w:separator/>
      </w:r>
    </w:p>
  </w:footnote>
  <w:footnote w:type="continuationSeparator" w:id="0">
    <w:p w14:paraId="41897D35" w14:textId="77777777" w:rsidR="00474AC7" w:rsidRDefault="00474AC7" w:rsidP="00D6209E">
      <w:r>
        <w:continuationSeparator/>
      </w:r>
    </w:p>
  </w:footnote>
  <w:footnote w:id="1">
    <w:p w14:paraId="56CB55E4" w14:textId="10B00002" w:rsidR="00D6209E" w:rsidRDefault="00D6209E" w:rsidP="00D6209E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191754">
        <w:rPr>
          <w:sz w:val="18"/>
          <w:szCs w:val="18"/>
        </w:rPr>
        <w:t xml:space="preserve">Mediante una extensión de la aproximación paramétrica, a fin de considerar la presencia de observaciones censuradas, se ha propuesto la implementación de modelos paramétricos de análisis de supervivencia con riesgos en competencia derivados de una distribución de Weibull </w:t>
      </w:r>
      <w:r w:rsidRPr="00191754">
        <w:rPr>
          <w:color w:val="000000" w:themeColor="text1"/>
          <w:sz w:val="18"/>
          <w:szCs w:val="18"/>
        </w:rPr>
        <w:t>[</w:t>
      </w:r>
      <w:r w:rsidRPr="00191754">
        <w:rPr>
          <w:color w:val="00B0F0"/>
          <w:sz w:val="18"/>
          <w:szCs w:val="18"/>
        </w:rPr>
        <w:t>36</w:t>
      </w:r>
      <w:r w:rsidRPr="00191754">
        <w:rPr>
          <w:sz w:val="18"/>
          <w:szCs w:val="18"/>
        </w:rPr>
        <w:t>]. Conservando el supuesto de riesgos en competencia, se desarrollan dos extensiones alternativas: primero, la implementación de modelos de tiempo de fallo acelerado, en los cuales la función de riesgo está determinada por un término de perturbación que sigue también una distribución de Weibull; y segundo, un modelo de estados múltiples que permite modelar desenlaces múltiples —o eventos de interés múltiples— de manera tal que cada transición corresponde a un modelo de tiempo de fallo acelerado derivado de una distribución de Weibull [</w:t>
      </w:r>
      <w:r w:rsidRPr="00191754">
        <w:rPr>
          <w:color w:val="00B0F0"/>
          <w:sz w:val="18"/>
          <w:szCs w:val="18"/>
        </w:rPr>
        <w:t>37</w:t>
      </w:r>
      <w:r w:rsidRPr="00191754">
        <w:rPr>
          <w:sz w:val="18"/>
          <w:szCs w:val="18"/>
        </w:rPr>
        <w:t>].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DB2"/>
    <w:multiLevelType w:val="hybridMultilevel"/>
    <w:tmpl w:val="7CCE7118"/>
    <w:lvl w:ilvl="0" w:tplc="6D0619A6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EDD36F1"/>
    <w:multiLevelType w:val="hybridMultilevel"/>
    <w:tmpl w:val="4344FA3A"/>
    <w:lvl w:ilvl="0" w:tplc="1390C36A">
      <w:start w:val="1"/>
      <w:numFmt w:val="decimal"/>
      <w:lvlText w:val="%1."/>
      <w:lvlJc w:val="left"/>
      <w:pPr>
        <w:ind w:left="218" w:hanging="360"/>
      </w:pPr>
      <w:rPr>
        <w:rFonts w:hint="default"/>
        <w:w w:val="110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4B84566C"/>
    <w:multiLevelType w:val="hybridMultilevel"/>
    <w:tmpl w:val="86061846"/>
    <w:lvl w:ilvl="0" w:tplc="F72CD6C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D5D08A0"/>
    <w:multiLevelType w:val="hybridMultilevel"/>
    <w:tmpl w:val="0A6AE14E"/>
    <w:lvl w:ilvl="0" w:tplc="A09ADCCC">
      <w:start w:val="1"/>
      <w:numFmt w:val="upperRoman"/>
      <w:lvlText w:val="%1."/>
      <w:lvlJc w:val="left"/>
      <w:pPr>
        <w:ind w:left="1080" w:hanging="720"/>
      </w:pPr>
      <w:rPr>
        <w:rFonts w:hint="default"/>
        <w:w w:val="11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586357">
    <w:abstractNumId w:val="1"/>
  </w:num>
  <w:num w:numId="2" w16cid:durableId="1281959776">
    <w:abstractNumId w:val="3"/>
  </w:num>
  <w:num w:numId="3" w16cid:durableId="913584719">
    <w:abstractNumId w:val="0"/>
  </w:num>
  <w:num w:numId="4" w16cid:durableId="1005787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46"/>
    <w:rsid w:val="00004288"/>
    <w:rsid w:val="00062043"/>
    <w:rsid w:val="0011304E"/>
    <w:rsid w:val="00191754"/>
    <w:rsid w:val="001C76F7"/>
    <w:rsid w:val="00381FCF"/>
    <w:rsid w:val="00406CF3"/>
    <w:rsid w:val="00474AC7"/>
    <w:rsid w:val="0048362E"/>
    <w:rsid w:val="0058637A"/>
    <w:rsid w:val="00593647"/>
    <w:rsid w:val="00716546"/>
    <w:rsid w:val="007B1A3E"/>
    <w:rsid w:val="00873135"/>
    <w:rsid w:val="00896F54"/>
    <w:rsid w:val="00920A2E"/>
    <w:rsid w:val="00924E45"/>
    <w:rsid w:val="00A50E6E"/>
    <w:rsid w:val="00A53720"/>
    <w:rsid w:val="00AD1BFC"/>
    <w:rsid w:val="00B073AA"/>
    <w:rsid w:val="00C051DB"/>
    <w:rsid w:val="00CA2D60"/>
    <w:rsid w:val="00D6209E"/>
    <w:rsid w:val="00D8092D"/>
    <w:rsid w:val="00E57291"/>
    <w:rsid w:val="00E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9524B"/>
  <w15:chartTrackingRefBased/>
  <w15:docId w15:val="{C74E9FB6-05DC-42DD-804F-0242FF0F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w w:val="110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F7"/>
    <w:pPr>
      <w:widowControl w:val="0"/>
      <w:autoSpaceDE w:val="0"/>
      <w:autoSpaceDN w:val="0"/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C76F7"/>
    <w:pPr>
      <w:ind w:left="528"/>
      <w:jc w:val="both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C76F7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Ttulo">
    <w:name w:val="Title"/>
    <w:basedOn w:val="Normal"/>
    <w:link w:val="TtuloCar"/>
    <w:uiPriority w:val="10"/>
    <w:qFormat/>
    <w:rsid w:val="001C76F7"/>
    <w:pPr>
      <w:spacing w:before="164"/>
      <w:ind w:left="324" w:right="321" w:hanging="1"/>
      <w:jc w:val="center"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C76F7"/>
    <w:rPr>
      <w:rFonts w:ascii="Times New Roman" w:eastAsia="Times New Roman" w:hAnsi="Times New Roman" w:cs="Times New Roman"/>
      <w:kern w:val="0"/>
      <w:sz w:val="48"/>
      <w:szCs w:val="48"/>
      <w14:ligatures w14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209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209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2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809B8-D1E0-4544-A0A0-7F7BFEEE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1138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Barona</dc:creator>
  <cp:keywords/>
  <dc:description/>
  <cp:lastModifiedBy>Sergio Barona</cp:lastModifiedBy>
  <cp:revision>10</cp:revision>
  <dcterms:created xsi:type="dcterms:W3CDTF">2023-06-27T15:11:00Z</dcterms:created>
  <dcterms:modified xsi:type="dcterms:W3CDTF">2023-06-28T05:42:00Z</dcterms:modified>
</cp:coreProperties>
</file>