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6F68" w14:textId="632A7B0B" w:rsidR="001C76F7" w:rsidRPr="001C76F7" w:rsidRDefault="001C76F7" w:rsidP="00BD0AEE">
      <w:pPr>
        <w:pStyle w:val="Ttulo"/>
        <w:spacing w:before="0" w:line="242" w:lineRule="auto"/>
        <w:ind w:left="0" w:right="-24" w:firstLine="0"/>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Pr="001C76F7">
        <w:rPr>
          <w:sz w:val="40"/>
          <w:szCs w:val="40"/>
        </w:rPr>
        <w:t>pacientes</w:t>
      </w:r>
      <w:r w:rsidR="00A77991">
        <w:rPr>
          <w:sz w:val="40"/>
          <w:szCs w:val="40"/>
        </w:rPr>
        <w:t xml:space="preserve"> </w:t>
      </w:r>
      <w:r w:rsidRPr="001C76F7">
        <w:rPr>
          <w:spacing w:val="-117"/>
          <w:sz w:val="40"/>
          <w:szCs w:val="40"/>
        </w:rPr>
        <w:t xml:space="preserve"> </w:t>
      </w:r>
      <w:r w:rsidRPr="001C76F7">
        <w:rPr>
          <w:sz w:val="40"/>
          <w:szCs w:val="40"/>
        </w:rPr>
        <w:t>críticos</w:t>
      </w:r>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r w:rsidR="00171FF6">
        <w:rPr>
          <w:rStyle w:val="Refdenotaalpie"/>
          <w:sz w:val="40"/>
          <w:szCs w:val="40"/>
        </w:rPr>
        <w:footnoteReference w:id="1"/>
      </w:r>
    </w:p>
    <w:p w14:paraId="397D072C" w14:textId="68A6E1CA" w:rsidR="001C76F7" w:rsidRPr="001C76F7" w:rsidRDefault="00A77991" w:rsidP="00BD0AEE">
      <w:pPr>
        <w:spacing w:before="287" w:after="160" w:line="264" w:lineRule="exact"/>
        <w:ind w:right="1133" w:firstLine="709"/>
        <w:jc w:val="center"/>
        <w:rPr>
          <w:rFonts w:ascii="Cambria" w:hAnsi="Cambria"/>
          <w:w w:val="105"/>
          <w:position w:val="8"/>
          <w:sz w:val="16"/>
        </w:rPr>
      </w:pPr>
      <w:r>
        <w:rPr>
          <w:w w:val="105"/>
          <w:sz w:val="22"/>
        </w:rPr>
        <w:t>Isabel C. García</w:t>
      </w:r>
      <w:r w:rsidR="001C76F7">
        <w:rPr>
          <w:rFonts w:ascii="Cambria" w:hAnsi="Cambria"/>
          <w:w w:val="105"/>
          <w:position w:val="8"/>
          <w:sz w:val="16"/>
        </w:rPr>
        <w:t>∗</w:t>
      </w:r>
      <w:r w:rsidR="001C76F7">
        <w:rPr>
          <w:w w:val="105"/>
          <w:sz w:val="22"/>
        </w:rPr>
        <w:t>,</w:t>
      </w:r>
      <w:r w:rsidR="001C76F7">
        <w:rPr>
          <w:spacing w:val="22"/>
          <w:w w:val="105"/>
          <w:sz w:val="22"/>
        </w:rPr>
        <w:t xml:space="preserve"> </w:t>
      </w:r>
      <w:r w:rsidR="001C76F7">
        <w:rPr>
          <w:w w:val="105"/>
          <w:sz w:val="22"/>
        </w:rPr>
        <w:t>A</w:t>
      </w:r>
      <w:r>
        <w:rPr>
          <w:w w:val="105"/>
          <w:sz w:val="22"/>
        </w:rPr>
        <w:t>bel Álvarez</w:t>
      </w:r>
      <w:r w:rsidR="001C76F7">
        <w:rPr>
          <w:rFonts w:ascii="Cambria" w:hAnsi="Cambria"/>
          <w:w w:val="105"/>
          <w:position w:val="8"/>
          <w:sz w:val="16"/>
        </w:rPr>
        <w:t>†</w:t>
      </w:r>
      <w:r w:rsidR="001C76F7">
        <w:rPr>
          <w:w w:val="105"/>
          <w:sz w:val="22"/>
        </w:rPr>
        <w:t>,</w:t>
      </w:r>
      <w:r w:rsidR="001C76F7">
        <w:rPr>
          <w:spacing w:val="21"/>
          <w:w w:val="105"/>
          <w:sz w:val="22"/>
        </w:rPr>
        <w:t xml:space="preserve"> </w:t>
      </w:r>
      <w:r w:rsidR="001C76F7">
        <w:rPr>
          <w:w w:val="105"/>
          <w:sz w:val="22"/>
        </w:rPr>
        <w:t>Sergio</w:t>
      </w:r>
      <w:r w:rsidR="001C76F7">
        <w:rPr>
          <w:spacing w:val="22"/>
          <w:w w:val="105"/>
          <w:sz w:val="22"/>
        </w:rPr>
        <w:t xml:space="preserve"> </w:t>
      </w:r>
      <w:r w:rsidR="001C76F7">
        <w:rPr>
          <w:w w:val="105"/>
          <w:sz w:val="22"/>
        </w:rPr>
        <w:t>A.</w:t>
      </w:r>
      <w:r w:rsidR="001C76F7">
        <w:rPr>
          <w:spacing w:val="22"/>
          <w:w w:val="105"/>
          <w:sz w:val="22"/>
        </w:rPr>
        <w:t xml:space="preserve"> </w:t>
      </w:r>
      <w:r w:rsidR="001C76F7">
        <w:rPr>
          <w:w w:val="105"/>
          <w:sz w:val="22"/>
        </w:rPr>
        <w:t>Barona</w:t>
      </w:r>
      <w:r w:rsidR="001C76F7">
        <w:rPr>
          <w:rFonts w:ascii="Cambria" w:hAnsi="Cambria"/>
          <w:w w:val="105"/>
          <w:position w:val="8"/>
          <w:sz w:val="16"/>
        </w:rPr>
        <w:t>‡</w:t>
      </w:r>
    </w:p>
    <w:p w14:paraId="76143B5D" w14:textId="45449394" w:rsidR="001C76F7" w:rsidRPr="00A83CF6" w:rsidRDefault="001C76F7" w:rsidP="001C76F7">
      <w:pPr>
        <w:pStyle w:val="Textoindependiente"/>
        <w:spacing w:line="235" w:lineRule="exact"/>
        <w:ind w:left="0" w:hanging="142"/>
        <w:jc w:val="center"/>
        <w:rPr>
          <w:w w:val="100"/>
        </w:rPr>
      </w:pPr>
      <w:r w:rsidRPr="00A83CF6">
        <w:rPr>
          <w:rFonts w:ascii="Cambria" w:hAnsi="Cambria"/>
          <w:w w:val="100"/>
          <w:position w:val="7"/>
          <w:sz w:val="16"/>
        </w:rPr>
        <w:t>∗</w:t>
      </w:r>
      <w:r w:rsidRPr="00A83CF6">
        <w:rPr>
          <w:rFonts w:ascii="Cambria" w:hAnsi="Cambria"/>
          <w:spacing w:val="28"/>
          <w:w w:val="100"/>
          <w:position w:val="7"/>
          <w:sz w:val="16"/>
        </w:rPr>
        <w:t xml:space="preserve"> </w:t>
      </w:r>
      <w:r w:rsidRPr="00A83CF6">
        <w:rPr>
          <w:w w:val="100"/>
        </w:rPr>
        <w:t>Departamento</w:t>
      </w:r>
      <w:r w:rsidRPr="00A83CF6">
        <w:rPr>
          <w:spacing w:val="36"/>
          <w:w w:val="100"/>
        </w:rPr>
        <w:t xml:space="preserve"> </w:t>
      </w:r>
      <w:r w:rsidRPr="00A83CF6">
        <w:rPr>
          <w:w w:val="100"/>
        </w:rPr>
        <w:t>de</w:t>
      </w:r>
      <w:r w:rsidRPr="00A83CF6">
        <w:rPr>
          <w:spacing w:val="36"/>
          <w:w w:val="100"/>
        </w:rPr>
        <w:t xml:space="preserve"> </w:t>
      </w:r>
      <w:r w:rsidRPr="00A83CF6">
        <w:rPr>
          <w:w w:val="100"/>
        </w:rPr>
        <w:t>Ciencias</w:t>
      </w:r>
      <w:r w:rsidRPr="00A83CF6">
        <w:rPr>
          <w:spacing w:val="36"/>
          <w:w w:val="100"/>
        </w:rPr>
        <w:t xml:space="preserve"> </w:t>
      </w:r>
      <w:r w:rsidRPr="00A83CF6">
        <w:rPr>
          <w:w w:val="100"/>
        </w:rPr>
        <w:t>Naturales</w:t>
      </w:r>
      <w:r w:rsidRPr="00A83CF6">
        <w:rPr>
          <w:spacing w:val="36"/>
          <w:w w:val="100"/>
        </w:rPr>
        <w:t xml:space="preserve"> </w:t>
      </w:r>
      <w:r w:rsidRPr="00A83CF6">
        <w:rPr>
          <w:w w:val="100"/>
        </w:rPr>
        <w:t>y</w:t>
      </w:r>
      <w:r w:rsidRPr="00A83CF6">
        <w:rPr>
          <w:spacing w:val="37"/>
          <w:w w:val="100"/>
        </w:rPr>
        <w:t xml:space="preserve"> </w:t>
      </w:r>
      <w:r w:rsidRPr="00A83CF6">
        <w:rPr>
          <w:w w:val="100"/>
        </w:rPr>
        <w:t>Matemáticas,</w:t>
      </w:r>
      <w:r w:rsidRPr="00A83CF6">
        <w:rPr>
          <w:spacing w:val="36"/>
          <w:w w:val="100"/>
        </w:rPr>
        <w:t xml:space="preserve"> </w:t>
      </w:r>
      <w:r w:rsidRPr="00A83CF6">
        <w:rPr>
          <w:w w:val="100"/>
        </w:rPr>
        <w:t>Pontificia</w:t>
      </w:r>
      <w:r w:rsidRPr="00A83CF6">
        <w:rPr>
          <w:spacing w:val="36"/>
          <w:w w:val="100"/>
        </w:rPr>
        <w:t xml:space="preserve"> </w:t>
      </w:r>
      <w:r w:rsidRPr="00A83CF6">
        <w:rPr>
          <w:w w:val="100"/>
        </w:rPr>
        <w:t>Universidad</w:t>
      </w:r>
      <w:r w:rsidRPr="00A83CF6">
        <w:rPr>
          <w:spacing w:val="36"/>
          <w:w w:val="100"/>
        </w:rPr>
        <w:t xml:space="preserve"> </w:t>
      </w:r>
      <w:r w:rsidRPr="00A83CF6">
        <w:rPr>
          <w:w w:val="100"/>
        </w:rPr>
        <w:t>Javeriana</w:t>
      </w:r>
      <w:r w:rsidRPr="00A83CF6">
        <w:rPr>
          <w:spacing w:val="36"/>
          <w:w w:val="100"/>
        </w:rPr>
        <w:t xml:space="preserve"> </w:t>
      </w:r>
      <w:r w:rsidRPr="00A83CF6">
        <w:rPr>
          <w:w w:val="100"/>
        </w:rPr>
        <w:t>—</w:t>
      </w:r>
      <w:r w:rsidRPr="00A83CF6">
        <w:rPr>
          <w:spacing w:val="37"/>
          <w:w w:val="100"/>
        </w:rPr>
        <w:t xml:space="preserve"> </w:t>
      </w:r>
      <w:r w:rsidRPr="00A83CF6">
        <w:rPr>
          <w:w w:val="100"/>
        </w:rPr>
        <w:t>Cali</w:t>
      </w:r>
    </w:p>
    <w:p w14:paraId="01366656" w14:textId="77777777" w:rsidR="001C76F7" w:rsidRPr="00A83CF6" w:rsidRDefault="001C76F7" w:rsidP="001C76F7">
      <w:pPr>
        <w:pStyle w:val="Textoindependiente"/>
        <w:spacing w:line="236" w:lineRule="exact"/>
        <w:ind w:left="0" w:hanging="142"/>
        <w:jc w:val="center"/>
        <w:rPr>
          <w:w w:val="100"/>
        </w:rPr>
      </w:pPr>
      <w:r w:rsidRPr="00A83CF6">
        <w:rPr>
          <w:rFonts w:ascii="Cambria" w:hAnsi="Cambria"/>
          <w:w w:val="100"/>
          <w:position w:val="7"/>
          <w:sz w:val="16"/>
        </w:rPr>
        <w:t>†</w:t>
      </w:r>
      <w:r w:rsidRPr="00A83CF6">
        <w:rPr>
          <w:w w:val="100"/>
        </w:rPr>
        <w:t>Departamento</w:t>
      </w:r>
      <w:r w:rsidRPr="00A83CF6">
        <w:rPr>
          <w:spacing w:val="1"/>
          <w:w w:val="100"/>
        </w:rPr>
        <w:t xml:space="preserve"> </w:t>
      </w:r>
      <w:r w:rsidRPr="00A83CF6">
        <w:rPr>
          <w:w w:val="100"/>
        </w:rPr>
        <w:t>de</w:t>
      </w:r>
      <w:r w:rsidRPr="00A83CF6">
        <w:rPr>
          <w:spacing w:val="2"/>
          <w:w w:val="100"/>
        </w:rPr>
        <w:t xml:space="preserve"> </w:t>
      </w:r>
      <w:r w:rsidRPr="00A83CF6">
        <w:rPr>
          <w:w w:val="100"/>
        </w:rPr>
        <w:t>Ciencias</w:t>
      </w:r>
      <w:r w:rsidRPr="00A83CF6">
        <w:rPr>
          <w:spacing w:val="2"/>
          <w:w w:val="100"/>
        </w:rPr>
        <w:t xml:space="preserve"> </w:t>
      </w:r>
      <w:r w:rsidRPr="00A83CF6">
        <w:rPr>
          <w:w w:val="100"/>
        </w:rPr>
        <w:t>Naturales</w:t>
      </w:r>
      <w:r w:rsidRPr="00A83CF6">
        <w:rPr>
          <w:spacing w:val="2"/>
          <w:w w:val="100"/>
        </w:rPr>
        <w:t xml:space="preserve"> </w:t>
      </w:r>
      <w:r w:rsidRPr="00A83CF6">
        <w:rPr>
          <w:w w:val="100"/>
        </w:rPr>
        <w:t>y</w:t>
      </w:r>
      <w:r w:rsidRPr="00A83CF6">
        <w:rPr>
          <w:spacing w:val="2"/>
          <w:w w:val="100"/>
        </w:rPr>
        <w:t xml:space="preserve"> </w:t>
      </w:r>
      <w:r w:rsidRPr="00A83CF6">
        <w:rPr>
          <w:w w:val="100"/>
        </w:rPr>
        <w:t>Matemáticas,</w:t>
      </w:r>
      <w:r w:rsidRPr="00A83CF6">
        <w:rPr>
          <w:spacing w:val="1"/>
          <w:w w:val="100"/>
        </w:rPr>
        <w:t xml:space="preserve"> </w:t>
      </w:r>
      <w:r w:rsidRPr="00A83CF6">
        <w:rPr>
          <w:w w:val="100"/>
        </w:rPr>
        <w:t>Pontificia</w:t>
      </w:r>
      <w:r w:rsidRPr="00A83CF6">
        <w:rPr>
          <w:spacing w:val="2"/>
          <w:w w:val="100"/>
        </w:rPr>
        <w:t xml:space="preserve"> </w:t>
      </w:r>
      <w:r w:rsidRPr="00A83CF6">
        <w:rPr>
          <w:w w:val="100"/>
        </w:rPr>
        <w:t>Universidad</w:t>
      </w:r>
      <w:r w:rsidRPr="00A83CF6">
        <w:rPr>
          <w:spacing w:val="2"/>
          <w:w w:val="100"/>
        </w:rPr>
        <w:t xml:space="preserve"> </w:t>
      </w:r>
      <w:r w:rsidRPr="00A83CF6">
        <w:rPr>
          <w:w w:val="100"/>
        </w:rPr>
        <w:t>Javeriana</w:t>
      </w:r>
      <w:r w:rsidRPr="00A83CF6">
        <w:rPr>
          <w:spacing w:val="2"/>
          <w:w w:val="100"/>
        </w:rPr>
        <w:t xml:space="preserve"> </w:t>
      </w:r>
      <w:r w:rsidRPr="00A83CF6">
        <w:rPr>
          <w:w w:val="100"/>
        </w:rPr>
        <w:t>—</w:t>
      </w:r>
      <w:r w:rsidRPr="00A83CF6">
        <w:rPr>
          <w:spacing w:val="2"/>
          <w:w w:val="100"/>
        </w:rPr>
        <w:t xml:space="preserve"> </w:t>
      </w:r>
      <w:r w:rsidRPr="00A83CF6">
        <w:rPr>
          <w:w w:val="100"/>
        </w:rPr>
        <w:t>Cali</w:t>
      </w:r>
    </w:p>
    <w:p w14:paraId="1F0094FC" w14:textId="51CF8FF7" w:rsidR="001C76F7" w:rsidRPr="00A83CF6" w:rsidRDefault="001C76F7" w:rsidP="001C76F7">
      <w:pPr>
        <w:pStyle w:val="Textoindependiente"/>
        <w:spacing w:line="251" w:lineRule="exact"/>
        <w:ind w:left="0" w:hanging="142"/>
        <w:jc w:val="center"/>
        <w:rPr>
          <w:w w:val="100"/>
        </w:rPr>
      </w:pPr>
      <w:r w:rsidRPr="00A83CF6">
        <w:rPr>
          <w:rFonts w:ascii="Cambria" w:hAnsi="Cambria"/>
          <w:w w:val="100"/>
          <w:position w:val="7"/>
          <w:sz w:val="16"/>
        </w:rPr>
        <w:t>‡</w:t>
      </w:r>
      <w:r w:rsidRPr="00A83CF6">
        <w:rPr>
          <w:rFonts w:ascii="Cambria" w:hAnsi="Cambria"/>
          <w:spacing w:val="23"/>
          <w:w w:val="100"/>
          <w:position w:val="7"/>
          <w:sz w:val="16"/>
        </w:rPr>
        <w:t xml:space="preserve"> </w:t>
      </w:r>
      <w:r w:rsidRPr="00A83CF6">
        <w:rPr>
          <w:w w:val="100"/>
        </w:rPr>
        <w:t>Departamento</w:t>
      </w:r>
      <w:r w:rsidRPr="00A83CF6">
        <w:rPr>
          <w:spacing w:val="-1"/>
          <w:w w:val="100"/>
        </w:rPr>
        <w:t xml:space="preserve"> </w:t>
      </w:r>
      <w:r w:rsidRPr="00A83CF6">
        <w:rPr>
          <w:w w:val="100"/>
        </w:rPr>
        <w:t>de Economía,</w:t>
      </w:r>
      <w:r w:rsidRPr="00A83CF6">
        <w:rPr>
          <w:spacing w:val="-1"/>
          <w:w w:val="100"/>
        </w:rPr>
        <w:t xml:space="preserve"> </w:t>
      </w:r>
      <w:r w:rsidRPr="00A83CF6">
        <w:rPr>
          <w:w w:val="100"/>
        </w:rPr>
        <w:t>Pontificia Universidad</w:t>
      </w:r>
      <w:r w:rsidRPr="00A83CF6">
        <w:rPr>
          <w:spacing w:val="-1"/>
          <w:w w:val="100"/>
        </w:rPr>
        <w:t xml:space="preserve"> </w:t>
      </w:r>
      <w:r w:rsidRPr="00A83CF6">
        <w:rPr>
          <w:w w:val="100"/>
        </w:rPr>
        <w:t>Javeriana —</w:t>
      </w:r>
      <w:r w:rsidRPr="00A83CF6">
        <w:rPr>
          <w:spacing w:val="-1"/>
          <w:w w:val="100"/>
        </w:rPr>
        <w:t xml:space="preserve"> </w:t>
      </w:r>
      <w:r w:rsidRPr="00A83CF6">
        <w:rPr>
          <w:w w:val="100"/>
        </w:rPr>
        <w:t>Cali</w:t>
      </w:r>
    </w:p>
    <w:p w14:paraId="3A392E6B" w14:textId="204653D1" w:rsidR="0063130F" w:rsidRDefault="0063130F" w:rsidP="00A77991">
      <w:pPr>
        <w:pStyle w:val="Textoindependiente"/>
        <w:spacing w:line="251" w:lineRule="exact"/>
        <w:ind w:left="0"/>
      </w:pPr>
    </w:p>
    <w:p w14:paraId="450A4F3E" w14:textId="77777777" w:rsidR="00A77991" w:rsidRDefault="00A77991" w:rsidP="00A77991">
      <w:pPr>
        <w:pStyle w:val="Textoindependiente"/>
        <w:spacing w:line="251" w:lineRule="exact"/>
        <w:ind w:left="0"/>
      </w:pPr>
    </w:p>
    <w:p w14:paraId="5A25C00D" w14:textId="7545A06A" w:rsidR="0063130F" w:rsidRDefault="0063130F" w:rsidP="00A77991">
      <w:pPr>
        <w:pStyle w:val="Textoindependiente"/>
        <w:spacing w:line="251" w:lineRule="exact"/>
        <w:ind w:left="0" w:hanging="142"/>
        <w:sectPr w:rsidR="0063130F" w:rsidSect="0063130F">
          <w:footerReference w:type="even" r:id="rId8"/>
          <w:footerReference w:type="default" r:id="rId9"/>
          <w:pgSz w:w="11906" w:h="16838"/>
          <w:pgMar w:top="720" w:right="720" w:bottom="720" w:left="720" w:header="708" w:footer="708" w:gutter="0"/>
          <w:cols w:space="708"/>
          <w:docGrid w:linePitch="360"/>
        </w:sectPr>
      </w:pPr>
    </w:p>
    <w:p w14:paraId="6F6557E1" w14:textId="1DE94DD9" w:rsidR="00E25718" w:rsidRDefault="00E25718" w:rsidP="00237573">
      <w:pPr>
        <w:pStyle w:val="Textoindependiente"/>
        <w:spacing w:line="251" w:lineRule="exact"/>
        <w:ind w:left="0"/>
        <w:rPr>
          <w:b/>
          <w:bCs/>
          <w:sz w:val="24"/>
          <w:szCs w:val="24"/>
        </w:rPr>
      </w:pPr>
    </w:p>
    <w:p w14:paraId="647B2095" w14:textId="32A0DF14" w:rsidR="00AD1BFC" w:rsidRPr="0063130F" w:rsidRDefault="00AD1BFC" w:rsidP="0063130F">
      <w:pPr>
        <w:pStyle w:val="Textoindependiente"/>
        <w:spacing w:after="160" w:line="251" w:lineRule="exact"/>
        <w:ind w:left="142" w:firstLine="284"/>
        <w:rPr>
          <w:w w:val="100"/>
        </w:rPr>
      </w:pPr>
      <w:r w:rsidRPr="0063130F">
        <w:rPr>
          <w:w w:val="100"/>
        </w:rPr>
        <w:t>Los sistemas de salud enfrentaron una presión extrema a consecuencia de la emergencia sanitaria por la pandemia de COVID-19. A medida que el número de casos incrementaba, los sistemas de salud padecieron no sólo la escasez de pruebas de detección, equipos de protección y personal médico; sino, además, la escasez de recursos de cuidados intensivos, en especial, de tecnología para el soporte ventilatorio prolongado en pacientes con fallas respiratorias severas y de camas disponibles en Unidades de Cuidados Intensivos (UCI)</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{"citationItems":[{"id":"ITEM-1","itemData":{"DOI":"10.1186/s13054-020-02890-x","ISSN":"1466609X","PMID":"32321566","author":[{"dropping-particle":"","family":"Siow","given":"Wen Ting","non-dropping-particle":"","parse-names":false,"suffix":""},{"dropping-particle":"","family":"Liew","given":"Mei Fong","non-dropping-particle":"","parse-names":false,"suffix":""},{"dropping-particle":"","family":"Shrestha","given":"Babu Raja","non-dropping-particle":"","parse-names":false,"suffix":""},{"dropping-particle":"","family":"Muchtar","given":"Faisal","non-dropping-particle":"","parse-names":false,"suffix":""},{"dropping-particle":"","family":"See","given":"Kay Choong","non-dropping-particle":"","parse-names":false,"suffix":""}],"container-title":"Critical Care","id":"ITEM-1","issued":{"date-parts":[["2020","4","22"]]},"page":"167","publisher":"BioMed Central Ltd.","title":"Managing COVID-19 in resource-limited settings: Critical care considerations","type":"article","volume":"24"},"uris":["http://www.mendeley.com/documents/?uuid=ddb9ffcd-c888-3496-b220-dc7a025f1cb8"]},{"id":"ITEM-2","itemData":{"DOI":"10.1186/s13054-020-02891-w","ISSN":"1466609X","PMID":"32321562","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 R.","non-dropping-particle":"","parse-names":false,"suffix":""},{"dropping-particle":"","family":"Livigni","given":"Sergio","non-dropping-particle":"","parse-names":false,"suffix":""},{"dropping-particle":"","family":"Mistraletti","given":"Giovanni","non-dropping-particle":"","parse-names":false,"suffix":""},{"dropping-particle":"","family":"Riccioni","given":"Luigi","non-dropping-particle":"","parse-names":false,"suffix":""},{"dropping-particle":"","family":"Petrini","given":"Flavia","non-dropping-particle":"","parse-names":false,"suffix":""}],"container-title":"Critical Care","id":"ITEM-2","issued":{"date-parts":[["2020","4","22"]]},"page":"165","publisher":"BioMed Central Ltd.","title":"Clinical ethics recommendations for the allocation of intensive care treatments in exceptional, resource-limited circumstances: The Italian perspective during the COVID-19 epidemic","type":"article","volume":"24"},"uris":["http://www.mendeley.com/documents/?uuid=34a439df-acc4-3749-ba71-9950925f9e49"]},{"id":"ITEM-3","itemData":{"DOI":"10.1007/s12630","author":[{"dropping-particle":"","family":"Bagshaw","given":"Sean M","non-dropping-particle":"","parse-names":false,"suffix":""},{"dropping-particle":"","family":"Abbott","given":"Annalise","non-dropping-particle":"","parse-names":false,"suffix":""},{"dropping-particle":"","family":"Beesoon","given":"Sanjay","non-dropping-particle":"","parse-names":false,"suffix":""},{"dropping-particle":"","family":"Zuege","given":"Danny J","non-dropping-particle":"","parse-names":false,"suffix":""},{"dropping-particle":"","family":"Wasylak","given":"Tracy","non-dropping-particle":"","parse-names":false,"suffix":""},{"dropping-particle":"","family":"Manns","given":"Braden","non-dropping-particle":"","parse-names":false,"suffix":""},{"dropping-particle":"","family":"Nguyen","given":"Thanh X","non-dropping-particle":"","parse-names":false,"suffix":""}],"container-title":"Canadian Journal of Anesthesia/Journal canadien d'anesthésie","id":"ITEM-3","issued":{"date-parts":[["2022"]]},"page":"1399-1404","title":"Avoidable intensive care unit resource use and costs of unvaccinated patients with COVID-19: a historical population-based cohort study","type":"article-journal","volume":"69"},"uris":["http://www.mendeley.com/documents/?uuid=b25f571b-d98b-3d1f-b412-0ba425eca9f0"]}],"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La presión sobre la disponibilidad de recursos de cuidados intensivos fue subsanada mediante dos tipos de medidas: primero, el control del crecimiento exponencial de los casos de COVID-19</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{"citationItems":[{"id":"ITEM-1","itemData":{"DOI":"10.2807/1560-7917.ES.2020.25.13.2000323","ISSN":"15607917","PMID":"32265003","abstract":"European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author":[{"dropping-particle":"","family":"Verelst","given":"Frederik","non-dropping-particle":"","parse-names":false,"suffix":""},{"dropping-particle":"","family":"Kuylen","given":"Elise","non-dropping-particle":"","parse-names":false,"suffix":""},{"dropping-particle":"","family":"Beutels","given":"Philippe","non-dropping-particle":"","parse-names":false,"suffix":""}],"container-title":"Eurosurveillance","id":"ITEM-1","issue":"13","issued":{"date-parts":[["2020","4","2"]]},"publisher":"European Centre for Disease Prevention and Control (ECDC)","title":"Indications for healthcare surge capacity in European countries facing an exponential increase in coronavirus disease (COVID-19) cases, March 2020","type":"article-journal","volume":"25"},"uris":["http://www.mendeley.com/documents/?uuid=ecda5ea5-ff6e-398f-9f1c-073f2015e7ac"]}],"mendeley":{"formattedCitation":"(4)","plainTextFormattedCitation":"(4)","previouslyFormattedCitation":"(4)"},"properties":{"noteIndex":0},"schema":"https://github.com/citation-style-language/schema/raw/master/csl-citation.json"}</w:instrText>
      </w:r>
      <w:r w:rsidR="004F7D8E" w:rsidRPr="0063130F">
        <w:rPr>
          <w:w w:val="100"/>
        </w:rPr>
        <w:fldChar w:fldCharType="separate"/>
      </w:r>
      <w:r w:rsidR="004F7D8E" w:rsidRPr="0063130F">
        <w:rPr>
          <w:noProof/>
          <w:w w:val="100"/>
        </w:rPr>
        <w:t>(4)</w:t>
      </w:r>
      <w:r w:rsidR="004F7D8E" w:rsidRPr="0063130F">
        <w:rPr>
          <w:w w:val="100"/>
        </w:rPr>
        <w:fldChar w:fldCharType="end"/>
      </w:r>
      <w:r w:rsidRPr="0063130F">
        <w:rPr>
          <w:w w:val="100"/>
        </w:rPr>
        <w:t>; y segundo, la expansión de la capacidad y la asignación de los recursos escaso</w:t>
      </w:r>
      <w:r w:rsidR="001317EC">
        <w:rPr>
          <w:w w:val="100"/>
        </w:rPr>
        <w:t xml:space="preserve">s </w:t>
      </w:r>
      <w:r w:rsidRPr="0063130F">
        <w:rPr>
          <w:w w:val="100"/>
        </w:rPr>
        <w:t xml:space="preserve">según medidas de priorización y racionamiento, ya sea mediante el </w:t>
      </w:r>
      <w:proofErr w:type="spellStart"/>
      <w:r w:rsidRPr="00A77991">
        <w:rPr>
          <w:i/>
          <w:w w:val="100"/>
        </w:rPr>
        <w:t>triaje</w:t>
      </w:r>
      <w:proofErr w:type="spellEnd"/>
      <w:r w:rsidRPr="0063130F">
        <w:rPr>
          <w:w w:val="100"/>
        </w:rPr>
        <w:t xml:space="preserve"> médico fundamentado en la severidad de la enfermedad, ya sea mediante la selección a priori basada en la probabilidad de eficacia del tratamiento </w:t>
      </w:r>
      <w:r w:rsidR="004F7D8E" w:rsidRPr="0063130F">
        <w:rPr>
          <w:w w:val="100"/>
        </w:rPr>
        <w:fldChar w:fldCharType="begin" w:fldLock="1"/>
      </w:r>
      <w:r w:rsidR="004F7D8E" w:rsidRPr="0063130F">
        <w:rPr>
          <w:w w:val="100"/>
        </w:rPr>
        <w:instrText>ADDIN CSL_CITATION {"citationItems":[{"id":"ITEM-1","itemData":{"author":[{"dropping-particle":"","family":"Emanuel","given":"Ezekiel J","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Medicine","id":"ITEM-1","issue":"21","issued":{"date-parts":[["2020"]]},"page":"2049-2053","title":"Fair Allocation of Scarce Medical Resources in the Time of Covid-19","type":"article-journal","volume":"382"},"uris":["http://www.mendeley.com/documents/?uuid=b3f159f7-7bc1-35ad-9de9-9fe849394729"]}],"mendeley":{"formattedCitation":"(5)","plainTextFormattedCitation":"(5)","previouslyFormattedCitation":"(5)"},"properties":{"noteIndex":0},"schema":"https://github.com/citation-style-language/schema/raw/master/csl-citation.json"}</w:instrText>
      </w:r>
      <w:r w:rsidR="004F7D8E" w:rsidRPr="0063130F">
        <w:rPr>
          <w:w w:val="100"/>
        </w:rPr>
        <w:fldChar w:fldCharType="separate"/>
      </w:r>
      <w:r w:rsidR="004F7D8E" w:rsidRPr="0063130F">
        <w:rPr>
          <w:noProof/>
          <w:w w:val="100"/>
        </w:rPr>
        <w:t>(5)</w:t>
      </w:r>
      <w:r w:rsidR="004F7D8E" w:rsidRPr="0063130F">
        <w:rPr>
          <w:w w:val="100"/>
        </w:rPr>
        <w:fldChar w:fldCharType="end"/>
      </w:r>
      <w:r w:rsidRPr="0063130F">
        <w:rPr>
          <w:w w:val="100"/>
        </w:rPr>
        <w:t>.</w:t>
      </w:r>
    </w:p>
    <w:p w14:paraId="39D5C0EC" w14:textId="3B7B2707" w:rsidR="0058637A" w:rsidRPr="0063130F" w:rsidRDefault="00AD1BFC" w:rsidP="0063130F">
      <w:pPr>
        <w:pStyle w:val="Textoindependiente"/>
        <w:spacing w:after="160" w:line="251" w:lineRule="exact"/>
        <w:ind w:left="142" w:firstLine="284"/>
        <w:rPr>
          <w:w w:val="100"/>
        </w:rPr>
      </w:pPr>
      <w:r w:rsidRPr="0063130F">
        <w:rPr>
          <w:w w:val="100"/>
        </w:rPr>
        <w:t xml:space="preserve">La </w:t>
      </w:r>
      <w:r w:rsidR="00E57291" w:rsidRPr="0063130F">
        <w:rPr>
          <w:w w:val="100"/>
        </w:rPr>
        <w:t xml:space="preserve">priorización según la selección </w:t>
      </w:r>
      <w:r w:rsidR="00E57291" w:rsidRPr="0063130F">
        <w:rPr>
          <w:i/>
          <w:iCs/>
          <w:w w:val="100"/>
        </w:rPr>
        <w:t xml:space="preserve">a priori </w:t>
      </w:r>
      <w:r w:rsidR="00E57291" w:rsidRPr="0063130F">
        <w:rPr>
          <w:w w:val="100"/>
        </w:rPr>
        <w:t xml:space="preserve">se ha fundamentado en la identificación de factores de riesgo. Estudios anteriores </w:t>
      </w:r>
      <w:r w:rsidR="00924E45" w:rsidRPr="0063130F">
        <w:rPr>
          <w:w w:val="100"/>
        </w:rPr>
        <w:t>han mostrado</w:t>
      </w:r>
      <w:r w:rsidR="00E57291" w:rsidRPr="0063130F">
        <w:rPr>
          <w:w w:val="100"/>
        </w:rPr>
        <w:t xml:space="preserve"> que los pacientes de COVID-19 con edad </w:t>
      </w:r>
      <w:r w:rsidR="00924E45" w:rsidRPr="0063130F">
        <w:rPr>
          <w:w w:val="100"/>
        </w:rPr>
        <w:t xml:space="preserve">avanzada </w:t>
      </w:r>
      <w:r w:rsidR="00E57291" w:rsidRPr="0063130F">
        <w:rPr>
          <w:w w:val="100"/>
        </w:rPr>
        <w:t xml:space="preserve">muestran un mayor riesgo de desarrollar síndrome de dificultad respiratoria aguda y, en general, registran una tasa superior de mortalidad en UCI </w:t>
      </w:r>
      <w:r w:rsidR="004F7D8E" w:rsidRPr="0063130F">
        <w:rPr>
          <w:w w:val="100"/>
        </w:rPr>
        <w:fldChar w:fldCharType="begin" w:fldLock="1"/>
      </w:r>
      <w:r w:rsidR="004F7D8E"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4F7D8E" w:rsidRPr="0063130F">
        <w:rPr>
          <w:w w:val="100"/>
        </w:rPr>
        <w:fldChar w:fldCharType="separate"/>
      </w:r>
      <w:r w:rsidR="004F7D8E" w:rsidRPr="0063130F">
        <w:rPr>
          <w:noProof/>
          <w:w w:val="100"/>
        </w:rPr>
        <w:t>(6)</w:t>
      </w:r>
      <w:r w:rsidR="004F7D8E" w:rsidRPr="0063130F">
        <w:rPr>
          <w:w w:val="100"/>
        </w:rPr>
        <w:fldChar w:fldCharType="end"/>
      </w:r>
      <w:r w:rsidR="00E57291" w:rsidRPr="0063130F">
        <w:rPr>
          <w:w w:val="100"/>
        </w:rPr>
        <w:t xml:space="preserve">. </w:t>
      </w:r>
      <w:r w:rsidR="00924E45" w:rsidRPr="0063130F">
        <w:rPr>
          <w:w w:val="100"/>
        </w:rPr>
        <w:t>De manera</w:t>
      </w:r>
      <w:r w:rsidR="00E57291" w:rsidRPr="0063130F">
        <w:rPr>
          <w:w w:val="100"/>
        </w:rPr>
        <w:t xml:space="preserve"> similar, se ha verificado que, en comparación con una cohorte de pacientes de sexo femenino con características similares, los pacientes de COVID-19 con sexo masculino muestran un mayor riesgo de hospitalización, de ser ingresados en UCI y de requerir ventilación mecánica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{"citationItems":[{"id":"ITEM-1","itemData":{"DOI":"10.1111/bph.15207","ISSN":"14765381","PMID":"32698249","abstract":"Many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author":[{"dropping-particle":"","family":"Penna","given":"Claudia","non-dropping-particle":"","parse-names":false,"suffix":""},{"dropping-particle":"","family":"Mercurio","given":"Valentina","non-dropping-particle":"","parse-names":false,"suffix":""},{"dropping-particle":"","family":"Tocchetti","given":"Carlo G.","non-dropping-particle":"","parse-names":false,"suffix":""},{"dropping-particle":"","family":"Pagliaro","given":"Pasquale","non-dropping-particle":"","parse-names":false,"suffix":""}],"container-title":"British Journal of Pharmacology","id":"ITEM-1","issue":"19","issued":{"date-parts":[["2020"]]},"page":"4375-4385","title":"Sex-related differences in COVID-19 lethality","type":"article-journal","volume":"177"},"uris":["http://www.mendeley.com/documents/?uuid=e8f63d65-a6db-480d-bd25-14580db71e96"]}],"mendeley":{"formattedCitation":"(7)","plainTextFormattedCitation":"(7)","previouslyFormattedCitation":"(7)"},"properties":{"noteIndex":0},"schema":"https://github.com/citation-style-language/schema/raw/master/csl-citation.json"}</w:instrText>
      </w:r>
      <w:r w:rsidR="004F7D8E" w:rsidRPr="0063130F">
        <w:rPr>
          <w:w w:val="100"/>
        </w:rPr>
        <w:fldChar w:fldCharType="separate"/>
      </w:r>
      <w:r w:rsidR="004F7D8E" w:rsidRPr="0063130F">
        <w:rPr>
          <w:noProof/>
          <w:w w:val="100"/>
        </w:rPr>
        <w:t>(7)</w:t>
      </w:r>
      <w:r w:rsidR="004F7D8E" w:rsidRPr="0063130F">
        <w:rPr>
          <w:w w:val="100"/>
        </w:rPr>
        <w:fldChar w:fldCharType="end"/>
      </w:r>
      <w:r w:rsidR="00E57291" w:rsidRPr="0063130F">
        <w:rPr>
          <w:w w:val="100"/>
        </w:rPr>
        <w:t>. De hecho, un metaanálisis de casos global</w:t>
      </w:r>
      <w:r w:rsidR="00924E45" w:rsidRPr="0063130F">
        <w:rPr>
          <w:w w:val="100"/>
        </w:rPr>
        <w:t>es</w:t>
      </w:r>
      <w:r w:rsidR="00E57291" w:rsidRPr="0063130F">
        <w:rPr>
          <w:w w:val="100"/>
        </w:rPr>
        <w:t xml:space="preserve"> muestra que, aun cuando existe una distribución similar de pacientes </w:t>
      </w:r>
      <w:bookmarkStart w:id="1" w:name="_GoBack"/>
      <w:bookmarkEnd w:id="1"/>
      <w:r w:rsidR="00E57291" w:rsidRPr="0063130F">
        <w:rPr>
          <w:w w:val="100"/>
        </w:rPr>
        <w:t xml:space="preserve">según el sexo, </w:t>
      </w:r>
      <w:r w:rsidR="00924E45" w:rsidRPr="0063130F">
        <w:rPr>
          <w:w w:val="100"/>
        </w:rPr>
        <w:t>la</w:t>
      </w:r>
      <w:r w:rsidR="00E57291" w:rsidRPr="0063130F">
        <w:rPr>
          <w:w w:val="100"/>
        </w:rPr>
        <w:t xml:space="preserve"> </w:t>
      </w:r>
      <w:r w:rsidR="00924E45" w:rsidRPr="0063130F">
        <w:rPr>
          <w:w w:val="100"/>
        </w:rPr>
        <w:t>conclusión</w:t>
      </w:r>
      <w:r w:rsidR="00E57291" w:rsidRPr="0063130F">
        <w:rPr>
          <w:w w:val="100"/>
        </w:rPr>
        <w:t xml:space="preserve"> anterior se conserva </w:t>
      </w:r>
      <w:r w:rsidR="004F7D8E" w:rsidRPr="0063130F">
        <w:rPr>
          <w:w w:val="100"/>
        </w:rPr>
        <w:fldChar w:fldCharType="begin" w:fldLock="1"/>
      </w:r>
      <w:r w:rsidR="004F7D8E" w:rsidRPr="0063130F">
        <w:rPr>
          <w:w w:val="100"/>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mendeley":{"formattedCitation":"(8)","plainTextFormattedCitation":"(8)","previouslyFormattedCitation":"(8)"},"properties":{"noteIndex":0},"schema":"https://github.com/citation-style-language/schema/raw/master/csl-citation.json"}</w:instrText>
      </w:r>
      <w:r w:rsidR="004F7D8E" w:rsidRPr="0063130F">
        <w:rPr>
          <w:w w:val="100"/>
        </w:rPr>
        <w:fldChar w:fldCharType="separate"/>
      </w:r>
      <w:r w:rsidR="004F7D8E" w:rsidRPr="0063130F">
        <w:rPr>
          <w:noProof/>
          <w:w w:val="100"/>
        </w:rPr>
        <w:t>(8)</w:t>
      </w:r>
      <w:r w:rsidR="004F7D8E" w:rsidRPr="0063130F">
        <w:rPr>
          <w:w w:val="100"/>
        </w:rPr>
        <w:fldChar w:fldCharType="end"/>
      </w:r>
      <w:r w:rsidR="00E57291" w:rsidRPr="0063130F">
        <w:rPr>
          <w:w w:val="100"/>
        </w:rPr>
        <w:t xml:space="preserve">. Además de la edad </w:t>
      </w:r>
      <w:r w:rsidR="00E57291" w:rsidRPr="0063130F">
        <w:rPr>
          <w:w w:val="100"/>
        </w:rPr>
        <w:t>avanzada y el sexo masculino, estudios previos han identificado</w:t>
      </w:r>
      <w:r w:rsidR="00924E45" w:rsidRPr="0063130F">
        <w:rPr>
          <w:w w:val="100"/>
        </w:rPr>
        <w:t xml:space="preserve"> otros</w:t>
      </w:r>
      <w:r w:rsidR="00E57291" w:rsidRPr="0063130F">
        <w:rPr>
          <w:w w:val="100"/>
        </w:rPr>
        <w:t xml:space="preserve"> factores de riesgo: comorbilidades (</w:t>
      </w:r>
      <w:r w:rsidR="00E57291" w:rsidRPr="0063130F">
        <w:rPr>
          <w:i/>
          <w:iCs/>
          <w:w w:val="100"/>
        </w:rPr>
        <w:t>v.gr.</w:t>
      </w:r>
      <w:r w:rsidR="00E57291" w:rsidRPr="0063130F">
        <w:rPr>
          <w:w w:val="100"/>
        </w:rPr>
        <w:t xml:space="preserve">: obesidad, hipertensión arterial, enfermedad pulmonar obstructiva crónica, diabetes mellitus, enfermedades cardiovasculares preexistentes, etc.) </w:t>
      </w:r>
      <w:r w:rsidR="004F7D8E" w:rsidRPr="0063130F">
        <w:rPr>
          <w:w w:val="100"/>
        </w:rPr>
        <w:fldChar w:fldCharType="begin" w:fldLock="1"/>
      </w:r>
      <w:r w:rsidR="004F7D8E" w:rsidRPr="0063130F">
        <w:rPr>
          <w:w w:val="100"/>
        </w:rPr>
        <w:instrText>ADDIN CSL_CITATION {"citationItems":[{"id":"ITEM-1","itemData":{"author":[{"dropping-particle":"","family":"Richardson","given":"Safiya","non-dropping-particle":"","parse-names":false,"suffix":""},{"dropping-particle":"","family":"Hirsch","given":"Jamie S.","non-dropping-particle":"","parse-names":false,"suffix":""},{"dropping-particle":"","family":"Narasimhan","given":"Mangala","non-dropping-particle":"","parse-names":false,"suffix":""},{"dropping-particle":"","family":"Crawford","given":"James M.","non-dropping-particle":"","parse-names":false,"suffix":""},{"dropping-particle":"","family":"McGinn","given":"Thomas","non-dropping-particle":"","parse-names":false,"suffix":""},{"dropping-particle":"","family":"Davidson","given":"Karina W.","non-dropping-particle":"","parse-names":false,"suffix":""},{"dropping-particle":"","family":"Barnaby","given":"Douglas P.","non-dropping-particle":"","parse-names":false,"suffix":""},{"dropping-particle":"","family":"Becker","given":"Lance B.","non-dropping-particle":"","parse-names":false,"suffix":""},{"dropping-particle":"","family":"Chelico","given":"John D.","non-dropping-particle":"","parse-names":false,"suffix":""},{"dropping-particle":"","family":"Cohen","given":"Stuart L.","non-dropping-particle":"","parse-names":false,"suffix":""},{"dropping-particle":"","family":"Cookingham","given":"Jennifer","non-dropping-particle":"","parse-names":false,"suffix":""},{"dropping-particle":"","family":"Coppa","given":"Kevin","non-dropping-particle":"","parse-names":false,"suffix":""},{"dropping-particle":"","family":"Diefenbach","given":"Michael A.","non-dropping-particle":"","parse-names":false,"suffix":""},{"dropping-particle":"","family":"Dominello","given":"Andrew J.","non-dropping-particle":"","parse-names":false,"suffix":""},{"dropping-particle":"","family":"Duer-Hefele","given":"Joan","non-dropping-particle":"","parse-names":false,"suffix":""},{"dropping-particle":"","family":"Falzon","given":"Louise","non-dropping-particle":"","parse-names":false,"suffix":""},{"dropping-particle":"","family":"Gitlin","given":"Jordan","non-dropping-particle":"","parse-names":false,"suffix":""},{"dropping-particle":"","family":"Hajizadeh","given":"Negin","non-dropping-particle":"","parse-names":false,"suffix":""},{"dropping-particle":"","family":"Harvin","given":"Tiffany G.","non-dropping-particle":"","parse-names":false,"suffix":""},{"dropping-particle":"","family":"Hirschwerk","given":"David A.","non-dropping-particle":"","parse-names":false,"suffix":""},{"dropping-particle":"","family":"Kim","given":"Eun Ji","non-dropping-particle":"","parse-names":false,"suffix":""},{"dropping-particle":"","family":"Kozel","given":"Zachary M.","non-dropping-particle":"","parse-names":false,"suffix":""},{"dropping-particle":"","family":"Marrast","given":"Lyndonna M.","non-dropping-particle":"","parse-names":false,"suffix":""},{"dropping-particle":"","family":"Mogavero","given":"Jazmin N.","non-dropping-particle":"","parse-names":false,"suffix":""},{"dropping-particle":"","family":"Osorio","given":"Gabrielle A.","non-dropping-particle":"","parse-names":false,"suffix":""},{"dropping-particle":"","family":"Qiu","given":"Michael","non-dropping-particle":"","parse-names":false,"suffix":""},{"dropping-particle":"","family":"Zanos","given":"Theodoros P.","non-dropping-particle":"","parse-names":false,"suffix":""}],"container-title":"JAMA - Journal of the American Medical Association","id":"ITEM-1","issue":"20","issued":{"date-parts":[["2020"]]},"page":"2052-2059","title":"Presenting Characteristics, Comorbidities, and Outcomes among 5700 Patients Hospitalized with COVID-19 in the New York City Area","type":"article-journal","volume":"323"},"uris":["http://www.mendeley.com/documents/?uuid=e4777f56-8785-41e1-870a-923468dd5a76"]},{"id":"ITEM-2","itemData":{"DOI":"10.1016/S0140-6736(20)31189-2","ISSN":"1474547X","PMID":"32442528","abstract":"Background: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COVID-1…","author":[{"dropping-particle":"","family":"Cummings","given":"Matthew J.","non-dropping-particle":"","parse-names":false,"suffix":""},{"dropping-particle":"","family":"Baldwin","given":"Matthew R.","non-dropping-particle":"","parse-names":false,"suffix":""},{"dropping-particle":"","family":"Abrams","given":"Darryl","non-dropping-particle":"","parse-names":false,"suffix":""},{"dropping-particle":"","family":"Jacobson","given":"Samuel D.","non-dropping-particle":"","parse-names":false,"suffix":""},{"dropping-particle":"","family":"Meyer","given":"Benjamin J.","non-dropping-particle":"","parse-names":false,"suffix":""},{"dropping-particle":"","family":"Balough","given":"Elizabeth M.","non-dropping-particle":"","parse-names":false,"suffix":""},{"dropping-particle":"","family":"Aaron","given":"Justin G.","non-dropping-particle":"","parse-names":false,"suffix":""},{"dropping-particle":"","family":"Claassen","given":"Jan","non-dropping-particle":"","parse-names":false,"suffix":""},{"dropping-particle":"","family":"Rabbani","given":"Le Roy E.","non-dropping-particle":"","parse-names":false,"suffix":""},{"dropping-particle":"","family":"Hastie","given":"Jonathan","non-dropping-particle":"","parse-names":false,"suffix":""},{"dropping-particle":"","family":"Hochman","given":"Beth R.","non-dropping-particle":"","parse-names":false,"suffix":""},{"dropping-particle":"","family":"Salazar-Schicchi","given":"John","non-dropping-particle":"","parse-names":false,"suffix":""},{"dropping-particle":"","family":"Yip","given":"Natalie H.","non-dropping-particle":"","parse-names":false,"suffix":""},{"dropping-particle":"","family":"Brodie","given":"Daniel","non-dropping-particle":"","parse-names":false,"suffix":""},{"dropping-particle":"","family":"O'Donnell","given":"Max R.","non-dropping-particle":"","parse-names":false,"suffix":""}],"container-title":"Lancet","id":"ITEM-2","issued":{"date-parts":[["2020"]]},"note":"XXV. Anotaciones sobre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 \n\nRmk 1: el objetivo de la investigación de Cummings et al. (2020) es el siguiente: se caracteriza la evolución clínica y los factores de riesgo de la mortalidad en el hospital para pacientes críticos con COVID-19 en dos hospitales de New York.\n\nRmk 2: 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etc.\n\nEl análisis estadístico implica que se crean gráficos de incidencia según el método de Kaplan-Meier. Esto implica que la variable de interés es &amp;quot;Time since hospital admission (days)&amp;quot;; y la variable de la ordenada, &amp;quot;Cumulative incidence&amp;quot;. El resultado es el siguiente: Kaplan-Meier cumulative incidence curve for in-hospital death among critcally ill patients with COVID-19.\n\n\nXXXIII. Segundas notas a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1763–1770\n\nRmk 1 [Regresión de Cox]: 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chornic cardiac disease, chronic obstructive pulmonary disease, chronic kidney disease, diabetes, body-mass index.","page":"1763-1770","publisher":"Elsevier Ltd","title":"Epidemiology, clinical course, and outcomes of critically ill adults with COVID-19 in New York City: a prospective cohort study","type":"article-journal","volume":"395"},"uris":["http://www.mendeley.com/documents/?uuid=0c90cb66-c194-4edb-a531-f1ed1289d6bd"]},{"id":"ITEM-3","itemData":{"author":[{"dropping-particle":"","family":"Zhou","given":"Shuliang","non-dropping-particle":"","parse-names":false,"suffix":""},{"dropping-particle":"","family":"Yang","given":"Yadong","non-dropping-particle":"","parse-names":false,"suffix":""},{"dropping-particle":"","family":"Zhang","given":"Xingguo","non-dropping-particle":"","parse-names":false,"suffix":""},{"dropping-particle":"","family":"Li","given":"Zhifeng","non-dropping-particle":"","parse-names":false,"suffix":""},{"dropping-particle":"","family":"Liu","given":"Xing","non-dropping-particle":"","parse-names":false,"suffix":""},{"dropping-particle":"","family":"Hu","given":"Chang","non-dropping-particle":"","parse-names":false,"suffix":""},{"dropping-particle":"","family":"Chen","given":"Chunxi","non-dropping-particle":"","parse-names":false,"suffix":""},{"dropping-particle":"","family":"Wang","given":"Dawei","non-dropping-particle":"","parse-names":false,"suffix":""},{"dropping-particle":"","family":"Peng","given":"Zhiyong","non-dropping-particle":"","parse-names":false,"suffix":""}],"container-title":"Shock","id":"ITEM-3","issue":"5","issued":{"date-parts":[["2020"]]},"note":"XXI. Anotaciones sobre Zhou, S., Yang, Y., Zhang, X., Li, Z., Liu, X., Hu, C., Chen, C., Wang, D., &amp;amp; Peng, Z. (2020). Clinical Course of 195 Critically Ill COVID-19 Patients: A Retrospective Multicenter Study. Shock (Augusta, Ga.), 54(5), 644–651.\n\nRmk 1: la comprensión de las enfermedades críticas de pacientes con COVID-19 es útil para identificar y priorizar pacientes en relación con el riesgo de muerte, la asignación racional sde recursos, evolución de la enfermedad crítica, experiencia de la terapia, etc. \n\nAsí, el objetivo del artículo es analizar la evolución de los 195 pacientes de COVID-19 con enfermedades críticas durante la hospitalización.\n\nRmk 2: 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\n\nRmk 3: el análisis estadístico desarrollado es el siguiente: primero, las variables categóricas se presentan según frecuencias y porcentajas; segundo, las variables continuas se presentan según la media, la desviación estándar, mediana y rangos intercuartílicos.\n\nEl método de Kaplan-Meier fue empleado para presentar la probabilidad de sobrevivir sobre la duración del seguimiento. La regresión logística multivariada es usada para identificar las variables explicativas de la mortalidad.\n\nRmk 4: entre los 195 pacientes críticos, 181 recibieron ventilación mecánica, los cuales incluyen 84 no invasivos y 97 invasivos. Entre los 26 muertos, 16 pacientes murieron a causa del número precario de camas UCI.\n\nMediante el método de Kaplan-Meier, se estima la curva de supervivencia para los 195 pacientes con enfermedades críticas. (Nótese que la variable de interés es &amp;quot;Time from Onset of Critical Illness (Days)&amp;quot;; y la variable de la ordenada, la probabilidad de supervivencia). \n\nEl 42.1% de los pacientes murieron dentro de 28 días, y la mayoría de muertes ocurren en las primeras dos semanas. La mortalidad de UCI se registró en 33%, y 16 de ellos murieron antes de la dmisión en UCI.\n\nFinal rmk: nótese que, en este caso, la estimación no-paramétrica de la curva de supervivencia opera sobre la variable &amp;quot;Time from onset of critical illness&amp;quot;. Esto significa, entre otras cosas, que el análisis de supervivencia no se circunscribe al tiempo de permanencia en UCI. La utilidad para nuestra investigación no es completamente clara.","page":"644-651","title":"Clinical Course of 195 Critically Ill COVID-19 Patients: A Retrospective Multicenter Study","type":"article-journal","volume":"54"},"uris":["http://www.mendeley.com/documents/?uuid=ca6b089d-92b4-441b-81c7-3b32a068e048"]}],"mendeley":{"formattedCitation":"(9–11)","plainTextFormattedCitation":"(9–11)","previouslyFormattedCitation":"(9–11)"},"properties":{"noteIndex":0},"schema":"https://github.com/citation-style-language/schema/raw/master/csl-citation.json"}</w:instrText>
      </w:r>
      <w:r w:rsidR="004F7D8E" w:rsidRPr="0063130F">
        <w:rPr>
          <w:w w:val="100"/>
        </w:rPr>
        <w:fldChar w:fldCharType="separate"/>
      </w:r>
      <w:r w:rsidR="004F7D8E" w:rsidRPr="0063130F">
        <w:rPr>
          <w:noProof/>
          <w:w w:val="100"/>
        </w:rPr>
        <w:t>(9–11)</w:t>
      </w:r>
      <w:r w:rsidR="004F7D8E" w:rsidRPr="0063130F">
        <w:rPr>
          <w:w w:val="100"/>
        </w:rPr>
        <w:fldChar w:fldCharType="end"/>
      </w:r>
      <w:r w:rsidR="00E57291" w:rsidRPr="0063130F">
        <w:rPr>
          <w:w w:val="100"/>
        </w:rPr>
        <w:t xml:space="preserve">, </w:t>
      </w:r>
      <w:r w:rsidR="00924E45" w:rsidRPr="0063130F">
        <w:rPr>
          <w:w w:val="100"/>
        </w:rPr>
        <w:t>tabaquismo</w:t>
      </w:r>
      <w:r w:rsidR="00EE64FA" w:rsidRPr="0063130F">
        <w:rPr>
          <w:w w:val="100"/>
        </w:rPr>
        <w:t xml:space="preserve"> </w:t>
      </w:r>
      <w:r w:rsidR="00924E45" w:rsidRPr="0063130F">
        <w:rPr>
          <w:w w:val="100"/>
        </w:rPr>
        <w:t>y el puntaje de los sistemas de clasificación de severidad de la enfermedad en UCI (</w:t>
      </w:r>
      <w:r w:rsidR="00924E45" w:rsidRPr="0063130F">
        <w:rPr>
          <w:i/>
          <w:iCs/>
          <w:w w:val="100"/>
        </w:rPr>
        <w:t>v.gr.:</w:t>
      </w:r>
      <w:r w:rsidR="00924E45" w:rsidRPr="0063130F">
        <w:rPr>
          <w:w w:val="100"/>
        </w:rPr>
        <w:t xml:space="preserve"> puntajes SAPS II, APACHE II y SOFA) </w:t>
      </w:r>
      <w:r w:rsidR="004F7D8E" w:rsidRPr="0063130F">
        <w:rPr>
          <w:w w:val="100"/>
        </w:rPr>
        <w:fldChar w:fldCharType="begin" w:fldLock="1"/>
      </w:r>
      <w:r w:rsidR="004F7D8E" w:rsidRPr="0063130F">
        <w:rPr>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4F7D8E" w:rsidRPr="0063130F">
        <w:rPr>
          <w:w w:val="100"/>
        </w:rPr>
        <w:fldChar w:fldCharType="separate"/>
      </w:r>
      <w:r w:rsidR="004F7D8E" w:rsidRPr="0063130F">
        <w:rPr>
          <w:noProof/>
          <w:w w:val="100"/>
        </w:rPr>
        <w:t>(12)</w:t>
      </w:r>
      <w:r w:rsidR="004F7D8E" w:rsidRPr="0063130F">
        <w:rPr>
          <w:w w:val="100"/>
        </w:rPr>
        <w:fldChar w:fldCharType="end"/>
      </w:r>
      <w:r w:rsidR="00924E45" w:rsidRPr="0063130F">
        <w:rPr>
          <w:w w:val="100"/>
        </w:rPr>
        <w:t>.</w:t>
      </w:r>
    </w:p>
    <w:p w14:paraId="5D842BB6" w14:textId="712BB3C4" w:rsidR="001356B7" w:rsidRPr="001356B7" w:rsidRDefault="0011304E" w:rsidP="001356B7">
      <w:pPr>
        <w:pStyle w:val="Textoindependiente"/>
        <w:spacing w:after="160" w:line="251" w:lineRule="exact"/>
        <w:ind w:left="142" w:firstLine="284"/>
        <w:rPr>
          <w:color w:val="000000" w:themeColor="text1"/>
          <w:w w:val="100"/>
        </w:rPr>
        <w:sectPr w:rsidR="001356B7" w:rsidRPr="001356B7" w:rsidSect="0063130F">
          <w:type w:val="continuous"/>
          <w:pgSz w:w="11906" w:h="16838"/>
          <w:pgMar w:top="720" w:right="720" w:bottom="720" w:left="720" w:header="708" w:footer="708" w:gutter="0"/>
          <w:cols w:num="2" w:space="708"/>
          <w:docGrid w:linePitch="360"/>
        </w:sectPr>
      </w:pPr>
      <w:r w:rsidRPr="0063130F">
        <w:rPr>
          <w:w w:val="100"/>
        </w:rPr>
        <w:t xml:space="preserve">La relación entre los factores de riesgo y la supervivencia en UCI para pacientes de COVID-19 ha sido examinada mediante tres métodos fundamentales. </w:t>
      </w:r>
      <w:r w:rsidRPr="0063130F">
        <w:rPr>
          <w:b/>
          <w:bCs/>
          <w:w w:val="100"/>
        </w:rPr>
        <w:t>En primer lugar</w:t>
      </w:r>
      <w:r w:rsidRPr="0063130F">
        <w:rPr>
          <w:w w:val="100"/>
        </w:rPr>
        <w:t xml:space="preserve">, se han </w:t>
      </w:r>
      <w:r w:rsidR="00D6209E" w:rsidRPr="0063130F">
        <w:rPr>
          <w:w w:val="100"/>
        </w:rPr>
        <w:t>propuesto</w:t>
      </w:r>
      <w:r w:rsidRPr="0063130F">
        <w:rPr>
          <w:w w:val="100"/>
        </w:rPr>
        <w:t xml:space="preserve"> modelos paramétricos que conservan la hipótesis según la cual el tiempo de permanencia en UCI sigue una distribución positivamente asimétrica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author":[{"dropping-particle":"","family":"Marazzi","given":"A.","non-dropping-particle":"","parse-names":false,"suffix":""},{"dropping-particle":"","family":"Paccaud","given":"F.","non-dropping-particle":"","parse-names":false,"suffix":""},{"dropping-particle":"","family":"Ruffieux","given":"C.","non-dropping-particle":"","parse-names":false,"suffix":""},{"dropping-particle":"","family":"Beguin","given":"C.","non-dropping-particle":"","parse-names":false,"suffix":""}],"container-title":"Medical Care","id":"ITEM-1","issue":"6","issued":{"date-parts":[["1998"]]},"page":"915-927","title":"Fitting the distributions of length of stay by parametric models","type":"article-journal","volume":"36"},"uris":["http://www.mendeley.com/documents/?uuid=187c208d-5efb-32e1-9375-68ee8119a453"]}],"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xml:space="preserve">, </w:t>
      </w:r>
      <w:r w:rsidR="00D6209E" w:rsidRPr="0063130F">
        <w:rPr>
          <w:w w:val="100"/>
        </w:rPr>
        <w:t>más precisamente</w:t>
      </w:r>
      <w:r w:rsidRPr="0063130F">
        <w:rPr>
          <w:w w:val="100"/>
        </w:rPr>
        <w:t>, una distribución de la familia gamma generalizada</w:t>
      </w:r>
      <w:r w:rsidR="00A50E6E" w:rsidRPr="0063130F">
        <w:rPr>
          <w:w w:val="100"/>
        </w:rPr>
        <w:t xml:space="preserve"> (</w:t>
      </w:r>
      <w:proofErr w:type="spellStart"/>
      <w:r w:rsidR="00D6209E" w:rsidRPr="0063130F">
        <w:rPr>
          <w:w w:val="100"/>
        </w:rPr>
        <w:t>lognormal</w:t>
      </w:r>
      <w:proofErr w:type="spellEnd"/>
      <w:r w:rsidR="00D6209E" w:rsidRPr="0063130F">
        <w:rPr>
          <w:w w:val="100"/>
        </w:rPr>
        <w:t>, gamma o Weibull</w:t>
      </w:r>
      <w:r w:rsidR="00A50E6E"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{"citationItems":[{"id":"ITEM-1","itemData":{"DOI":"10.1186/s12916-020-01726-3","ISSN":"17417015","PMID":"32878619","abstract":"Background: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China.","author":[{"dropping-particle":"","family":"Rees","given":"Eleanor M.","non-dropping-particle":"","parse-names":false,"suffix":""},{"dropping-particle":"","family":"Nightingale","given":"Emily S.","non-dropping-particle":"","parse-names":false,"suffix":""},{"dropping-particle":"","family":"Jafari","given":"Yalda","non-dropping-particle":"","parse-names":false,"suffix":""},{"dropping-particle":"","family":"Waterlow","given":"Naomi R.","non-dropping-particle":"","parse-names":false,"suffix":""},{"dropping-particle":"","family":"Clifford","given":"Samuel","non-dropping-particle":"","parse-names":false,"suffix":""},{"dropping-particle":"","family":"Carl","given":"Carl A.","non-dropping-particle":"","parse-names":false,"suffix":""},{"dropping-particle":"","family":"Group","given":"Cmmid Working","non-dropping-particle":"","parse-names":false,"suffix":""},{"dropping-particle":"","family":"Jombart","given":"Thibaut","non-dropping-particle":"","parse-names":false,"suffix":""},{"dropping-particle":"","family":"Procter","given":"Simon R.","non-dropping-particle":"","parse-names":false,"suffix":""},{"dropping-particle":"","family":"Knight","given":"Gwenan M.","non-dropping-particle":"","parse-names":false,"suffix":""}],"container-title":"BMC Medicine","id":"ITEM-1","issued":{"date-parts":[["2020","9","3"]]},"note":"XVII. Anotaciones a Rees, E. M., Nightingale, E. S., Jafari, Y., Waterlow, N. R., Clifford, S., Carl, C. A., Group, C. W., Jombart, T., Procter, S. R., &amp;amp; Knight, G. M. (2020). COVID-19 length of hospital stay: A systematic review and data synthesis. In BMC Medicine (Vol. 18, Issue 1). BioMed Central Ltd. \n\nRmk 1: A medida que la pandemia avanza, determinar las necesidades de los recursos del sistema de salud (camas, equipo médico, equipamiento) se convierte en un prioridad para muchos países. Por ejemplo, se torna evidente la necesidad de proyectar la demanda futura y estimar el tiempo de permanencia de los pacientes de COVID-19 en distintos niveles de cuidado.\n\nEn este contexto, Rees et al. (2020) realizan una revisión sistemática sobre la evidencia temprana del tiempo de permanencia en pacientes con COVID-19 en hospitales y UCI; luego desarrollan un método para proporcionar la distribuciones de la variables LoS que recurre a las metodologías reseñadas.\n\nRmk 2: si bien Marazzi et al. (1998) propone emplear tres distribuciones (lognormal, gamma y weibull), Rees et al. (2020) afirman que, a causa de sus heavier tails, la distribución lognormal es la menos preferida.\n\nRmk 3: para la variable del tiempo de permanencia en UCI, se consideraron los siguientes estudios:\n\n\nZhou et al. (2019). Clinical course and risk factors for motality of adult inpatients with COVID-19 in Wuhan, China.\n\nYang et al. (2019). Clinical course and outcomes of critially ill patients with SARS-CoV-2 pneumonia in Wuhan, China.\n\nIntensive Care National Audit and research Centre (ICNArC) (2020). Report on 2249 patients critically ill with COVID-19.\n\nGraselli et al. (2020) [Revisar el artículo guardado en el repositorio]\n\nSpiteri et al. (2020). First cases of coronavirus disease 2019 in the WHO European Region.\n\nLa pregunta que resta es la siguiente: ¿todos los estudios anteriores emplean métodos paramétricos para la estimación del tiempo de permanencia en UCI? \n\nRmk 4: la investigación desarrolla un método para generar las distrbuciones de la variable LoS mediante la combinación de la estadísticas de resumen reportadas en los múltiple estudios. (Nótese que las diferencias en los tamaños de muestra son consideradas). \n\nLa idea es que cada uno de los estudios proporciona una muestra que puede ser empleada para aproximarnos, de una manera más apropiada, a la distribución subyacente.\n\nEn este caso, al igual que los reseñados en XIV - XVI, los datos fueron ajustados a la distribución de Weibull.","page":"270","publisher":"BioMed Central Ltd","title":"COVID-19 length of hospital stay: A systematic review and data synthesis","type":"article-journal","volume":"18"},"uris":["http://www.mendeley.com/documents/?uuid=4ca9d12c-918e-3982-8a1e-d0e340bb0483"]},{"id":"ITEM-2","itemData":{"DOI":"10.1016/S1473-3099(20)30230-9","ISSN":"14744457","PMID":"32247326","abstract":"Background: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uthor":[{"dropping-particle":"","family":"Zhang","given":"Juanjuan","non-dropping-particle":"","parse-names":false,"suffix":""},{"dropping-particle":"","family":"Litvinova","given":"Maria","non-dropping-particle":"","parse-names":false,"suffix":""},{"dropping-particle":"","family":"Wang","given":"Wei","non-dropping-particle":"","parse-names":false,"suffix":""},{"dropping-particle":"","family":"Wang","given":"Yan","non-dropping-particle":"","parse-names":false,"suffix":""},{"dropping-particle":"","family":"Deng","given":"Xiaowei","non-dropping-particle":"","parse-names":false,"suffix":""},{"dropping-particle":"","family":"Chen","given":"Xinghui","non-dropping-particle":"","parse-names":false,"suffix":""},{"dropping-particle":"","family":"Li","given":"Mei","non-dropping-particle":"","parse-names":false,"suffix":""},{"dropping-particle":"","family":"Zheng","given":"Wen","non-dropping-particle":"","parse-names":false,"suffix":""},{"dropping-particle":"","family":"Yi","given":"Lan","non-dropping-particle":"","parse-names":false,"suffix":""},{"dropping-particle":"","family":"Chen","given":"Xinhua","non-dropping-particle":"","parse-names":false,"suffix":""},{"dropping-particle":"","family":"Wu","given":"Qianhui","non-dropping-particle":"","parse-names":false,"suffix":""},{"dropping-particle":"","family":"Liang","given":"Yuxia","non-dropping-particle":"","parse-names":false,"suffix":""},{"dropping-particle":"","family":"Wang","given":"Xiling","non-dropping-particle":"","parse-names":false,"suffix":""},{"dropping-particle":"","family":"Yang","given":"Juan","non-dropping-particle":"","parse-names":false,"suffix":""},{"dropping-particle":"","family":"Sun","given":"Kaiyuan","non-dropping-particle":"","parse-names":false,"suffix":""},{"dropping-particle":"","family":"Longini","given":"Ira M.","non-dropping-particle":"","parse-names":false,"suffix":""},{"dropping-particle":"","family":"Halloran","given":"M. Elizabeth","non-dropping-particle":"","parse-names":false,"suffix":""},{"dropping-particle":"","family":"Wu","given":"Peng","non-dropping-particle":"","parse-names":false,"suffix":""},{"dropping-particle":"","family":"Cowling","given":"Benjamin J.","non-dropping-particle":"","parse-names":false,"suffix":""},{"dropping-particle":"","family":"Merler","given":"Stefano","non-dropping-particle":"","parse-names":false,"suffix":""},{"dropping-particle":"","family":"Viboud","given":"Ce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The Lancet Infectious Diseases","id":"ITEM-2","issued":{"date-parts":[["2020","7","1"]]},"note":"XVIII. 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The Lancet Infectious Diseases, 20(7), 793–802. \n\nRmk 1: 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transmisión.\n\nRmk 2: 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\n\nSe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síntomas.","page":"793-802","publisher":"Lancet Publishing Group","title":"Evolving epidemiology and transmission dynamics of coronavirus disease 2019 outside Hubei province, China: a descriptive and modelling study","type":"article-journal","volume":"20"},"uris":["http://www.mendeley.com/documents/?uuid=8e68c8f4-844f-3953-ad9f-1b1f958a2f34"]}],"mendeley":{"formattedCitation":"(14,15)","plainTextFormattedCitation":"(14,15)","previouslyFormattedCitation":"(14,15)"},"properties":{"noteIndex":0},"schema":"https://github.com/citation-style-language/schema/raw/master/csl-citation.json"}</w:instrText>
      </w:r>
      <w:r w:rsidR="004F7D8E" w:rsidRPr="0063130F">
        <w:rPr>
          <w:w w:val="100"/>
        </w:rPr>
        <w:fldChar w:fldCharType="separate"/>
      </w:r>
      <w:r w:rsidR="004F7D8E" w:rsidRPr="0063130F">
        <w:rPr>
          <w:noProof/>
          <w:w w:val="100"/>
        </w:rPr>
        <w:t>(14,15)</w:t>
      </w:r>
      <w:r w:rsidR="004F7D8E" w:rsidRPr="0063130F">
        <w:rPr>
          <w:w w:val="100"/>
        </w:rPr>
        <w:fldChar w:fldCharType="end"/>
      </w:r>
      <w:r w:rsidR="00D6209E" w:rsidRPr="0063130F">
        <w:rPr>
          <w:rStyle w:val="Refdenotaalpie"/>
        </w:rPr>
        <w:footnoteReference w:id="2"/>
      </w:r>
      <w:r w:rsidR="00D6209E" w:rsidRPr="0063130F">
        <w:rPr>
          <w:w w:val="100"/>
        </w:rPr>
        <w:t xml:space="preserve">. </w:t>
      </w:r>
      <w:r w:rsidR="00D6209E" w:rsidRPr="0063130F">
        <w:rPr>
          <w:b/>
          <w:bCs/>
          <w:w w:val="100"/>
        </w:rPr>
        <w:t>En segundo lugar</w:t>
      </w:r>
      <w:r w:rsidR="00A53720" w:rsidRPr="0063130F">
        <w:rPr>
          <w:w w:val="100"/>
        </w:rPr>
        <w:t xml:space="preserve">, se han propuesto aproximaciones no-paramétricas, en especial, el método de Kaplan-Meier </w:t>
      </w:r>
      <w:r w:rsidR="004F7D8E" w:rsidRPr="0063130F">
        <w:rPr>
          <w:w w:val="100"/>
        </w:rPr>
        <w:fldChar w:fldCharType="begin" w:fldLock="1"/>
      </w:r>
      <w:r w:rsidR="002A680C"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004F7D8E" w:rsidRPr="0063130F">
        <w:rPr>
          <w:w w:val="100"/>
        </w:rPr>
        <w:fldChar w:fldCharType="separate"/>
      </w:r>
      <w:r w:rsidR="004F7D8E" w:rsidRPr="0063130F">
        <w:rPr>
          <w:noProof/>
          <w:w w:val="100"/>
        </w:rPr>
        <w:t>(16)</w:t>
      </w:r>
      <w:r w:rsidR="004F7D8E" w:rsidRPr="0063130F">
        <w:rPr>
          <w:w w:val="100"/>
        </w:rPr>
        <w:fldChar w:fldCharType="end"/>
      </w:r>
      <w:r w:rsidR="00E76F97" w:rsidRPr="0063130F">
        <w:rPr>
          <w:w w:val="100"/>
        </w:rPr>
        <w:t>, para prescindir del supuesto según el cual la variable de interés se ajusta a un modelo definido por una distribución de probabilidad subyacente</w:t>
      </w:r>
      <w:r w:rsidR="00A50E6E" w:rsidRPr="0063130F">
        <w:rPr>
          <w:w w:val="100"/>
        </w:rPr>
        <w:t xml:space="preserve">. </w:t>
      </w:r>
      <w:r w:rsidR="00C051DB" w:rsidRPr="0063130F">
        <w:rPr>
          <w:w w:val="100"/>
        </w:rPr>
        <w:t>N</w:t>
      </w:r>
      <w:r w:rsidR="00A50E6E" w:rsidRPr="0063130F">
        <w:rPr>
          <w:w w:val="100"/>
        </w:rPr>
        <w:t xml:space="preserve">umerosos estudios han empleado la aproximación de Kaplan-Meier para estimar </w:t>
      </w:r>
      <w:r w:rsidR="00A53720" w:rsidRPr="0063130F">
        <w:rPr>
          <w:w w:val="100"/>
        </w:rPr>
        <w:t>la tasa de mortalidad en UCI</w:t>
      </w:r>
      <w:r w:rsidR="00A50E6E" w:rsidRPr="0063130F">
        <w:rPr>
          <w:w w:val="100"/>
        </w:rPr>
        <w:t xml:space="preserve"> </w:t>
      </w:r>
      <w:r w:rsidR="00C051DB" w:rsidRPr="0063130F">
        <w:rPr>
          <w:w w:val="100"/>
        </w:rPr>
        <w:t>de</w:t>
      </w:r>
      <w:r w:rsidR="00A50E6E" w:rsidRPr="0063130F">
        <w:rPr>
          <w:w w:val="100"/>
        </w:rPr>
        <w:t xml:space="preserve"> </w:t>
      </w:r>
      <w:r w:rsidR="00A53720" w:rsidRPr="0063130F">
        <w:rPr>
          <w:w w:val="100"/>
        </w:rPr>
        <w:t>subpoblaciones</w:t>
      </w:r>
      <w:r w:rsidR="00A50E6E" w:rsidRPr="0063130F">
        <w:rPr>
          <w:w w:val="100"/>
        </w:rPr>
        <w:t xml:space="preserve"> definidas según la edad, la severidad del síndrome de dificultad respiratoria aguda, la necesidad de ventilación mecánica, etc. </w:t>
      </w:r>
      <w:r w:rsidR="002A680C" w:rsidRPr="0063130F">
        <w:rPr>
          <w:w w:val="100"/>
        </w:rPr>
        <w:fldChar w:fldCharType="begin" w:fldLock="1"/>
      </w:r>
      <w:r w:rsidR="002A680C"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id":"ITEM-2","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Medicine","id":"ITEM-2","issued":{"date-parts":[["2021"]]},"note":"XXIV.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study","type":"article-journal","volume":"47"},"uris":["http://www.mendeley.com/documents/?uuid=b591ba6f-2112-4b12-8ce4-d2d9fcd6d5b1"]},{"id":"ITEM-3","itemData":{"DOI":"10.1186/s13613-021-00929-y","ISBN":"1361302100","ISSN":"21105820","PMID":"34601646","abstract":"Background: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author":[{"dropping-particle":"","family":"Peñuelas","given":"Oscar","non-dropping-particle":"","parse-names":false,"suffix":""},{"dropping-particle":"","family":"Campo-Albendea","given":"Laura","non-dropping-particle":"del","parse-names":false,"suffix":""},{"dropping-particle":"","family":"Aledo","given":"Amanda Lesmes González","non-dropping-particle":"de","parse-names":false,"suffix":""},{"dropping-particle":"","family":"Añón","given":"José Manuel","non-dropping-particle":"","parse-names":false,"suffix":""},{"dropping-particle":"","family":"Rodríguez-Solís","given":"Carmen","non-dropping-particle":"","parse-names":false,"suffix":""},{"dropping-particle":"","family":"Mancebo","given":"Jordi","non-dropping-particle":"","parse-names":false,"suffix":""},{"dropping-particle":"","family":"Vera","given":"Paula","non-dropping-particle":"","parse-names":false,"suffix":""},{"dropping-particle":"","family":"Ballesteros","given":"Daniel","non-dropping-particle":"","parse-names":false,"suffix":""},{"dropping-particle":"","family":"Jiménez","given":"Jorge","non-dropping-particle":"","parse-names":false,"suffix":""},{"dropping-particle":"","family":"Maseda","given":"Emilio","non-dropping-particle":"","parse-names":false,"suffix":""},{"dropping-particle":"","family":"Figueira","given":"Juan Carlos","non-dropping-particle":"","parse-names":false,"suffix":""},{"dropping-particle":"","family":"Franco","given":"Nieves","non-dropping-particle":"","parse-names":false,"suffix":""},{"dropping-particle":"","family":"Algaba","given":"Ángela","non-dropping-particle":"","parse-names":false,"suffix":""},{"dropping-particle":"","family":"Avilés","given":"Juan Pablo","non-dropping-particle":"","parse-names":false,"suffix":""},{"dropping-particle":"","family":"Díaz","given":"Ricardo","non-dropping-particle":"","parse-names":false,"suffix":""},{"dropping-particle":"","family":"Abad","given":"Beatriz","non-dropping-particle":"","parse-names":false,"suffix":""},{"dropping-particle":"","family":"Canabal","given":"Alfonso","non-dropping-particle":"","parse-names":false,"suffix":""},{"dropping-particle":"","family":"Abella","given":"Ana","non-dropping-particle":"","parse-names":false,"suffix":""},{"dropping-particle":"","family":"Gordo","given":"Federico","non-dropping-particle":"","parse-names":false,"suffix":""},{"dropping-particle":"","family":"García","given":"Javier","non-dropping-particle":"","parse-names":false,"suffix":""},{"dropping-particle":"","family":"Suarez","given":"Jessica García","non-dropping-particle":"","parse-names":false,"suffix":""},{"dropping-particle":"","family":"Cedeño","given":"Jamil","non-dropping-particle":"","parse-names":false,"suffix":""},{"dropping-particle":"","family":"Martínez-Palacios","given":"Basilia","non-dropping-particle":"","parse-names":false,"suffix":""},{"dropping-particle":"","family":"Manteiga","given":"Eva","non-dropping-particle":"","parse-names":false,"suffix":""},{"dropping-particle":"","family":"Martínez","given":"Óscar","non-dropping-particle":"","parse-names":false,"suffix":""},{"dropping-particle":"","family":"Blancas","given":"Rafael","non-dropping-particle":"","parse-names":false,"suffix":""},{"dropping-particle":"","family":"Bardi","given":"Tommaso","non-dropping-particle":"","parse-names":false,"suffix":""},{"dropping-particle":"","family":"Pestaña","given":"David","non-dropping-particle":"","parse-names":false,"suffix":""},{"dropping-particle":"","family":"Lorente","given":"José Ángel","non-dropping-particle":"","parse-names":false,"suffix":""},{"dropping-particle":"","family":"Muriel","given":"Alfonso","non-dropping-particle":"","parse-names":false,"suffix":""},{"dropping-particle":"","family":"Esteban","given":"Andrés","non-dropping-particle":"","parse-names":false,"suffix":""},{"dropping-particle":"","family":"Frutos-Vivar","given":"Fernando","non-dropping-particle":"","parse-names":false,"suffix":""}],"container-title":"Annals of Intensive Care","id":"ITEM-3","issued":{"date-parts":[["2021"]]},"note":"XXIII. 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Annals of Intensive Care, 11(1). \n\nRmk 1: 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largo-plazo.\n\nRmk 2: para los pacientes de la cohorte, se registran las siguientes características: edad, sexo, talla, peso, puntaja de severidad de la enfermedad, comorbilidades, modo de soporte respiratorio, etc. \n\nLos pacientes fueron seguidos hasta 180 días después de la admisión en el hospital. Los pacientes que murieron fueron censurados para el análisis sobre el tiempo de descarga.\n\nRmk 3: 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\n\nLa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\n\nRmk 4: las curvas de supervivencia de Kaplan-Meier proporcionan, en este caso, la supervivencia general a los 180 días (Overall survival at 180 days). La variable de interés es &amp;quot;Time from ICU admission, days&amp;quot;; y la salida del análisis no-paramétrico de supervivencia es la probabilidad de supervivencia.\n\nLa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años.","page":"143","publisher":"Springer International Publishing","title":"Long-term survival of mechanically ventilated patients with severe COVID-19: an observational cohort study","type":"article-journal","volume":"11"},"uris":["http://www.mendeley.com/documents/?uuid=6034e286-355c-4f3b-9d95-234a75ac3fd9"]}],"mendeley":{"formattedCitation":"(6,12,17)","plainTextFormattedCitation":"(6,12,17)","previouslyFormattedCitation":"(6,12,17)"},"properties":{"noteIndex":0},"schema":"https://github.com/citation-style-language/schema/raw/master/csl-citation.json"}</w:instrText>
      </w:r>
      <w:r w:rsidR="002A680C" w:rsidRPr="0063130F">
        <w:rPr>
          <w:w w:val="100"/>
        </w:rPr>
        <w:fldChar w:fldCharType="separate"/>
      </w:r>
      <w:r w:rsidR="002A680C" w:rsidRPr="0063130F">
        <w:rPr>
          <w:noProof/>
          <w:w w:val="100"/>
        </w:rPr>
        <w:t>(6,12,17)</w:t>
      </w:r>
      <w:r w:rsidR="002A680C" w:rsidRPr="0063130F">
        <w:rPr>
          <w:w w:val="100"/>
        </w:rPr>
        <w:fldChar w:fldCharType="end"/>
      </w:r>
      <w:r w:rsidR="00A50E6E" w:rsidRPr="0063130F">
        <w:rPr>
          <w:color w:val="000000" w:themeColor="text1"/>
          <w:w w:val="100"/>
        </w:rPr>
        <w:t xml:space="preserve">. Y, </w:t>
      </w:r>
      <w:r w:rsidR="00A50E6E" w:rsidRPr="0063130F">
        <w:rPr>
          <w:b/>
          <w:bCs/>
          <w:color w:val="000000" w:themeColor="text1"/>
          <w:w w:val="100"/>
        </w:rPr>
        <w:t>en tercer lugar</w:t>
      </w:r>
      <w:r w:rsidR="00A50E6E" w:rsidRPr="0063130F">
        <w:rPr>
          <w:color w:val="000000" w:themeColor="text1"/>
          <w:w w:val="100"/>
        </w:rPr>
        <w:t xml:space="preserve">, </w:t>
      </w:r>
      <w:r w:rsidR="009F523A">
        <w:rPr>
          <w:color w:val="000000" w:themeColor="text1"/>
          <w:w w:val="100"/>
        </w:rPr>
        <w:t xml:space="preserve">a fin </w:t>
      </w:r>
      <w:r w:rsidR="00A50E6E" w:rsidRPr="0063130F">
        <w:rPr>
          <w:color w:val="000000" w:themeColor="text1"/>
          <w:w w:val="100"/>
        </w:rPr>
        <w:t xml:space="preserve">de determinar un conjunto de factores de riesgo que contribuyan a explicar la tasa de mortalidad en UCI, se han implementado </w:t>
      </w:r>
      <w:r w:rsidR="00C051DB" w:rsidRPr="0063130F">
        <w:rPr>
          <w:color w:val="000000" w:themeColor="text1"/>
          <w:w w:val="100"/>
        </w:rPr>
        <w:t xml:space="preserve">aproximaciones </w:t>
      </w:r>
      <w:proofErr w:type="spellStart"/>
      <w:r w:rsidR="00C051DB" w:rsidRPr="0063130F">
        <w:rPr>
          <w:color w:val="000000" w:themeColor="text1"/>
          <w:w w:val="100"/>
        </w:rPr>
        <w:t>semi-paramétricas</w:t>
      </w:r>
      <w:proofErr w:type="spellEnd"/>
      <w:r w:rsidR="009F523A">
        <w:rPr>
          <w:color w:val="000000" w:themeColor="text1"/>
          <w:w w:val="100"/>
        </w:rPr>
        <w:t xml:space="preserve"> mediante métodos</w:t>
      </w:r>
      <w:r w:rsidR="00C051DB" w:rsidRPr="0063130F">
        <w:rPr>
          <w:color w:val="000000" w:themeColor="text1"/>
          <w:w w:val="100"/>
        </w:rPr>
        <w:t xml:space="preserve"> cercan</w:t>
      </w:r>
      <w:r w:rsidR="009F523A">
        <w:rPr>
          <w:color w:val="000000" w:themeColor="text1"/>
          <w:w w:val="100"/>
        </w:rPr>
        <w:t>o</w:t>
      </w:r>
      <w:r w:rsidR="00C051DB" w:rsidRPr="0063130F">
        <w:rPr>
          <w:color w:val="000000" w:themeColor="text1"/>
          <w:w w:val="100"/>
        </w:rPr>
        <w:t xml:space="preserve">s a las técnicas de regresión ordinaria, en especial, el modelo de riesgos proporcionales de Cox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(18)</w:t>
      </w:r>
      <w:r w:rsidR="002A680C" w:rsidRPr="0063130F">
        <w:rPr>
          <w:color w:val="000000" w:themeColor="text1"/>
          <w:w w:val="100"/>
        </w:rPr>
        <w:fldChar w:fldCharType="end"/>
      </w:r>
      <w:r w:rsidR="009F523A">
        <w:rPr>
          <w:color w:val="000000" w:themeColor="text1"/>
          <w:w w:val="100"/>
        </w:rPr>
        <w:t xml:space="preserve">, </w:t>
      </w:r>
      <w:r w:rsidR="00C051DB" w:rsidRPr="0063130F">
        <w:rPr>
          <w:color w:val="000000" w:themeColor="text1"/>
          <w:w w:val="100"/>
        </w:rPr>
        <w:t>con variables explicativas asociadas a características demográfica</w:t>
      </w:r>
      <w:r w:rsidR="009F523A">
        <w:rPr>
          <w:color w:val="000000" w:themeColor="text1"/>
          <w:w w:val="100"/>
        </w:rPr>
        <w:t>s</w:t>
      </w:r>
      <w:r w:rsidR="00C051DB" w:rsidRPr="0063130F">
        <w:rPr>
          <w:color w:val="000000" w:themeColor="text1"/>
          <w:w w:val="100"/>
        </w:rPr>
        <w:t xml:space="preserve">, antropométricas, síntomas registrados, comorbilidades, etc.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Haase","given":"Nicolai","non-dropping-particle":"","parse-names":false,"suffix":""},{"dropping-particle":"","family":"Plovsing","given":"Ronni","non-dropping-particle":"","parse-names":false,"suffix":""},{"dropping-particle":"","family":"Christensen","given":"Steffen","non-dropping-particle":"","parse-names":false,"suffix":""},{"dropping-particle":"","family":"Poulsen","given":"Lone Musaeus","non-dropping-particle":"","parse-names":false,"suffix":""},{"dropping-particle":"","family":"Brøchner","given":"Anne Craveiro","non-dropping-particle":"","parse-names":false,"suffix":""},{"dropping-particle":"","family":"Rasmussen","given":"Bodil Steen","non-dropping-particle":"","parse-names":false,"suffix":""},{"dropping-particle":"","family":"Helleberg","given":"Marie","non-dropping-particle":"","parse-names":false,"suffix":""},{"dropping-particle":"","family":"Jensen","given":"Jens Ulrik Stæhr","non-dropping-particle":"","parse-names":false,"suffix":""},{"dropping-particle":"","family":"Andersen","given":"Lars Peter Kloster","non-dropping-particle":"","parse-names":false,"suffix":""},{"dropping-particle":"","family":"Siegel","given":"Hanna","non-dropping-particle":"","parse-names":false,"suffix":""},{"dropping-particle":"","family":"Ibsen","given":"Michael","non-dropping-particle":"","parse-names":false,"suffix":""},{"dropping-particle":"","family":"Jørgensen","given":"Vibeke","non-dropping-particle":"","parse-names":false,"suffix":""},{"dropping-particle":"","family":"Winding","given":"Robert","non-dropping-particle":"","parse-names":false,"suffix":""},{"dropping-particle":"","family":"Iversen","given":"Susanne","non-dropping-particle":"","parse-names":false,"suffix":""},{"dropping-particle":"","family":"Pedersen","given":"Henrik Planck","non-dropping-particle":"","parse-names":false,"suffix":""},{"dropping-particle":"","family":"Madsen","given":"Jacob","non-dropping-particle":"","parse-names":false,"suffix":""},{"dropping-particle":"","family":"Sølling","given":"Christoffer","non-dropping-particle":"","parse-names":false,"suffix":""},{"dropping-particle":"","family":"Garcia","given":"Ricardo Sanchez","non-dropping-particle":"","parse-names":false,"suffix":""},{"dropping-particle":"","family":"Michelsen","given":"Jens","non-dropping-particle":"","parse-names":false,"suffix":""},{"dropping-particle":"","family":"Mohr","given":"Thomas","non-dropping-particle":"","parse-names":false,"suffix":""},{"dropping-particle":"","family":"Mannering","given":"Anne","non-dropping-particle":"","parse-names":false,"suffix":""},{"dropping-particle":"","family":"Espelund","given":"Ulrick Skipper","non-dropping-particle":"","parse-names":false,"suffix":""},{"dropping-particle":"","family":"Bundgaard","given":"Helle","non-dropping-particle":"","parse-names":false,"suffix":""},{"dropping-particle":"","family":"Kirkegaard","given":"Lynge","non-dropping-particle":"","parse-names":false,"suffix":""},{"dropping-particle":"","family":"Smitt","given":"Margit","non-dropping-particle":"","parse-names":false,"suffix":""},{"dropping-particle":"","family":"Buck","given":"David Levarett","non-dropping-particle":"","parse-names":false,"suffix":""},{"dropping-particle":"","family":"Ribergaard","given":"Niels Erik","non-dropping-particle":"","parse-names":false,"suffix":""},{"dropping-particle":"","family":"Pedersen","given":"Helle Scharling","non-dropping-particle":"","parse-names":false,"suffix":""},{"dropping-particle":"","family":"Christensen","given":"Birgitte Viebæk","non-dropping-particle":"","parse-names":false,"suffix":""},{"dropping-particle":"","family":"Perner","given":"Anders","non-dropping-particle":"","parse-names":false,"suffix":""}],"container-title":"Acta Anaesthesiologica Scandinavica","id":"ITEM-1","issue":"1","issued":{"date-parts":[["2021"]]},"note":"Anotaciones a Haase, N., Plovsing, R., Christensen, S., Poulsen, L. M., Brøchner, A. C., Rasmussen, B. S., Helleberg, M., Jensen, J. U. S., Andersen, L. P. K., Siegel, H., Ibsen, M., Jørgensen, V., Winding, R., Iversen, S., Pedersen, H. P., Madsen, J., Sølling, C., Garcia, R. S., Michelsen, J., … Perner, A. (2021). Characteristics, interventions, and longer term outcomes of COVID-19 ICU patients in Denmark—A nationwide, observational study. Acta Anaesthesiologica Scandinavica, 65(1), 68–7: \n\nRmk 1: el objetivo del artículo es presentar las características, intervenciones y desenlaces a largo-plazo de una cohorte de pacientes en UCI por COVID-19 en Dinamarca. (Nota: los pacientes no exceden la capacidad UCI del hospital).\n\nRmk 2: 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significativas.\n\nEl análisis multivariado considera las siguientes variables: sexo, heart failure, hypertension, chronic pulmonary disease, chronic kidney disease, active cancer, immunocomprimised, edad, body mass index.\n\nReferencia: \n\n@article{Haase2021,\nauthor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Margit and Buck, David Levarett and Ribergaard, Niels Erik and Pedersen, Helle Scharling and Christensen, Birgitte Vieb{\\ae}k and Perner, Anders},\njournal = {Acta Anaesthesiologica Scandinavica},\nnumber = {1},\npages = {68--75},\ntitle = {{Characteristics, interventions, and longer term outcomes of COVID-19 ICU patients in Denmark—A nationwide, observational study}},\nvolume = {65},\nyear = {2021}\n}\n\n","page":"68-75","title":"Characteristics, interventions, and longer term outcomes of COVID-19 ICU patients in Denmark—A nationwide, observational study","type":"article-journal","volume":"65"},"uris":["http://www.mendeley.com/documents/?uuid=ce70f47f-ef03-4e3c-a14c-b15493527b81"]},{"id":"ITEM-2","itemData":{"DOI":"10.1371/journal.pone.0243269","ISBN":"1111111111","ISSN":"19326203","PMID":"33270741","author":[{"dropping-particle":"","family":"Socolovithc","given":"Rachel Lane","non-dropping-particle":"","parse-names":false,"suffix":""},{"dropping-particle":"","family":"Fumis","given":"Renata Rego Lins","non-dropping-particle":"","parse-names":false,"suffix":""},{"dropping-particle":"","family":"Tomazini","given":"Bruno Martins","non-dropping-particle":"","parse-names":false,"suffix":""},{"dropping-particle":"","family":"Pastore","given":"Laerte","non-dropping-particle":"","parse-names":false,"suffix":""},{"dropping-particle":"","family":"Galas","given":"Filomena Regina Barbosa Gomes","non-dropping-particle":"","parse-names":false,"suffix":""},{"dropping-particle":"","family":"Azevedo","given":"Luciano Cesar Pontes","non-dropping-particle":"de","parse-names":false,"suffix":""},{"dropping-particle":"","family":"Costa","given":"Eduardo Leite Vieira","non-dropping-particle":"","parse-names":false,"suffix":""}],"container-title":"PLoS ONE","id":"ITEM-2","issue":"12 ","issued":{"date-parts":[["2020"]]},"note":"XXII. Anotaciones sobre Socolovithc, R. L., Fumis, R. R. L., Tomazini, B. M., Pastore, L., Galas, F. R. B. G., de Azevedo, L. C. P., &amp;amp; Costa, E. L. V. (2020). Epidemiology, outcomes, and the use of intensive care unit resources of critically ill patients diagnosed with COVID-19 in Sao Paulo, Brazil: A cohort study. PLoS ONE, 15(12 December), 1–13. \n\nRmk 1: el propósito del artículo es describir los desenlaces clínicos de los pacientes críticos de COVID-19, así como evaluar el impacto en el uso de recursos hospitalarios y compararlo con patientes en estados crítico sin COVID-19.\n\nRmk 2: 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enfermedad.\n\nLa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COVID-19.\n\nRmk 3: nótese que se consideran dos subpoblaciones en la estimación no-paramétrica de las curvas de supervivencia: (1) pacientes críticos de COVID-19 en UCI; (2) pacientes en UCI sin COVID-19 pero con enfermedades respiratorias.\n\nRmk 4: en relación con el análisis de supervivencia de Kaplan-Meier, se considera la variable de interés &amp;quot;Tiempo en días&amp;quot;. El objetivo es estimar la probabilidad de supervivencia general hasta los 28 días.\n\nEl resultado es el siguiente: la supervivencia general es similar entre ambos grupos de pacientes (cohorte de COVID-19 y no-COVID-19). Más precisamente, el 85.4% de los pacientes viven en 28 días de la cohorte de no-COVID-19; y el 91% de los pacientes de COVID-19 viven hasta el día 28.\n\nUn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días.\n\nRmk 5: se recurre a una regresión de riesgos proporcionales de Cox para el ajuste multivariado de las variables asociadas significativamente con el COVID-19. En la misma línea de los estudios descritos, se reportan las razones de riesgo.","page":"e0243269","title":"Epidemiology, outcomes, and the use of intensive care unit resources of critically ill patients diagnosed with COVID-19 in Sao Paulo, Brazil: A cohort study","type":"article-journal","volume":"15"},"uris":["http://www.mendeley.com/documents/?uuid=d35ee642-0ddc-432f-9c1e-5e8066f40424"]}],"mendeley":{"formattedCitation":"(19,20)","plainTextFormattedCitation":"(19,20)","previouslyFormattedCitation":"(19,20)"},"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(19,20)</w:t>
      </w:r>
      <w:r w:rsidR="002A680C" w:rsidRPr="0063130F">
        <w:rPr>
          <w:color w:val="000000" w:themeColor="text1"/>
          <w:w w:val="100"/>
        </w:rPr>
        <w:fldChar w:fldCharType="end"/>
      </w:r>
      <w:r w:rsidR="00C051DB" w:rsidRPr="0063130F">
        <w:rPr>
          <w:color w:val="000000" w:themeColor="text1"/>
          <w:w w:val="100"/>
        </w:rPr>
        <w:t>.</w:t>
      </w:r>
      <w:r w:rsidR="0048362E" w:rsidRPr="0063130F">
        <w:rPr>
          <w:color w:val="000000" w:themeColor="text1"/>
          <w:w w:val="100"/>
        </w:rPr>
        <w:t xml:space="preserve"> </w:t>
      </w:r>
    </w:p>
    <w:p w14:paraId="6BE953D3" w14:textId="0DE1FA30" w:rsidR="001356B7" w:rsidRDefault="001356B7" w:rsidP="001356B7">
      <w:pPr>
        <w:pStyle w:val="Textoindependiente"/>
        <w:spacing w:line="251" w:lineRule="exact"/>
        <w:ind w:left="0"/>
        <w:rPr>
          <w:color w:val="000000" w:themeColor="text1"/>
          <w:w w:val="100"/>
          <w:sz w:val="16"/>
          <w:szCs w:val="16"/>
        </w:rPr>
      </w:pPr>
    </w:p>
    <w:p w14:paraId="3147BDCF" w14:textId="378EE0F4" w:rsidR="001317EC" w:rsidRDefault="001317EC" w:rsidP="001356B7">
      <w:pPr>
        <w:pStyle w:val="Textoindependiente"/>
        <w:spacing w:line="251" w:lineRule="exact"/>
        <w:ind w:left="0"/>
        <w:rPr>
          <w:color w:val="000000" w:themeColor="text1"/>
          <w:w w:val="100"/>
          <w:sz w:val="16"/>
          <w:szCs w:val="16"/>
        </w:rPr>
      </w:pPr>
    </w:p>
    <w:p w14:paraId="7F58CBE6" w14:textId="0C933FE7" w:rsidR="00A77991" w:rsidRDefault="00A77991" w:rsidP="001356B7">
      <w:pPr>
        <w:pStyle w:val="Textoindependiente"/>
        <w:spacing w:line="251" w:lineRule="exact"/>
        <w:ind w:left="0"/>
        <w:rPr>
          <w:color w:val="000000" w:themeColor="text1"/>
          <w:w w:val="100"/>
          <w:sz w:val="16"/>
          <w:szCs w:val="16"/>
        </w:rPr>
      </w:pPr>
    </w:p>
    <w:p w14:paraId="08073273" w14:textId="77777777" w:rsidR="00A77991" w:rsidRDefault="00A77991" w:rsidP="001356B7">
      <w:pPr>
        <w:pStyle w:val="Textoindependiente"/>
        <w:spacing w:line="251" w:lineRule="exact"/>
        <w:ind w:left="0"/>
        <w:rPr>
          <w:color w:val="000000" w:themeColor="text1"/>
          <w:w w:val="100"/>
          <w:sz w:val="16"/>
          <w:szCs w:val="16"/>
        </w:rPr>
      </w:pPr>
    </w:p>
    <w:p w14:paraId="7BB867C2" w14:textId="3A6265D4" w:rsidR="00760E72" w:rsidRPr="00483510" w:rsidRDefault="00760E72" w:rsidP="001356B7">
      <w:pPr>
        <w:pStyle w:val="Textoindependiente"/>
        <w:spacing w:line="251" w:lineRule="exact"/>
        <w:ind w:left="0"/>
        <w:jc w:val="center"/>
        <w:rPr>
          <w:color w:val="000000" w:themeColor="text1"/>
          <w:w w:val="100"/>
          <w:sz w:val="18"/>
          <w:szCs w:val="18"/>
        </w:rPr>
        <w:sectPr w:rsidR="00760E72" w:rsidRPr="00483510" w:rsidSect="001356B7">
          <w:type w:val="continuous"/>
          <w:pgSz w:w="11906" w:h="16838"/>
          <w:pgMar w:top="720" w:right="720" w:bottom="720" w:left="720" w:header="708" w:footer="708" w:gutter="0"/>
          <w:cols w:space="708"/>
          <w:docGrid w:linePitch="360"/>
        </w:sectPr>
      </w:pPr>
      <w:r w:rsidRPr="00483510">
        <w:rPr>
          <w:b/>
          <w:color w:val="000000" w:themeColor="text1"/>
          <w:w w:val="100"/>
          <w:sz w:val="18"/>
          <w:szCs w:val="18"/>
        </w:rPr>
        <w:lastRenderedPageBreak/>
        <w:t>Cuadro 1:</w:t>
      </w:r>
      <w:r w:rsidRPr="00483510">
        <w:rPr>
          <w:color w:val="000000" w:themeColor="text1"/>
          <w:w w:val="100"/>
          <w:sz w:val="18"/>
          <w:szCs w:val="18"/>
        </w:rPr>
        <w:t xml:space="preserve"> Variables categóricas y variables continuas no-gaussiana</w:t>
      </w:r>
      <w:r w:rsidR="001356B7" w:rsidRPr="00483510">
        <w:rPr>
          <w:color w:val="000000" w:themeColor="text1"/>
          <w:w w:val="100"/>
          <w:sz w:val="18"/>
          <w:szCs w:val="18"/>
        </w:rPr>
        <w:t>s</w:t>
      </w:r>
    </w:p>
    <w:p w14:paraId="05DA6C8A" w14:textId="77777777" w:rsidR="001356B7" w:rsidRDefault="001356B7" w:rsidP="001356B7">
      <w:pPr>
        <w:pStyle w:val="Textoindependiente"/>
        <w:spacing w:after="160" w:line="251" w:lineRule="exact"/>
        <w:ind w:left="0"/>
        <w:rPr>
          <w:color w:val="000000" w:themeColor="text1"/>
          <w:w w:val="100"/>
          <w:sz w:val="16"/>
          <w:szCs w:val="16"/>
        </w:rPr>
        <w:sectPr w:rsidR="001356B7" w:rsidSect="009A732A">
          <w:type w:val="continuous"/>
          <w:pgSz w:w="11906" w:h="16838"/>
          <w:pgMar w:top="720" w:right="720" w:bottom="720" w:left="720" w:header="708" w:footer="708" w:gutter="0"/>
          <w:cols w:space="708"/>
          <w:docGrid w:linePitch="360"/>
        </w:sectPr>
      </w:pPr>
    </w:p>
    <w:tbl>
      <w:tblPr>
        <w:tblStyle w:val="Tablaconcuadrcula"/>
        <w:tblW w:w="8784" w:type="dxa"/>
        <w:jc w:val="center"/>
        <w:tblLook w:val="04A0" w:firstRow="1" w:lastRow="0" w:firstColumn="1" w:lastColumn="0" w:noHBand="0" w:noVBand="1"/>
      </w:tblPr>
      <w:tblGrid>
        <w:gridCol w:w="3969"/>
        <w:gridCol w:w="1276"/>
        <w:gridCol w:w="1276"/>
        <w:gridCol w:w="2263"/>
      </w:tblGrid>
      <w:tr w:rsidR="00760E72" w:rsidRPr="00854763" w14:paraId="064927E0" w14:textId="77777777" w:rsidTr="00760E72">
        <w:trPr>
          <w:trHeight w:val="267"/>
          <w:jc w:val="center"/>
        </w:trPr>
        <w:tc>
          <w:tcPr>
            <w:tcW w:w="3969" w:type="dxa"/>
            <w:tcBorders>
              <w:top w:val="double" w:sz="6" w:space="0" w:color="auto"/>
              <w:left w:val="nil"/>
              <w:bottom w:val="single" w:sz="4" w:space="0" w:color="auto"/>
              <w:right w:val="nil"/>
            </w:tcBorders>
          </w:tcPr>
          <w:p w14:paraId="27C5B4A8" w14:textId="328DD2BD" w:rsidR="00854763" w:rsidRPr="00854763" w:rsidRDefault="00854763" w:rsidP="0046655B">
            <w:pPr>
              <w:pStyle w:val="Textoindependiente"/>
              <w:spacing w:after="160" w:line="251" w:lineRule="exact"/>
              <w:ind w:left="0"/>
              <w:jc w:val="center"/>
              <w:rPr>
                <w:color w:val="000000" w:themeColor="text1"/>
                <w:w w:val="100"/>
                <w:sz w:val="16"/>
                <w:szCs w:val="16"/>
              </w:rPr>
            </w:pPr>
          </w:p>
        </w:tc>
        <w:tc>
          <w:tcPr>
            <w:tcW w:w="1276" w:type="dxa"/>
            <w:tcBorders>
              <w:top w:val="double" w:sz="6" w:space="0" w:color="auto"/>
              <w:left w:val="nil"/>
              <w:bottom w:val="single" w:sz="4" w:space="0" w:color="auto"/>
              <w:right w:val="nil"/>
            </w:tcBorders>
          </w:tcPr>
          <w:p w14:paraId="66B0585C" w14:textId="2819F693" w:rsidR="00854763" w:rsidRPr="00854763" w:rsidRDefault="00854763"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Total</w:t>
            </w:r>
          </w:p>
        </w:tc>
        <w:tc>
          <w:tcPr>
            <w:tcW w:w="1276" w:type="dxa"/>
            <w:tcBorders>
              <w:top w:val="double" w:sz="4" w:space="0" w:color="auto"/>
              <w:left w:val="nil"/>
              <w:bottom w:val="single" w:sz="4" w:space="0" w:color="auto"/>
              <w:right w:val="nil"/>
            </w:tcBorders>
          </w:tcPr>
          <w:p w14:paraId="163ABEA1" w14:textId="2237A6BC" w:rsidR="00854763" w:rsidRPr="00854763" w:rsidRDefault="00854763"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CC</w:t>
            </w:r>
            <w:r w:rsidR="00893D7F">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sidR="00893D7F">
              <w:rPr>
                <w:b/>
                <w:bCs/>
                <w:color w:val="000000" w:themeColor="text1"/>
                <w:w w:val="100"/>
                <w:sz w:val="16"/>
                <w:szCs w:val="16"/>
              </w:rPr>
              <w:t>)</w:t>
            </w:r>
          </w:p>
        </w:tc>
        <w:tc>
          <w:tcPr>
            <w:tcW w:w="2263" w:type="dxa"/>
            <w:tcBorders>
              <w:top w:val="double" w:sz="6" w:space="0" w:color="auto"/>
              <w:left w:val="nil"/>
              <w:bottom w:val="single" w:sz="4" w:space="0" w:color="auto"/>
              <w:right w:val="nil"/>
            </w:tcBorders>
          </w:tcPr>
          <w:p w14:paraId="66AFEDF8" w14:textId="6564D932" w:rsidR="00854763" w:rsidRPr="00854763" w:rsidRDefault="00854763"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46655B" w:rsidRPr="00854763" w14:paraId="040F6A9D" w14:textId="77777777" w:rsidTr="00760E72">
        <w:trPr>
          <w:trHeight w:val="57"/>
          <w:jc w:val="center"/>
        </w:trPr>
        <w:tc>
          <w:tcPr>
            <w:tcW w:w="3969" w:type="dxa"/>
            <w:tcBorders>
              <w:top w:val="single" w:sz="4" w:space="0" w:color="auto"/>
              <w:left w:val="nil"/>
              <w:bottom w:val="nil"/>
              <w:right w:val="nil"/>
            </w:tcBorders>
          </w:tcPr>
          <w:p w14:paraId="3F8B7B9D" w14:textId="52A9E731" w:rsidR="00854763" w:rsidRPr="00854763" w:rsidRDefault="00854763" w:rsidP="00854763">
            <w:pPr>
              <w:pStyle w:val="Textoindependiente"/>
              <w:spacing w:line="251" w:lineRule="exact"/>
              <w:ind w:left="0"/>
              <w:jc w:val="left"/>
              <w:rPr>
                <w:color w:val="000000" w:themeColor="text1"/>
                <w:w w:val="100"/>
                <w:sz w:val="16"/>
                <w:szCs w:val="16"/>
              </w:rPr>
            </w:pPr>
            <w:r w:rsidRPr="00854763">
              <w:rPr>
                <w:color w:val="000000" w:themeColor="text1"/>
                <w:w w:val="100"/>
                <w:sz w:val="16"/>
                <w:szCs w:val="16"/>
              </w:rPr>
              <w:t>Edad, mediana (IQR)</w:t>
            </w:r>
          </w:p>
        </w:tc>
        <w:tc>
          <w:tcPr>
            <w:tcW w:w="1276" w:type="dxa"/>
            <w:tcBorders>
              <w:top w:val="single" w:sz="4" w:space="0" w:color="auto"/>
              <w:left w:val="nil"/>
              <w:bottom w:val="nil"/>
              <w:right w:val="nil"/>
            </w:tcBorders>
          </w:tcPr>
          <w:p w14:paraId="65121B90" w14:textId="182BFCBE"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66 (56, 75)</w:t>
            </w:r>
          </w:p>
        </w:tc>
        <w:tc>
          <w:tcPr>
            <w:tcW w:w="1276" w:type="dxa"/>
            <w:tcBorders>
              <w:top w:val="single" w:sz="4" w:space="0" w:color="auto"/>
              <w:left w:val="nil"/>
              <w:bottom w:val="nil"/>
              <w:right w:val="nil"/>
            </w:tcBorders>
          </w:tcPr>
          <w:p w14:paraId="02B841E0" w14:textId="4A2AEA2A"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63.5 (53, 73)</w:t>
            </w:r>
          </w:p>
        </w:tc>
        <w:tc>
          <w:tcPr>
            <w:tcW w:w="2263" w:type="dxa"/>
            <w:tcBorders>
              <w:top w:val="single" w:sz="4" w:space="0" w:color="auto"/>
              <w:left w:val="nil"/>
              <w:bottom w:val="nil"/>
              <w:right w:val="nil"/>
            </w:tcBorders>
          </w:tcPr>
          <w:p w14:paraId="71C3EAB1" w14:textId="68B2F01F"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68 (57, 76)</w:t>
            </w:r>
          </w:p>
        </w:tc>
      </w:tr>
      <w:tr w:rsidR="009A732A" w:rsidRPr="00854763" w14:paraId="32CDC648" w14:textId="77777777" w:rsidTr="00760E72">
        <w:trPr>
          <w:trHeight w:val="57"/>
          <w:jc w:val="center"/>
        </w:trPr>
        <w:tc>
          <w:tcPr>
            <w:tcW w:w="3969" w:type="dxa"/>
            <w:tcBorders>
              <w:top w:val="nil"/>
              <w:left w:val="nil"/>
              <w:bottom w:val="nil"/>
              <w:right w:val="nil"/>
            </w:tcBorders>
          </w:tcPr>
          <w:p w14:paraId="5E79B936" w14:textId="4E19EF77" w:rsidR="00854763" w:rsidRPr="00854763" w:rsidRDefault="00854763" w:rsidP="0046655B">
            <w:pPr>
              <w:pStyle w:val="Textoindependiente"/>
              <w:spacing w:line="251" w:lineRule="exact"/>
              <w:ind w:left="0"/>
              <w:rPr>
                <w:color w:val="000000" w:themeColor="text1"/>
                <w:w w:val="100"/>
                <w:sz w:val="16"/>
                <w:szCs w:val="16"/>
              </w:rPr>
            </w:pPr>
            <w:r>
              <w:rPr>
                <w:color w:val="000000" w:themeColor="text1"/>
                <w:w w:val="100"/>
                <w:sz w:val="16"/>
                <w:szCs w:val="16"/>
              </w:rPr>
              <w:t>Sexo, n (%)</w:t>
            </w:r>
          </w:p>
        </w:tc>
        <w:tc>
          <w:tcPr>
            <w:tcW w:w="1276" w:type="dxa"/>
            <w:tcBorders>
              <w:top w:val="nil"/>
              <w:left w:val="nil"/>
              <w:bottom w:val="nil"/>
              <w:right w:val="nil"/>
            </w:tcBorders>
          </w:tcPr>
          <w:p w14:paraId="7EC344F3"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2439138B"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3CAF7950"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r>
      <w:tr w:rsidR="0046655B" w:rsidRPr="00854763" w14:paraId="0FAEA3C0" w14:textId="77777777" w:rsidTr="00760E72">
        <w:trPr>
          <w:trHeight w:val="57"/>
          <w:jc w:val="center"/>
        </w:trPr>
        <w:tc>
          <w:tcPr>
            <w:tcW w:w="3969" w:type="dxa"/>
            <w:tcBorders>
              <w:top w:val="nil"/>
              <w:left w:val="nil"/>
              <w:bottom w:val="nil"/>
              <w:right w:val="nil"/>
            </w:tcBorders>
          </w:tcPr>
          <w:p w14:paraId="1B3C984B" w14:textId="5DE92EE7" w:rsidR="00854763" w:rsidRPr="00854763" w:rsidRDefault="00854763"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Femenino</w:t>
            </w:r>
          </w:p>
        </w:tc>
        <w:tc>
          <w:tcPr>
            <w:tcW w:w="1276" w:type="dxa"/>
            <w:tcBorders>
              <w:top w:val="nil"/>
              <w:left w:val="nil"/>
              <w:bottom w:val="nil"/>
              <w:right w:val="nil"/>
            </w:tcBorders>
          </w:tcPr>
          <w:p w14:paraId="7EAB2A71" w14:textId="52CFC346"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398 (36.</w:t>
            </w:r>
            <w:r w:rsidR="00893D7F">
              <w:rPr>
                <w:color w:val="000000" w:themeColor="text1"/>
                <w:w w:val="100"/>
                <w:sz w:val="16"/>
                <w:szCs w:val="16"/>
              </w:rPr>
              <w:t>3</w:t>
            </w:r>
            <w:r>
              <w:rPr>
                <w:color w:val="000000" w:themeColor="text1"/>
                <w:w w:val="100"/>
                <w:sz w:val="16"/>
                <w:szCs w:val="16"/>
              </w:rPr>
              <w:t>%)</w:t>
            </w:r>
          </w:p>
        </w:tc>
        <w:tc>
          <w:tcPr>
            <w:tcW w:w="1276" w:type="dxa"/>
            <w:tcBorders>
              <w:top w:val="nil"/>
              <w:left w:val="nil"/>
              <w:bottom w:val="nil"/>
              <w:right w:val="nil"/>
            </w:tcBorders>
          </w:tcPr>
          <w:p w14:paraId="07882FE8" w14:textId="40975F3D"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98 (35.5%)</w:t>
            </w:r>
          </w:p>
        </w:tc>
        <w:tc>
          <w:tcPr>
            <w:tcW w:w="2263" w:type="dxa"/>
            <w:tcBorders>
              <w:top w:val="nil"/>
              <w:left w:val="nil"/>
              <w:bottom w:val="nil"/>
              <w:right w:val="nil"/>
            </w:tcBorders>
          </w:tcPr>
          <w:p w14:paraId="0EA29EB1" w14:textId="16D482AE"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300 (36.5%)</w:t>
            </w:r>
          </w:p>
        </w:tc>
      </w:tr>
      <w:tr w:rsidR="009A732A" w:rsidRPr="00854763" w14:paraId="3CCCBE26" w14:textId="77777777" w:rsidTr="00760E72">
        <w:trPr>
          <w:trHeight w:val="57"/>
          <w:jc w:val="center"/>
        </w:trPr>
        <w:tc>
          <w:tcPr>
            <w:tcW w:w="3969" w:type="dxa"/>
            <w:tcBorders>
              <w:top w:val="nil"/>
              <w:left w:val="nil"/>
              <w:bottom w:val="nil"/>
              <w:right w:val="nil"/>
            </w:tcBorders>
          </w:tcPr>
          <w:p w14:paraId="39CCC01C" w14:textId="3FB96D3D" w:rsidR="00854763" w:rsidRPr="00854763" w:rsidRDefault="00854763"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Masculino</w:t>
            </w:r>
          </w:p>
        </w:tc>
        <w:tc>
          <w:tcPr>
            <w:tcW w:w="1276" w:type="dxa"/>
            <w:tcBorders>
              <w:top w:val="nil"/>
              <w:left w:val="nil"/>
              <w:bottom w:val="nil"/>
              <w:right w:val="nil"/>
            </w:tcBorders>
          </w:tcPr>
          <w:p w14:paraId="7EF2D752" w14:textId="69A2797F"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700 (63.7%)</w:t>
            </w:r>
          </w:p>
        </w:tc>
        <w:tc>
          <w:tcPr>
            <w:tcW w:w="1276" w:type="dxa"/>
            <w:tcBorders>
              <w:top w:val="nil"/>
              <w:left w:val="nil"/>
              <w:bottom w:val="nil"/>
              <w:right w:val="nil"/>
            </w:tcBorders>
          </w:tcPr>
          <w:p w14:paraId="453B6D3C" w14:textId="265C2DA6"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178 (64.5%)</w:t>
            </w:r>
          </w:p>
        </w:tc>
        <w:tc>
          <w:tcPr>
            <w:tcW w:w="2263" w:type="dxa"/>
            <w:tcBorders>
              <w:top w:val="nil"/>
              <w:left w:val="nil"/>
              <w:bottom w:val="nil"/>
              <w:right w:val="nil"/>
            </w:tcBorders>
          </w:tcPr>
          <w:p w14:paraId="13DA67CC" w14:textId="114D4014"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522 (63.5%)</w:t>
            </w:r>
          </w:p>
        </w:tc>
      </w:tr>
      <w:tr w:rsidR="0046655B" w:rsidRPr="00854763" w14:paraId="44CAE5F0" w14:textId="77777777" w:rsidTr="00760E72">
        <w:trPr>
          <w:trHeight w:val="57"/>
          <w:jc w:val="center"/>
        </w:trPr>
        <w:tc>
          <w:tcPr>
            <w:tcW w:w="3969" w:type="dxa"/>
            <w:tcBorders>
              <w:top w:val="nil"/>
              <w:left w:val="nil"/>
              <w:bottom w:val="nil"/>
              <w:right w:val="nil"/>
            </w:tcBorders>
          </w:tcPr>
          <w:p w14:paraId="15A784C2" w14:textId="224CCFB0" w:rsidR="00854763" w:rsidRPr="00854763" w:rsidRDefault="00854763" w:rsidP="0063130F">
            <w:pPr>
              <w:pStyle w:val="Textoindependiente"/>
              <w:spacing w:after="160" w:line="251" w:lineRule="exact"/>
              <w:ind w:left="0"/>
              <w:rPr>
                <w:color w:val="000000" w:themeColor="text1"/>
                <w:w w:val="100"/>
                <w:sz w:val="16"/>
                <w:szCs w:val="16"/>
              </w:rPr>
            </w:pPr>
            <w:r>
              <w:rPr>
                <w:color w:val="000000" w:themeColor="text1"/>
                <w:w w:val="100"/>
                <w:sz w:val="16"/>
                <w:szCs w:val="16"/>
              </w:rPr>
              <w:t>T</w:t>
            </w:r>
            <w:r w:rsidR="009A732A">
              <w:rPr>
                <w:color w:val="000000" w:themeColor="text1"/>
                <w:w w:val="100"/>
                <w:sz w:val="16"/>
                <w:szCs w:val="16"/>
              </w:rPr>
              <w:t>iempo de permanencia</w:t>
            </w:r>
            <w:r>
              <w:rPr>
                <w:color w:val="000000" w:themeColor="text1"/>
                <w:w w:val="100"/>
                <w:sz w:val="16"/>
                <w:szCs w:val="16"/>
              </w:rPr>
              <w:t xml:space="preserve"> UCI, mediana (IQR)</w:t>
            </w:r>
          </w:p>
        </w:tc>
        <w:tc>
          <w:tcPr>
            <w:tcW w:w="1276" w:type="dxa"/>
            <w:tcBorders>
              <w:top w:val="nil"/>
              <w:left w:val="nil"/>
              <w:bottom w:val="nil"/>
              <w:right w:val="nil"/>
            </w:tcBorders>
          </w:tcPr>
          <w:p w14:paraId="569CCEDB" w14:textId="62E39C59"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8 (2, 21)</w:t>
            </w:r>
          </w:p>
        </w:tc>
        <w:tc>
          <w:tcPr>
            <w:tcW w:w="1276" w:type="dxa"/>
            <w:tcBorders>
              <w:top w:val="nil"/>
              <w:left w:val="nil"/>
              <w:bottom w:val="nil"/>
              <w:right w:val="nil"/>
            </w:tcBorders>
          </w:tcPr>
          <w:p w14:paraId="58B8933B" w14:textId="19BC14F3"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37 (26.3, 53)</w:t>
            </w:r>
          </w:p>
        </w:tc>
        <w:tc>
          <w:tcPr>
            <w:tcW w:w="2263" w:type="dxa"/>
            <w:tcBorders>
              <w:top w:val="nil"/>
              <w:left w:val="nil"/>
              <w:bottom w:val="nil"/>
              <w:right w:val="nil"/>
            </w:tcBorders>
          </w:tcPr>
          <w:p w14:paraId="3BF518F3" w14:textId="021BB3DB"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 (1, 11)</w:t>
            </w:r>
          </w:p>
        </w:tc>
      </w:tr>
      <w:tr w:rsidR="009A732A" w:rsidRPr="00854763" w14:paraId="11A64354" w14:textId="77777777" w:rsidTr="00760E72">
        <w:trPr>
          <w:trHeight w:val="57"/>
          <w:jc w:val="center"/>
        </w:trPr>
        <w:tc>
          <w:tcPr>
            <w:tcW w:w="3969" w:type="dxa"/>
            <w:tcBorders>
              <w:top w:val="nil"/>
              <w:left w:val="nil"/>
              <w:bottom w:val="nil"/>
              <w:right w:val="nil"/>
            </w:tcBorders>
          </w:tcPr>
          <w:p w14:paraId="6415D974" w14:textId="13BB3C40" w:rsidR="00854763" w:rsidRPr="00854763" w:rsidRDefault="00854763" w:rsidP="0063130F">
            <w:pPr>
              <w:pStyle w:val="Textoindependiente"/>
              <w:spacing w:after="160" w:line="251" w:lineRule="exact"/>
              <w:ind w:left="0"/>
              <w:rPr>
                <w:color w:val="000000" w:themeColor="text1"/>
                <w:w w:val="100"/>
                <w:sz w:val="16"/>
                <w:szCs w:val="16"/>
              </w:rPr>
            </w:pPr>
            <w:r>
              <w:rPr>
                <w:color w:val="000000" w:themeColor="text1"/>
                <w:w w:val="100"/>
                <w:sz w:val="16"/>
                <w:szCs w:val="16"/>
              </w:rPr>
              <w:t xml:space="preserve">Desenlace </w:t>
            </w:r>
          </w:p>
        </w:tc>
        <w:tc>
          <w:tcPr>
            <w:tcW w:w="1276" w:type="dxa"/>
            <w:tcBorders>
              <w:top w:val="nil"/>
              <w:left w:val="nil"/>
              <w:bottom w:val="nil"/>
              <w:right w:val="nil"/>
            </w:tcBorders>
          </w:tcPr>
          <w:p w14:paraId="35442CA1"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1370EF23"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6E92D29A" w14:textId="77777777" w:rsidR="00854763" w:rsidRPr="00854763" w:rsidRDefault="00854763" w:rsidP="0046655B">
            <w:pPr>
              <w:pStyle w:val="Textoindependiente"/>
              <w:spacing w:after="160" w:line="251" w:lineRule="exact"/>
              <w:ind w:left="0"/>
              <w:jc w:val="center"/>
              <w:rPr>
                <w:color w:val="000000" w:themeColor="text1"/>
                <w:w w:val="100"/>
                <w:sz w:val="16"/>
                <w:szCs w:val="16"/>
              </w:rPr>
            </w:pPr>
          </w:p>
        </w:tc>
      </w:tr>
      <w:tr w:rsidR="009A732A" w:rsidRPr="00854763" w14:paraId="2562B0B4" w14:textId="77777777" w:rsidTr="00760E72">
        <w:trPr>
          <w:trHeight w:val="57"/>
          <w:jc w:val="center"/>
        </w:trPr>
        <w:tc>
          <w:tcPr>
            <w:tcW w:w="3969" w:type="dxa"/>
            <w:tcBorders>
              <w:top w:val="nil"/>
              <w:left w:val="nil"/>
              <w:bottom w:val="nil"/>
              <w:right w:val="nil"/>
            </w:tcBorders>
          </w:tcPr>
          <w:p w14:paraId="4CF84D0C" w14:textId="3638D30D" w:rsidR="00854763" w:rsidRPr="00854763" w:rsidRDefault="00854763"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Muerto por COVID-19</w:t>
            </w:r>
          </w:p>
        </w:tc>
        <w:tc>
          <w:tcPr>
            <w:tcW w:w="1276" w:type="dxa"/>
            <w:tcBorders>
              <w:top w:val="nil"/>
              <w:left w:val="nil"/>
              <w:bottom w:val="nil"/>
              <w:right w:val="nil"/>
            </w:tcBorders>
          </w:tcPr>
          <w:p w14:paraId="6CB0A591" w14:textId="677D3C35"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592 (53.9%)</w:t>
            </w:r>
          </w:p>
        </w:tc>
        <w:tc>
          <w:tcPr>
            <w:tcW w:w="1276" w:type="dxa"/>
            <w:tcBorders>
              <w:top w:val="nil"/>
              <w:left w:val="nil"/>
              <w:bottom w:val="nil"/>
              <w:right w:val="nil"/>
            </w:tcBorders>
          </w:tcPr>
          <w:p w14:paraId="4FCC8E35" w14:textId="301ACD12"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66 (23.9%)</w:t>
            </w:r>
          </w:p>
        </w:tc>
        <w:tc>
          <w:tcPr>
            <w:tcW w:w="2263" w:type="dxa"/>
            <w:tcBorders>
              <w:top w:val="nil"/>
              <w:left w:val="nil"/>
              <w:bottom w:val="nil"/>
              <w:right w:val="nil"/>
            </w:tcBorders>
          </w:tcPr>
          <w:p w14:paraId="75785BB2" w14:textId="52AA4A2C"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526 (64%)</w:t>
            </w:r>
          </w:p>
        </w:tc>
      </w:tr>
      <w:tr w:rsidR="009A732A" w:rsidRPr="00854763" w14:paraId="745BA734" w14:textId="77777777" w:rsidTr="00760E72">
        <w:trPr>
          <w:trHeight w:val="57"/>
          <w:jc w:val="center"/>
        </w:trPr>
        <w:tc>
          <w:tcPr>
            <w:tcW w:w="3969" w:type="dxa"/>
            <w:tcBorders>
              <w:top w:val="nil"/>
              <w:left w:val="nil"/>
              <w:bottom w:val="nil"/>
              <w:right w:val="nil"/>
            </w:tcBorders>
          </w:tcPr>
          <w:p w14:paraId="5621B8BD" w14:textId="4A588B0B" w:rsidR="00854763" w:rsidRPr="00854763" w:rsidRDefault="00854763"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Vivo</w:t>
            </w:r>
          </w:p>
        </w:tc>
        <w:tc>
          <w:tcPr>
            <w:tcW w:w="1276" w:type="dxa"/>
            <w:tcBorders>
              <w:top w:val="nil"/>
              <w:left w:val="nil"/>
              <w:bottom w:val="nil"/>
              <w:right w:val="nil"/>
            </w:tcBorders>
          </w:tcPr>
          <w:p w14:paraId="66B91236" w14:textId="7957C0A6"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455 (41.4%)</w:t>
            </w:r>
          </w:p>
        </w:tc>
        <w:tc>
          <w:tcPr>
            <w:tcW w:w="1276" w:type="dxa"/>
            <w:tcBorders>
              <w:top w:val="nil"/>
              <w:left w:val="nil"/>
              <w:bottom w:val="nil"/>
              <w:right w:val="nil"/>
            </w:tcBorders>
          </w:tcPr>
          <w:p w14:paraId="64FC7C81" w14:textId="637567AB"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198 (71.7%)</w:t>
            </w:r>
          </w:p>
        </w:tc>
        <w:tc>
          <w:tcPr>
            <w:tcW w:w="2263" w:type="dxa"/>
            <w:tcBorders>
              <w:top w:val="nil"/>
              <w:left w:val="nil"/>
              <w:bottom w:val="nil"/>
              <w:right w:val="nil"/>
            </w:tcBorders>
          </w:tcPr>
          <w:p w14:paraId="4541475D" w14:textId="3E955178"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257 (31.3%)</w:t>
            </w:r>
          </w:p>
        </w:tc>
      </w:tr>
      <w:tr w:rsidR="0046655B" w:rsidRPr="00854763" w14:paraId="0F75BB67" w14:textId="77777777" w:rsidTr="00760E72">
        <w:trPr>
          <w:trHeight w:val="57"/>
          <w:jc w:val="center"/>
        </w:trPr>
        <w:tc>
          <w:tcPr>
            <w:tcW w:w="3969" w:type="dxa"/>
            <w:tcBorders>
              <w:top w:val="nil"/>
              <w:left w:val="nil"/>
              <w:bottom w:val="nil"/>
              <w:right w:val="nil"/>
            </w:tcBorders>
          </w:tcPr>
          <w:p w14:paraId="22680031" w14:textId="17984A36" w:rsidR="00854763" w:rsidRPr="00854763" w:rsidRDefault="00854763"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Censurado</w:t>
            </w:r>
          </w:p>
        </w:tc>
        <w:tc>
          <w:tcPr>
            <w:tcW w:w="1276" w:type="dxa"/>
            <w:tcBorders>
              <w:top w:val="nil"/>
              <w:left w:val="nil"/>
              <w:bottom w:val="nil"/>
              <w:right w:val="nil"/>
            </w:tcBorders>
          </w:tcPr>
          <w:p w14:paraId="0ADC10FA" w14:textId="5BBBEB97"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51 (4.6%)</w:t>
            </w:r>
          </w:p>
        </w:tc>
        <w:tc>
          <w:tcPr>
            <w:tcW w:w="1276" w:type="dxa"/>
            <w:tcBorders>
              <w:top w:val="nil"/>
              <w:left w:val="nil"/>
              <w:bottom w:val="nil"/>
              <w:right w:val="nil"/>
            </w:tcBorders>
          </w:tcPr>
          <w:p w14:paraId="3783EAA3" w14:textId="76CDC7B8"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12 (4.4%)</w:t>
            </w:r>
          </w:p>
        </w:tc>
        <w:tc>
          <w:tcPr>
            <w:tcW w:w="2263" w:type="dxa"/>
            <w:tcBorders>
              <w:top w:val="nil"/>
              <w:left w:val="nil"/>
              <w:bottom w:val="nil"/>
              <w:right w:val="nil"/>
            </w:tcBorders>
          </w:tcPr>
          <w:p w14:paraId="5ACD424F" w14:textId="56615979" w:rsidR="00854763" w:rsidRPr="00854763" w:rsidRDefault="00893D7F"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39 (4.7%)</w:t>
            </w:r>
          </w:p>
        </w:tc>
      </w:tr>
      <w:tr w:rsidR="00760E72" w:rsidRPr="00854763" w14:paraId="2BF01B98" w14:textId="77777777" w:rsidTr="00760E72">
        <w:trPr>
          <w:trHeight w:val="57"/>
          <w:jc w:val="center"/>
        </w:trPr>
        <w:tc>
          <w:tcPr>
            <w:tcW w:w="3969" w:type="dxa"/>
            <w:tcBorders>
              <w:top w:val="nil"/>
              <w:left w:val="nil"/>
              <w:bottom w:val="double" w:sz="4" w:space="0" w:color="auto"/>
              <w:right w:val="nil"/>
            </w:tcBorders>
          </w:tcPr>
          <w:p w14:paraId="0764DE98" w14:textId="5DE6DB80" w:rsidR="00854763" w:rsidRDefault="009A732A" w:rsidP="00854763">
            <w:pPr>
              <w:pStyle w:val="Textoindependiente"/>
              <w:spacing w:after="160" w:line="251" w:lineRule="exact"/>
              <w:ind w:left="0"/>
              <w:rPr>
                <w:color w:val="000000" w:themeColor="text1"/>
                <w:w w:val="100"/>
                <w:sz w:val="16"/>
                <w:szCs w:val="16"/>
              </w:rPr>
            </w:pPr>
            <w:r>
              <w:rPr>
                <w:color w:val="000000" w:themeColor="text1"/>
                <w:w w:val="100"/>
                <w:sz w:val="16"/>
                <w:szCs w:val="16"/>
              </w:rPr>
              <w:t>Tiempo desde el inicio de síntomas hasta la admisión en UCI, mediana (IQR)</w:t>
            </w:r>
          </w:p>
        </w:tc>
        <w:tc>
          <w:tcPr>
            <w:tcW w:w="1276" w:type="dxa"/>
            <w:tcBorders>
              <w:top w:val="nil"/>
              <w:left w:val="nil"/>
              <w:bottom w:val="double" w:sz="4" w:space="0" w:color="auto"/>
              <w:right w:val="nil"/>
            </w:tcBorders>
          </w:tcPr>
          <w:p w14:paraId="43BC1395" w14:textId="78EFDDEC"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15 (10, 24)</w:t>
            </w:r>
          </w:p>
        </w:tc>
        <w:tc>
          <w:tcPr>
            <w:tcW w:w="1276" w:type="dxa"/>
            <w:tcBorders>
              <w:top w:val="nil"/>
              <w:left w:val="nil"/>
              <w:bottom w:val="double" w:sz="4" w:space="0" w:color="auto"/>
              <w:right w:val="nil"/>
            </w:tcBorders>
          </w:tcPr>
          <w:p w14:paraId="214814F8" w14:textId="54E98540"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14 (10, 25)</w:t>
            </w:r>
          </w:p>
        </w:tc>
        <w:tc>
          <w:tcPr>
            <w:tcW w:w="2263" w:type="dxa"/>
            <w:tcBorders>
              <w:top w:val="nil"/>
              <w:left w:val="nil"/>
              <w:bottom w:val="nil"/>
              <w:right w:val="nil"/>
            </w:tcBorders>
          </w:tcPr>
          <w:p w14:paraId="65593FC3" w14:textId="420EF75F" w:rsidR="00854763" w:rsidRPr="00854763" w:rsidRDefault="009A732A"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15 (10, 24)</w:t>
            </w:r>
          </w:p>
        </w:tc>
      </w:tr>
      <w:tr w:rsidR="009A732A" w:rsidRPr="00854763" w14:paraId="07526DC1" w14:textId="77777777" w:rsidTr="00760E72">
        <w:trPr>
          <w:trHeight w:val="57"/>
          <w:jc w:val="center"/>
        </w:trPr>
        <w:tc>
          <w:tcPr>
            <w:tcW w:w="8784" w:type="dxa"/>
            <w:gridSpan w:val="4"/>
            <w:tcBorders>
              <w:top w:val="double" w:sz="4" w:space="0" w:color="auto"/>
              <w:left w:val="nil"/>
              <w:right w:val="nil"/>
            </w:tcBorders>
          </w:tcPr>
          <w:p w14:paraId="01BE9478" w14:textId="00C47CE4" w:rsidR="009A732A" w:rsidRPr="00854763" w:rsidRDefault="0046655B" w:rsidP="0063130F">
            <w:pPr>
              <w:pStyle w:val="Textoindependiente"/>
              <w:spacing w:after="160" w:line="251" w:lineRule="exact"/>
              <w:ind w:left="0"/>
              <w:rPr>
                <w:color w:val="000000" w:themeColor="text1"/>
                <w:w w:val="100"/>
                <w:sz w:val="16"/>
                <w:szCs w:val="16"/>
              </w:rPr>
            </w:pPr>
            <w:r>
              <w:rPr>
                <w:color w:val="000000" w:themeColor="text1"/>
                <w:w w:val="100"/>
                <w:sz w:val="16"/>
                <w:szCs w:val="16"/>
              </w:rPr>
              <w:t>T = Días desde la admisión en UCI hasta la fecha de descarga. IQR = Rango Intercuartílico.</w:t>
            </w:r>
          </w:p>
        </w:tc>
      </w:tr>
    </w:tbl>
    <w:p w14:paraId="58D56F32" w14:textId="77777777" w:rsidR="009A732A" w:rsidRDefault="009A732A" w:rsidP="001356B7">
      <w:pPr>
        <w:pStyle w:val="Textoindependiente"/>
        <w:spacing w:after="160" w:line="251" w:lineRule="exact"/>
        <w:rPr>
          <w:color w:val="000000" w:themeColor="text1"/>
          <w:w w:val="100"/>
        </w:rPr>
        <w:sectPr w:rsidR="009A732A" w:rsidSect="009A732A">
          <w:type w:val="continuous"/>
          <w:pgSz w:w="11906" w:h="16838"/>
          <w:pgMar w:top="720" w:right="720" w:bottom="720" w:left="720" w:header="708" w:footer="708" w:gutter="0"/>
          <w:cols w:space="708"/>
          <w:docGrid w:linePitch="360"/>
        </w:sectPr>
      </w:pPr>
    </w:p>
    <w:p w14:paraId="0F00D34B" w14:textId="6C717D01" w:rsidR="00854763" w:rsidRPr="0063130F" w:rsidRDefault="00854763" w:rsidP="0063130F">
      <w:pPr>
        <w:pStyle w:val="Textoindependiente"/>
        <w:spacing w:after="160" w:line="251" w:lineRule="exact"/>
        <w:ind w:left="142" w:firstLine="284"/>
        <w:rPr>
          <w:color w:val="000000" w:themeColor="text1"/>
          <w:w w:val="100"/>
        </w:rPr>
      </w:pPr>
    </w:p>
    <w:p w14:paraId="7CE1FC78" w14:textId="7354D2F5" w:rsidR="00191754" w:rsidRPr="0063130F" w:rsidRDefault="00191754" w:rsidP="0063130F">
      <w:pPr>
        <w:pStyle w:val="Textoindependiente"/>
        <w:spacing w:after="160" w:line="251" w:lineRule="exact"/>
        <w:ind w:left="142" w:firstLine="284"/>
        <w:rPr>
          <w:w w:val="100"/>
        </w:rPr>
      </w:pPr>
      <w:r w:rsidRPr="0063130F">
        <w:rPr>
          <w:w w:val="100"/>
        </w:rPr>
        <w:t>El</w:t>
      </w:r>
      <w:r w:rsidRPr="0063130F">
        <w:rPr>
          <w:spacing w:val="1"/>
          <w:w w:val="100"/>
        </w:rPr>
        <w:t xml:space="preserve"> </w:t>
      </w:r>
      <w:r w:rsidRPr="0063130F">
        <w:rPr>
          <w:w w:val="100"/>
        </w:rPr>
        <w:t>análisis</w:t>
      </w:r>
      <w:r w:rsidRPr="0063130F">
        <w:rPr>
          <w:spacing w:val="1"/>
          <w:w w:val="100"/>
        </w:rPr>
        <w:t xml:space="preserve"> </w:t>
      </w:r>
      <w:r w:rsidRPr="0063130F">
        <w:rPr>
          <w:w w:val="100"/>
        </w:rPr>
        <w:t>sobre</w:t>
      </w:r>
      <w:r w:rsidRPr="0063130F">
        <w:rPr>
          <w:spacing w:val="1"/>
          <w:w w:val="100"/>
        </w:rPr>
        <w:t xml:space="preserve"> </w:t>
      </w:r>
      <w:r w:rsidRPr="0063130F">
        <w:rPr>
          <w:w w:val="100"/>
        </w:rPr>
        <w:t>el</w:t>
      </w:r>
      <w:r w:rsidRPr="0063130F">
        <w:rPr>
          <w:spacing w:val="1"/>
          <w:w w:val="100"/>
        </w:rPr>
        <w:t xml:space="preserve"> </w:t>
      </w:r>
      <w:r w:rsidRPr="0063130F">
        <w:rPr>
          <w:w w:val="100"/>
        </w:rPr>
        <w:t>tiempo</w:t>
      </w:r>
      <w:r w:rsidRPr="0063130F">
        <w:rPr>
          <w:spacing w:val="1"/>
          <w:w w:val="100"/>
        </w:rPr>
        <w:t xml:space="preserve"> </w:t>
      </w:r>
      <w:r w:rsidRPr="0063130F">
        <w:rPr>
          <w:w w:val="100"/>
        </w:rPr>
        <w:t>de</w:t>
      </w:r>
      <w:r w:rsidRPr="0063130F">
        <w:rPr>
          <w:spacing w:val="1"/>
          <w:w w:val="100"/>
        </w:rPr>
        <w:t xml:space="preserve"> </w:t>
      </w:r>
      <w:r w:rsidRPr="0063130F">
        <w:rPr>
          <w:w w:val="100"/>
        </w:rPr>
        <w:t>estancia</w:t>
      </w:r>
      <w:r w:rsidRPr="0063130F">
        <w:rPr>
          <w:spacing w:val="1"/>
          <w:w w:val="100"/>
        </w:rPr>
        <w:t xml:space="preserve"> </w:t>
      </w:r>
      <w:r w:rsidRPr="0063130F">
        <w:rPr>
          <w:w w:val="100"/>
        </w:rPr>
        <w:t>en</w:t>
      </w:r>
      <w:r w:rsidRPr="0063130F">
        <w:rPr>
          <w:spacing w:val="1"/>
          <w:w w:val="100"/>
        </w:rPr>
        <w:t xml:space="preserve"> </w:t>
      </w:r>
      <w:r w:rsidRPr="0063130F">
        <w:rPr>
          <w:w w:val="100"/>
        </w:rPr>
        <w:t>UCI</w:t>
      </w:r>
      <w:r w:rsidRPr="0063130F">
        <w:rPr>
          <w:spacing w:val="1"/>
          <w:w w:val="100"/>
        </w:rPr>
        <w:t xml:space="preserve"> </w:t>
      </w:r>
      <w:r w:rsidRPr="0063130F">
        <w:rPr>
          <w:w w:val="100"/>
        </w:rPr>
        <w:t>para</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así</w:t>
      </w:r>
      <w:r w:rsidRPr="0063130F">
        <w:rPr>
          <w:spacing w:val="1"/>
          <w:w w:val="100"/>
        </w:rPr>
        <w:t xml:space="preserve"> </w:t>
      </w:r>
      <w:r w:rsidRPr="0063130F">
        <w:rPr>
          <w:w w:val="100"/>
        </w:rPr>
        <w:t>como</w:t>
      </w:r>
      <w:r w:rsidRPr="0063130F">
        <w:rPr>
          <w:spacing w:val="1"/>
          <w:w w:val="100"/>
        </w:rPr>
        <w:t xml:space="preserve"> </w:t>
      </w:r>
      <w:r w:rsidRPr="0063130F">
        <w:rPr>
          <w:w w:val="100"/>
        </w:rPr>
        <w:t>la</w:t>
      </w:r>
      <w:r w:rsidRPr="0063130F">
        <w:rPr>
          <w:spacing w:val="1"/>
          <w:w w:val="100"/>
        </w:rPr>
        <w:t xml:space="preserve"> </w:t>
      </w:r>
      <w:r w:rsidRPr="0063130F">
        <w:rPr>
          <w:w w:val="100"/>
        </w:rPr>
        <w:t>identificación</w:t>
      </w:r>
      <w:r w:rsidRPr="0063130F">
        <w:rPr>
          <w:spacing w:val="1"/>
          <w:w w:val="100"/>
        </w:rPr>
        <w:t xml:space="preserve"> </w:t>
      </w:r>
      <w:r w:rsidRPr="0063130F">
        <w:rPr>
          <w:w w:val="100"/>
        </w:rPr>
        <w:t>de</w:t>
      </w:r>
      <w:r w:rsidRPr="0063130F">
        <w:rPr>
          <w:spacing w:val="1"/>
          <w:w w:val="100"/>
        </w:rPr>
        <w:t xml:space="preserve"> </w:t>
      </w:r>
      <w:r w:rsidRPr="0063130F">
        <w:rPr>
          <w:w w:val="100"/>
        </w:rPr>
        <w:t>factores</w:t>
      </w:r>
      <w:r w:rsidRPr="0063130F">
        <w:rPr>
          <w:spacing w:val="20"/>
          <w:w w:val="100"/>
        </w:rPr>
        <w:t xml:space="preserve"> </w:t>
      </w:r>
      <w:r w:rsidRPr="0063130F">
        <w:rPr>
          <w:w w:val="100"/>
        </w:rPr>
        <w:t>de</w:t>
      </w:r>
      <w:r w:rsidRPr="0063130F">
        <w:rPr>
          <w:spacing w:val="20"/>
          <w:w w:val="100"/>
        </w:rPr>
        <w:t xml:space="preserve"> </w:t>
      </w:r>
      <w:r w:rsidRPr="0063130F">
        <w:rPr>
          <w:w w:val="100"/>
        </w:rPr>
        <w:t>riesgo</w:t>
      </w:r>
      <w:r w:rsidRPr="0063130F">
        <w:rPr>
          <w:spacing w:val="20"/>
          <w:w w:val="100"/>
        </w:rPr>
        <w:t xml:space="preserve"> </w:t>
      </w:r>
      <w:r w:rsidRPr="0063130F">
        <w:rPr>
          <w:w w:val="100"/>
        </w:rPr>
        <w:t>asociados,</w:t>
      </w:r>
      <w:r w:rsidRPr="0063130F">
        <w:rPr>
          <w:spacing w:val="21"/>
          <w:w w:val="100"/>
        </w:rPr>
        <w:t xml:space="preserve"> </w:t>
      </w:r>
      <w:r w:rsidRPr="0063130F">
        <w:rPr>
          <w:w w:val="100"/>
        </w:rPr>
        <w:t>proporciona</w:t>
      </w:r>
      <w:r w:rsidRPr="0063130F">
        <w:rPr>
          <w:spacing w:val="20"/>
          <w:w w:val="100"/>
        </w:rPr>
        <w:t xml:space="preserve"> </w:t>
      </w:r>
      <w:r w:rsidRPr="0063130F">
        <w:rPr>
          <w:w w:val="100"/>
        </w:rPr>
        <w:t>información útil para</w:t>
      </w:r>
      <w:r w:rsidRPr="0063130F">
        <w:rPr>
          <w:spacing w:val="1"/>
          <w:w w:val="100"/>
        </w:rPr>
        <w:t xml:space="preserve"> </w:t>
      </w:r>
      <w:r w:rsidRPr="0063130F">
        <w:rPr>
          <w:w w:val="100"/>
        </w:rPr>
        <w:t>la</w:t>
      </w:r>
      <w:r w:rsidRPr="0063130F">
        <w:rPr>
          <w:spacing w:val="1"/>
          <w:w w:val="100"/>
        </w:rPr>
        <w:t xml:space="preserve"> </w:t>
      </w:r>
      <w:r w:rsidRPr="0063130F">
        <w:rPr>
          <w:w w:val="100"/>
        </w:rPr>
        <w:t>distribución</w:t>
      </w:r>
      <w:r w:rsidRPr="0063130F">
        <w:rPr>
          <w:spacing w:val="1"/>
          <w:w w:val="100"/>
        </w:rPr>
        <w:t xml:space="preserve"> </w:t>
      </w:r>
      <w:r w:rsidRPr="0063130F">
        <w:rPr>
          <w:w w:val="100"/>
        </w:rPr>
        <w:t>eficiente</w:t>
      </w:r>
      <w:r w:rsidRPr="0063130F">
        <w:rPr>
          <w:spacing w:val="1"/>
          <w:w w:val="100"/>
        </w:rPr>
        <w:t xml:space="preserve"> </w:t>
      </w:r>
      <w:r w:rsidRPr="0063130F">
        <w:rPr>
          <w:w w:val="100"/>
        </w:rPr>
        <w:t>de</w:t>
      </w:r>
      <w:r w:rsidRPr="0063130F">
        <w:rPr>
          <w:spacing w:val="1"/>
          <w:w w:val="100"/>
        </w:rPr>
        <w:t xml:space="preserve"> </w:t>
      </w:r>
      <w:r w:rsidRPr="0063130F">
        <w:rPr>
          <w:w w:val="100"/>
        </w:rPr>
        <w:t>recursos</w:t>
      </w:r>
      <w:r w:rsidRPr="0063130F">
        <w:rPr>
          <w:spacing w:val="1"/>
          <w:w w:val="100"/>
        </w:rPr>
        <w:t xml:space="preserve"> </w:t>
      </w:r>
      <w:r w:rsidRPr="0063130F">
        <w:rPr>
          <w:w w:val="100"/>
        </w:rPr>
        <w:t>de</w:t>
      </w:r>
      <w:r w:rsidRPr="0063130F">
        <w:rPr>
          <w:spacing w:val="1"/>
          <w:w w:val="100"/>
        </w:rPr>
        <w:t xml:space="preserve"> </w:t>
      </w:r>
      <w:r w:rsidRPr="0063130F">
        <w:rPr>
          <w:w w:val="100"/>
        </w:rPr>
        <w:t>cuidados</w:t>
      </w:r>
      <w:r w:rsidRPr="0063130F">
        <w:rPr>
          <w:spacing w:val="1"/>
          <w:w w:val="100"/>
        </w:rPr>
        <w:t xml:space="preserve"> </w:t>
      </w:r>
      <w:r w:rsidRPr="0063130F">
        <w:rPr>
          <w:w w:val="100"/>
        </w:rPr>
        <w:t>intensivos. La literatura descrita ha omitido, sin embargo,</w:t>
      </w:r>
      <w:r w:rsidRPr="0063130F">
        <w:rPr>
          <w:spacing w:val="1"/>
          <w:w w:val="100"/>
        </w:rPr>
        <w:t xml:space="preserve"> </w:t>
      </w:r>
      <w:r w:rsidRPr="0063130F">
        <w:rPr>
          <w:w w:val="100"/>
        </w:rPr>
        <w:t>un grupo específico de interés: los pacientes de COVID-19</w:t>
      </w:r>
      <w:r w:rsidRPr="0063130F">
        <w:rPr>
          <w:spacing w:val="1"/>
          <w:w w:val="100"/>
        </w:rPr>
        <w:t xml:space="preserve"> </w:t>
      </w:r>
      <w:r w:rsidRPr="0063130F">
        <w:rPr>
          <w:w w:val="100"/>
        </w:rPr>
        <w:t>con</w:t>
      </w:r>
      <w:r w:rsidRPr="0063130F">
        <w:rPr>
          <w:spacing w:val="1"/>
          <w:w w:val="100"/>
        </w:rPr>
        <w:t xml:space="preserve"> </w:t>
      </w:r>
      <w:r w:rsidRPr="0063130F">
        <w:rPr>
          <w:w w:val="100"/>
        </w:rPr>
        <w:t>estancia</w:t>
      </w:r>
      <w:r w:rsidRPr="0063130F">
        <w:rPr>
          <w:spacing w:val="1"/>
          <w:w w:val="100"/>
        </w:rPr>
        <w:t xml:space="preserve"> </w:t>
      </w:r>
      <w:r w:rsidRPr="0063130F">
        <w:rPr>
          <w:w w:val="100"/>
        </w:rPr>
        <w:t>prolongada en UCI.  No existe, de hecho,</w:t>
      </w:r>
      <w:r w:rsidRPr="0063130F">
        <w:rPr>
          <w:spacing w:val="1"/>
          <w:w w:val="100"/>
        </w:rPr>
        <w:t xml:space="preserve"> </w:t>
      </w:r>
      <w:r w:rsidRPr="0063130F">
        <w:rPr>
          <w:w w:val="100"/>
        </w:rPr>
        <w:t>un</w:t>
      </w:r>
      <w:r w:rsidRPr="0063130F">
        <w:rPr>
          <w:spacing w:val="1"/>
          <w:w w:val="100"/>
        </w:rPr>
        <w:t xml:space="preserve"> </w:t>
      </w:r>
      <w:r w:rsidRPr="0063130F">
        <w:rPr>
          <w:w w:val="100"/>
        </w:rPr>
        <w:t>acuerdo</w:t>
      </w:r>
      <w:r w:rsidRPr="0063130F">
        <w:rPr>
          <w:spacing w:val="1"/>
          <w:w w:val="100"/>
        </w:rPr>
        <w:t xml:space="preserve"> </w:t>
      </w:r>
      <w:r w:rsidRPr="0063130F">
        <w:rPr>
          <w:w w:val="100"/>
        </w:rPr>
        <w:t>general</w:t>
      </w:r>
      <w:r w:rsidRPr="0063130F">
        <w:rPr>
          <w:spacing w:val="1"/>
          <w:w w:val="100"/>
        </w:rPr>
        <w:t xml:space="preserve"> </w:t>
      </w:r>
      <w:r w:rsidRPr="0063130F">
        <w:rPr>
          <w:w w:val="100"/>
        </w:rPr>
        <w:t>alrededor</w:t>
      </w:r>
      <w:r w:rsidRPr="0063130F">
        <w:rPr>
          <w:spacing w:val="1"/>
          <w:w w:val="100"/>
        </w:rPr>
        <w:t xml:space="preserve"> </w:t>
      </w:r>
      <w:r w:rsidRPr="0063130F">
        <w:rPr>
          <w:w w:val="100"/>
        </w:rPr>
        <w:t>del</w:t>
      </w:r>
      <w:r w:rsidRPr="0063130F">
        <w:rPr>
          <w:spacing w:val="1"/>
          <w:w w:val="100"/>
        </w:rPr>
        <w:t xml:space="preserve"> </w:t>
      </w:r>
      <w:r w:rsidRPr="0063130F">
        <w:rPr>
          <w:w w:val="100"/>
        </w:rPr>
        <w:t>umbral que determina una estancia</w:t>
      </w:r>
      <w:r w:rsidRPr="0063130F">
        <w:rPr>
          <w:spacing w:val="1"/>
          <w:w w:val="100"/>
        </w:rPr>
        <w:t xml:space="preserve"> </w:t>
      </w:r>
      <w:r w:rsidRPr="0063130F">
        <w:rPr>
          <w:w w:val="100"/>
        </w:rPr>
        <w:t>prolongada.</w:t>
      </w:r>
      <w:r w:rsidRPr="0063130F">
        <w:rPr>
          <w:spacing w:val="1"/>
          <w:w w:val="100"/>
        </w:rPr>
        <w:t xml:space="preserve"> </w:t>
      </w:r>
      <w:r w:rsidRPr="0063130F">
        <w:rPr>
          <w:w w:val="100"/>
        </w:rPr>
        <w:t>Algunos</w:t>
      </w:r>
      <w:r w:rsidRPr="0063130F">
        <w:rPr>
          <w:spacing w:val="1"/>
          <w:w w:val="100"/>
        </w:rPr>
        <w:t xml:space="preserve"> </w:t>
      </w:r>
      <w:r w:rsidRPr="0063130F">
        <w:rPr>
          <w:w w:val="100"/>
        </w:rPr>
        <w:t>estudios</w:t>
      </w:r>
      <w:r w:rsidRPr="0063130F">
        <w:rPr>
          <w:spacing w:val="1"/>
          <w:w w:val="100"/>
        </w:rPr>
        <w:t xml:space="preserve"> </w:t>
      </w:r>
      <w:r w:rsidRPr="0063130F">
        <w:rPr>
          <w:w w:val="100"/>
        </w:rPr>
        <w:t>consideran</w:t>
      </w:r>
      <w:r w:rsidRPr="0063130F">
        <w:rPr>
          <w:spacing w:val="1"/>
          <w:w w:val="100"/>
        </w:rPr>
        <w:t xml:space="preserve"> </w:t>
      </w:r>
      <w:r w:rsidRPr="0063130F">
        <w:rPr>
          <w:w w:val="100"/>
        </w:rPr>
        <w:t>que</w:t>
      </w:r>
      <w:r w:rsidRPr="0063130F">
        <w:rPr>
          <w:spacing w:val="1"/>
          <w:w w:val="100"/>
        </w:rPr>
        <w:t xml:space="preserve"> </w:t>
      </w:r>
      <w:r w:rsidRPr="0063130F">
        <w:rPr>
          <w:w w:val="100"/>
        </w:rPr>
        <w:t>una</w:t>
      </w:r>
      <w:r w:rsidRPr="0063130F">
        <w:rPr>
          <w:spacing w:val="1"/>
          <w:w w:val="100"/>
        </w:rPr>
        <w:t xml:space="preserve"> </w:t>
      </w:r>
      <w:r w:rsidRPr="0063130F">
        <w:rPr>
          <w:w w:val="100"/>
        </w:rPr>
        <w:t>estancia</w:t>
      </w:r>
      <w:r w:rsidRPr="0063130F">
        <w:rPr>
          <w:spacing w:val="1"/>
          <w:w w:val="100"/>
        </w:rPr>
        <w:t xml:space="preserve"> </w:t>
      </w:r>
      <w:r w:rsidRPr="0063130F">
        <w:rPr>
          <w:w w:val="100"/>
        </w:rPr>
        <w:t>es</w:t>
      </w:r>
      <w:r w:rsidRPr="0063130F">
        <w:rPr>
          <w:spacing w:val="1"/>
          <w:w w:val="100"/>
        </w:rPr>
        <w:t xml:space="preserve"> </w:t>
      </w:r>
      <w:r w:rsidRPr="0063130F">
        <w:rPr>
          <w:w w:val="100"/>
        </w:rPr>
        <w:t>prolongada</w:t>
      </w:r>
      <w:r w:rsidRPr="0063130F">
        <w:rPr>
          <w:spacing w:val="1"/>
          <w:w w:val="100"/>
        </w:rPr>
        <w:t xml:space="preserve"> </w:t>
      </w:r>
      <w:r w:rsidRPr="0063130F">
        <w:rPr>
          <w:w w:val="100"/>
        </w:rPr>
        <w:t>cuando es</w:t>
      </w:r>
      <w:r w:rsidRPr="0063130F">
        <w:rPr>
          <w:spacing w:val="1"/>
          <w:w w:val="100"/>
        </w:rPr>
        <w:t xml:space="preserve"> </w:t>
      </w:r>
      <w:r w:rsidRPr="0063130F">
        <w:rPr>
          <w:w w:val="100"/>
        </w:rPr>
        <w:t xml:space="preserve">mayor o igual a dos semanas consecutivas </w:t>
      </w:r>
      <w:r w:rsidR="002A680C" w:rsidRPr="0063130F">
        <w:rPr>
          <w:w w:val="100"/>
        </w:rPr>
        <w:fldChar w:fldCharType="begin" w:fldLock="1"/>
      </w:r>
      <w:r w:rsidR="002A680C"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COVID-19","type":"article-journal","volume":"38"},"uris":["http://www.mendeley.com/documents/?uuid=42b192b8-cfc2-4ee2-9704-f6f678920c9a"]},{"id":"ITEM-2","itemData":{"DOI":"10.1016/j.jcrc.2013.09.030","ISSN":"08839441","PMID":"24268622","abstract":"Purpose: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Inc.","author":[{"dropping-particle":"","family":"Zampieri","given":"Fernando Godinho","non-dropping-particle":"","parse-names":false,"suffix":""},{"dropping-particle":"","family":"Ladeira","given":"José Paulo","non-dropping-particle":"","parse-names":false,"suffix":""},{"dropping-particle":"","family":"Park","given":"Marcelo","non-dropping-particle":"","parse-names":false,"suffix":""},{"dropping-particle":"","family":"Haib","given":"Douglas","non-dropping-particle":"","parse-names":false,"suffix":""},{"dropping-particle":"","family":"Pastore","given":"Cintia Lovatto","non-dropping-particle":"","parse-names":false,"suffix":""},{"dropping-particle":"","family":"Santoro","given":"Cristiane M.","non-dropping-particle":"","parse-names":false,"suffix":""},{"dropping-particle":"","family":"Colombari","given":"Fernando","non-dropping-particle":"","parse-names":false,"suffix":""}],"container-title":"Journal of Critical Care","id":"ITEM-2","issued":{"date-parts":[["2014","2"]]},"note":"Anotaciones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consecutivos.\n\n\n","page":"60-65","title":"Admission factors associated with prolonged (&gt;14 days) intensive care unit stay","type":"article-journal","volume":"29"},"uris":["http://www.mendeley.com/documents/?uuid=15652bc4-0c8f-4822-91ed-2f94db76a607"]}],"mendeley":{"formattedCitation":"(21,22)","plainTextFormattedCitation":"(21,22)","previouslyFormattedCitation":"(21,22)"},"properties":{"noteIndex":0},"schema":"https://github.com/citation-style-language/schema/raw/master/csl-citation.json"}</w:instrText>
      </w:r>
      <w:r w:rsidR="002A680C" w:rsidRPr="0063130F">
        <w:rPr>
          <w:w w:val="100"/>
        </w:rPr>
        <w:fldChar w:fldCharType="separate"/>
      </w:r>
      <w:r w:rsidR="002A680C" w:rsidRPr="0063130F">
        <w:rPr>
          <w:noProof/>
          <w:w w:val="100"/>
        </w:rPr>
        <w:t>(21,22)</w:t>
      </w:r>
      <w:r w:rsidR="002A680C" w:rsidRPr="0063130F">
        <w:rPr>
          <w:w w:val="100"/>
        </w:rPr>
        <w:fldChar w:fldCharType="end"/>
      </w:r>
      <w:r w:rsidRPr="0063130F">
        <w:rPr>
          <w:w w:val="100"/>
        </w:rPr>
        <w:t>; otros</w:t>
      </w:r>
      <w:r w:rsidRPr="0063130F">
        <w:rPr>
          <w:spacing w:val="1"/>
          <w:w w:val="100"/>
        </w:rPr>
        <w:t xml:space="preserve"> </w:t>
      </w:r>
      <w:r w:rsidRPr="0063130F">
        <w:rPr>
          <w:w w:val="100"/>
        </w:rPr>
        <w:t>estudios, cuando es mayor o igual a 21 días consecutivo</w:t>
      </w:r>
      <w:r w:rsidR="001C1D1D" w:rsidRPr="0063130F">
        <w:rPr>
          <w:w w:val="100"/>
        </w:rPr>
        <w:t xml:space="preserve">s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Therapy","type":"article-journal","volume":"11"},"uris":["http://www.mendeley.com/documents/?uuid=f453e614-cbd5-4985-83ba-c36c56df2dad"]},{"id":"ITEM-2","itemData":{"DOI":"10.1097/MCC.0b013e328364d65e","ISSN":"10705295","PMID":"23995126","abstract":"PURPOSE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Wilkins.","author":[{"dropping-particle":"","family":"Maguire","given":"Jennifer M.","non-dropping-particle":"","parse-names":false,"suffix":""},{"dropping-particle":"","family":"Carson","given":"Shannon S.","non-dropping-particle":"","parse-names":false,"suffix":""}],"container-title":"Current Opinion in Critical Care","id":"ITEM-2","issue":"5","issued":{"date-parts":[["2013"]]},"page":"480-487","title":"Strategies to combat chronic critical illness","type":"article-journal","volume":"19"},"uris":["http://www.mendeley.com/documents/?uuid=f790623a-3468-42d1-ba90-e79797ca2b6e"]}],"mendeley":{"formattedCitation":"(23,24)","plainTextFormattedCitation":"(23,24)","previouslyFormattedCitation":"(23,24)"},"properties":{"noteIndex":0},"schema":"https://github.com/citation-style-language/schema/raw/master/csl-citation.json"}</w:instrText>
      </w:r>
      <w:r w:rsidR="002A680C" w:rsidRPr="0063130F">
        <w:rPr>
          <w:w w:val="100"/>
        </w:rPr>
        <w:fldChar w:fldCharType="separate"/>
      </w:r>
      <w:r w:rsidR="002A680C" w:rsidRPr="0063130F">
        <w:rPr>
          <w:noProof/>
          <w:w w:val="100"/>
        </w:rPr>
        <w:t>(23,24)</w:t>
      </w:r>
      <w:r w:rsidR="002A680C" w:rsidRPr="0063130F">
        <w:rPr>
          <w:w w:val="100"/>
        </w:rPr>
        <w:fldChar w:fldCharType="end"/>
      </w:r>
      <w:r w:rsidRPr="0063130F">
        <w:rPr>
          <w:w w:val="100"/>
        </w:rPr>
        <w:t>. Aun cuando la definición puede variar ligeramente, estudios retrospectivos han evidenciado que</w:t>
      </w:r>
      <w:r w:rsidRPr="0063130F">
        <w:rPr>
          <w:spacing w:val="-50"/>
          <w:w w:val="100"/>
        </w:rPr>
        <w:t xml:space="preserve"> </w:t>
      </w:r>
      <w:r w:rsidRPr="0063130F">
        <w:rPr>
          <w:w w:val="100"/>
        </w:rPr>
        <w:t>la población de pacientes con estancia prolongada muestra</w:t>
      </w:r>
      <w:r w:rsidRPr="0063130F">
        <w:rPr>
          <w:spacing w:val="1"/>
          <w:w w:val="100"/>
        </w:rPr>
        <w:t xml:space="preserve"> </w:t>
      </w:r>
      <w:r w:rsidRPr="0063130F">
        <w:rPr>
          <w:w w:val="100"/>
        </w:rPr>
        <w:t>un mayor riesgo de resultados desfavorables y consumen</w:t>
      </w:r>
      <w:r w:rsidRPr="0063130F">
        <w:rPr>
          <w:spacing w:val="1"/>
          <w:w w:val="100"/>
        </w:rPr>
        <w:t xml:space="preserve"> </w:t>
      </w:r>
      <w:r w:rsidRPr="0063130F">
        <w:rPr>
          <w:w w:val="100"/>
        </w:rPr>
        <w:t>una proporción significativa de los recursos de cuidados</w:t>
      </w:r>
      <w:r w:rsidRPr="0063130F">
        <w:rPr>
          <w:spacing w:val="1"/>
          <w:w w:val="100"/>
        </w:rPr>
        <w:t xml:space="preserve"> </w:t>
      </w:r>
      <w:r w:rsidRPr="0063130F">
        <w:rPr>
          <w:w w:val="100"/>
        </w:rPr>
        <w:t>intensivos</w:t>
      </w:r>
      <w:r w:rsidR="001C1D1D" w:rsidRPr="0063130F">
        <w:rPr>
          <w:w w:val="100"/>
        </w:rPr>
        <w:t xml:space="preserve"> </w:t>
      </w:r>
      <w:r w:rsidR="002A680C" w:rsidRPr="0063130F">
        <w:rPr>
          <w:w w:val="100"/>
        </w:rPr>
        <w:fldChar w:fldCharType="begin" w:fldLock="1"/>
      </w:r>
      <w:r w:rsidR="002A680C" w:rsidRPr="0063130F">
        <w:rPr>
          <w:w w:val="100"/>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sidR="002A680C" w:rsidRPr="0063130F">
        <w:rPr>
          <w:w w:val="100"/>
        </w:rPr>
        <w:fldChar w:fldCharType="separate"/>
      </w:r>
      <w:r w:rsidR="002A680C" w:rsidRPr="0063130F">
        <w:rPr>
          <w:noProof/>
          <w:w w:val="100"/>
        </w:rPr>
        <w:t>(25)</w:t>
      </w:r>
      <w:r w:rsidR="002A680C" w:rsidRPr="0063130F">
        <w:rPr>
          <w:w w:val="100"/>
        </w:rPr>
        <w:fldChar w:fldCharType="end"/>
      </w:r>
      <w:r w:rsidR="001C1D1D" w:rsidRPr="0063130F">
        <w:rPr>
          <w:spacing w:val="19"/>
          <w:w w:val="100"/>
        </w:rPr>
        <w:t>.</w:t>
      </w:r>
      <w:r w:rsidRPr="0063130F">
        <w:rPr>
          <w:w w:val="100"/>
        </w:rPr>
        <w:t xml:space="preserve"> </w:t>
      </w:r>
    </w:p>
    <w:p w14:paraId="77BEE821" w14:textId="7DFB8F90" w:rsidR="00191754" w:rsidRPr="0063130F" w:rsidRDefault="00191754" w:rsidP="0063130F">
      <w:pPr>
        <w:pStyle w:val="Textoindependiente"/>
        <w:spacing w:before="199" w:after="160" w:line="249" w:lineRule="auto"/>
        <w:ind w:left="119" w:right="38" w:firstLine="199"/>
        <w:rPr>
          <w:w w:val="100"/>
        </w:rPr>
      </w:pPr>
      <w:r w:rsidRPr="0063130F">
        <w:rPr>
          <w:w w:val="100"/>
        </w:rPr>
        <w:t>Los</w:t>
      </w:r>
      <w:r w:rsidRPr="0063130F">
        <w:rPr>
          <w:spacing w:val="1"/>
          <w:w w:val="100"/>
        </w:rPr>
        <w:t xml:space="preserve"> </w:t>
      </w:r>
      <w:r w:rsidRPr="0063130F">
        <w:rPr>
          <w:w w:val="100"/>
        </w:rPr>
        <w:t>estudios</w:t>
      </w:r>
      <w:r w:rsidRPr="0063130F">
        <w:rPr>
          <w:spacing w:val="1"/>
          <w:w w:val="100"/>
        </w:rPr>
        <w:t xml:space="preserve"> </w:t>
      </w:r>
      <w:r w:rsidRPr="0063130F">
        <w:rPr>
          <w:w w:val="100"/>
        </w:rPr>
        <w:t>recientes</w:t>
      </w:r>
      <w:r w:rsidRPr="0063130F">
        <w:rPr>
          <w:spacing w:val="1"/>
          <w:w w:val="100"/>
        </w:rPr>
        <w:t xml:space="preserve"> </w:t>
      </w:r>
      <w:r w:rsidRPr="0063130F">
        <w:rPr>
          <w:w w:val="100"/>
        </w:rPr>
        <w:t xml:space="preserve">de </w:t>
      </w:r>
      <w:proofErr w:type="spellStart"/>
      <w:r w:rsidRPr="0063130F">
        <w:rPr>
          <w:w w:val="100"/>
        </w:rPr>
        <w:t>Roedl</w:t>
      </w:r>
      <w:proofErr w:type="spellEnd"/>
      <w:r w:rsidRPr="0063130F">
        <w:rPr>
          <w:w w:val="100"/>
        </w:rPr>
        <w:t xml:space="preserve"> et al.</w:t>
      </w:r>
      <w:r w:rsidR="002A680C" w:rsidRPr="0063130F">
        <w:rPr>
          <w:w w:val="100"/>
        </w:rPr>
        <w:t xml:space="preserve">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w w:val="100"/>
        </w:rPr>
        <w:t xml:space="preserve"> </w:t>
      </w:r>
      <w:r w:rsidRPr="0063130F">
        <w:rPr>
          <w:w w:val="100"/>
        </w:rPr>
        <w:t>y Han</w:t>
      </w:r>
      <w:r w:rsidR="001C1D1D" w:rsidRPr="0063130F">
        <w:rPr>
          <w:w w:val="100"/>
        </w:rPr>
        <w:t xml:space="preserve"> et al.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constituyen notables excepciones. A partir de una</w:t>
      </w:r>
      <w:r w:rsidRPr="0063130F">
        <w:rPr>
          <w:spacing w:val="1"/>
          <w:w w:val="100"/>
        </w:rPr>
        <w:t xml:space="preserve"> </w:t>
      </w:r>
      <w:r w:rsidRPr="0063130F">
        <w:rPr>
          <w:w w:val="100"/>
        </w:rPr>
        <w:t>cohorte de pacientes en UCI</w:t>
      </w:r>
      <w:r w:rsidR="009F523A">
        <w:rPr>
          <w:w w:val="100"/>
        </w:rPr>
        <w:t xml:space="preserve"> por COVID-19</w:t>
      </w:r>
      <w:r w:rsidRPr="0063130F">
        <w:rPr>
          <w:w w:val="100"/>
        </w:rPr>
        <w:t xml:space="preserve">, </w:t>
      </w:r>
      <w:proofErr w:type="spellStart"/>
      <w:r w:rsidRPr="0063130F">
        <w:rPr>
          <w:w w:val="100"/>
        </w:rPr>
        <w:t>Roedl</w:t>
      </w:r>
      <w:proofErr w:type="spellEnd"/>
      <w:r w:rsidRPr="0063130F">
        <w:rPr>
          <w:spacing w:val="1"/>
          <w:w w:val="100"/>
        </w:rPr>
        <w:t xml:space="preserve"> </w:t>
      </w:r>
      <w:r w:rsidRPr="0063130F">
        <w:rPr>
          <w:w w:val="100"/>
        </w:rPr>
        <w:t xml:space="preserve">et al.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color w:val="000000"/>
          <w:w w:val="100"/>
        </w:rPr>
        <w:t xml:space="preserve"> </w:t>
      </w:r>
      <w:r w:rsidRPr="0063130F">
        <w:rPr>
          <w:w w:val="100"/>
        </w:rPr>
        <w:t>proporcionan dos resultados: primero,</w:t>
      </w:r>
      <w:r w:rsidRPr="0063130F">
        <w:rPr>
          <w:spacing w:val="1"/>
          <w:w w:val="100"/>
        </w:rPr>
        <w:t xml:space="preserve"> </w:t>
      </w:r>
      <w:r w:rsidRPr="0063130F">
        <w:rPr>
          <w:w w:val="100"/>
        </w:rPr>
        <w:t>siguiendo</w:t>
      </w:r>
      <w:r w:rsidRPr="0063130F">
        <w:rPr>
          <w:spacing w:val="36"/>
          <w:w w:val="100"/>
        </w:rPr>
        <w:t xml:space="preserve"> </w:t>
      </w:r>
      <w:r w:rsidRPr="0063130F">
        <w:rPr>
          <w:w w:val="100"/>
        </w:rPr>
        <w:t>el</w:t>
      </w:r>
      <w:r w:rsidRPr="0063130F">
        <w:rPr>
          <w:spacing w:val="36"/>
          <w:w w:val="100"/>
        </w:rPr>
        <w:t xml:space="preserve"> </w:t>
      </w:r>
      <w:r w:rsidR="009F523A">
        <w:rPr>
          <w:w w:val="100"/>
        </w:rPr>
        <w:t>método</w:t>
      </w:r>
      <w:r w:rsidR="009F523A">
        <w:rPr>
          <w:spacing w:val="37"/>
          <w:w w:val="100"/>
        </w:rPr>
        <w:t xml:space="preserve"> </w:t>
      </w:r>
      <w:r w:rsidRPr="0063130F">
        <w:rPr>
          <w:w w:val="100"/>
        </w:rPr>
        <w:t>de</w:t>
      </w:r>
      <w:r w:rsidRPr="0063130F">
        <w:rPr>
          <w:spacing w:val="36"/>
          <w:w w:val="100"/>
        </w:rPr>
        <w:t xml:space="preserve"> </w:t>
      </w:r>
      <w:r w:rsidRPr="0063130F">
        <w:rPr>
          <w:w w:val="100"/>
        </w:rPr>
        <w:t>Kaplan-Meier</w:t>
      </w:r>
      <w:r w:rsidR="002A680C" w:rsidRPr="0063130F">
        <w:rPr>
          <w:w w:val="100"/>
        </w:rPr>
        <w:t xml:space="preserve">, la mortalidad a 90 días diferenciada </w:t>
      </w:r>
      <w:r w:rsidRPr="0063130F">
        <w:rPr>
          <w:w w:val="100"/>
        </w:rPr>
        <w:t>según pacientes críticos y 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009F523A">
        <w:rPr>
          <w:spacing w:val="1"/>
          <w:w w:val="100"/>
        </w:rPr>
        <w:t xml:space="preserve">; </w:t>
      </w:r>
      <w:r w:rsidRPr="0063130F">
        <w:rPr>
          <w:w w:val="100"/>
        </w:rPr>
        <w:t xml:space="preserve">segundo, una </w:t>
      </w:r>
      <w:r w:rsidR="009F523A">
        <w:rPr>
          <w:w w:val="100"/>
        </w:rPr>
        <w:t>regresión multivariada de</w:t>
      </w:r>
      <w:r w:rsidRPr="0063130F">
        <w:rPr>
          <w:spacing w:val="1"/>
          <w:w w:val="100"/>
        </w:rPr>
        <w:t xml:space="preserve"> </w:t>
      </w:r>
      <w:r w:rsidRPr="0063130F">
        <w:rPr>
          <w:w w:val="100"/>
        </w:rPr>
        <w:t>Cox</w:t>
      </w:r>
      <w:r w:rsidRPr="0063130F">
        <w:rPr>
          <w:spacing w:val="1"/>
          <w:w w:val="100"/>
        </w:rPr>
        <w:t xml:space="preserve"> </w:t>
      </w:r>
      <w:r w:rsidRPr="0063130F">
        <w:rPr>
          <w:w w:val="100"/>
        </w:rPr>
        <w:t xml:space="preserve">para evaluar los factores de riesgo </w:t>
      </w:r>
      <w:r w:rsidR="009F523A">
        <w:rPr>
          <w:w w:val="100"/>
        </w:rPr>
        <w:t>asociados a la</w:t>
      </w:r>
      <w:r w:rsidRPr="0063130F">
        <w:rPr>
          <w:spacing w:val="1"/>
          <w:w w:val="100"/>
        </w:rPr>
        <w:t xml:space="preserve"> </w:t>
      </w:r>
      <w:r w:rsidRPr="0063130F">
        <w:rPr>
          <w:w w:val="100"/>
        </w:rPr>
        <w:t>mortalidad</w:t>
      </w:r>
      <w:r w:rsidRPr="0063130F">
        <w:rPr>
          <w:spacing w:val="1"/>
          <w:w w:val="100"/>
        </w:rPr>
        <w:t xml:space="preserve"> </w:t>
      </w:r>
      <w:r w:rsidRPr="0063130F">
        <w:rPr>
          <w:w w:val="100"/>
        </w:rPr>
        <w:t>en</w:t>
      </w:r>
      <w:r w:rsidRPr="0063130F">
        <w:rPr>
          <w:spacing w:val="1"/>
          <w:w w:val="100"/>
        </w:rPr>
        <w:t xml:space="preserve"> </w:t>
      </w:r>
      <w:r w:rsidRPr="0063130F">
        <w:rPr>
          <w:w w:val="100"/>
        </w:rPr>
        <w:t>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Pr="0063130F">
        <w:rPr>
          <w:spacing w:val="1"/>
          <w:w w:val="100"/>
        </w:rPr>
        <w:t xml:space="preserve"> </w:t>
      </w:r>
      <w:r w:rsidRPr="0063130F">
        <w:rPr>
          <w:w w:val="100"/>
        </w:rPr>
        <w:t>El</w:t>
      </w:r>
      <w:r w:rsidRPr="0063130F">
        <w:rPr>
          <w:spacing w:val="1"/>
          <w:w w:val="100"/>
        </w:rPr>
        <w:t xml:space="preserve"> </w:t>
      </w:r>
      <w:r w:rsidRPr="0063130F">
        <w:rPr>
          <w:w w:val="100"/>
        </w:rPr>
        <w:t>estudio</w:t>
      </w:r>
      <w:r w:rsidRPr="0063130F">
        <w:rPr>
          <w:spacing w:val="1"/>
          <w:w w:val="100"/>
        </w:rPr>
        <w:t xml:space="preserve"> </w:t>
      </w:r>
      <w:r w:rsidR="009F523A">
        <w:rPr>
          <w:w w:val="100"/>
        </w:rPr>
        <w:t xml:space="preserve">muestra </w:t>
      </w:r>
      <w:r w:rsidRPr="0063130F">
        <w:rPr>
          <w:w w:val="100"/>
        </w:rPr>
        <w:t xml:space="preserve">que la </w:t>
      </w:r>
      <w:r w:rsidR="002A680C" w:rsidRPr="0063130F">
        <w:rPr>
          <w:w w:val="100"/>
        </w:rPr>
        <w:t>mortalidad a 90 días para</w:t>
      </w:r>
      <w:r w:rsidRPr="0063130F">
        <w:rPr>
          <w:w w:val="100"/>
        </w:rPr>
        <w:t xml:space="preserve"> </w:t>
      </w:r>
      <w:r w:rsidRPr="0063130F">
        <w:rPr>
          <w:spacing w:val="-1"/>
          <w:w w:val="100"/>
        </w:rPr>
        <w:t>pacientes</w:t>
      </w:r>
      <w:r w:rsidRPr="0063130F">
        <w:rPr>
          <w:w w:val="100"/>
        </w:rPr>
        <w:t xml:space="preserve"> </w:t>
      </w:r>
      <w:r w:rsidRPr="0063130F">
        <w:rPr>
          <w:spacing w:val="-1"/>
          <w:w w:val="100"/>
        </w:rPr>
        <w:t>crónicos</w:t>
      </w:r>
      <w:r w:rsidRPr="0063130F">
        <w:rPr>
          <w:w w:val="100"/>
        </w:rPr>
        <w:t xml:space="preserve"> críticos</w:t>
      </w:r>
      <w:r w:rsidR="009F523A">
        <w:rPr>
          <w:spacing w:val="1"/>
          <w:w w:val="100"/>
        </w:rPr>
        <w:t xml:space="preserve"> es inferior </w:t>
      </w:r>
      <w:r w:rsidRPr="0063130F">
        <w:rPr>
          <w:w w:val="100"/>
        </w:rPr>
        <w:t>(28%</w:t>
      </w:r>
      <w:r w:rsidR="009F523A">
        <w:rPr>
          <w:w w:val="100"/>
        </w:rPr>
        <w:t xml:space="preserve"> vs. 50%</w:t>
      </w:r>
      <w:r w:rsidRPr="0063130F">
        <w:rPr>
          <w:w w:val="100"/>
        </w:rPr>
        <w:t>)</w:t>
      </w:r>
      <w:r w:rsidR="009F523A">
        <w:rPr>
          <w:spacing w:val="1"/>
          <w:w w:val="100"/>
        </w:rPr>
        <w:t xml:space="preserve">. </w:t>
      </w:r>
      <w:r w:rsidRPr="0063130F">
        <w:rPr>
          <w:w w:val="100"/>
        </w:rPr>
        <w:t>Más</w:t>
      </w:r>
      <w:r w:rsidRPr="0063130F">
        <w:rPr>
          <w:spacing w:val="1"/>
          <w:w w:val="100"/>
        </w:rPr>
        <w:t xml:space="preserve"> </w:t>
      </w:r>
      <w:r w:rsidRPr="0063130F">
        <w:rPr>
          <w:w w:val="100"/>
        </w:rPr>
        <w:t xml:space="preserve">recientemente, </w:t>
      </w:r>
      <w:r w:rsidR="009F523A">
        <w:rPr>
          <w:w w:val="100"/>
        </w:rPr>
        <w:t>mediante</w:t>
      </w:r>
      <w:r w:rsidRPr="0063130F">
        <w:rPr>
          <w:w w:val="100"/>
        </w:rPr>
        <w:t xml:space="preserve"> modelos de regresión logística, Han et a</w:t>
      </w:r>
      <w:r w:rsidR="001C1D1D" w:rsidRPr="0063130F">
        <w:rPr>
          <w:w w:val="100"/>
        </w:rPr>
        <w:t>l</w:t>
      </w:r>
      <w:r w:rsidRPr="0063130F">
        <w:rPr>
          <w:w w:val="100"/>
        </w:rPr>
        <w:t>.</w:t>
      </w:r>
      <w:r w:rsidR="001C1D1D" w:rsidRPr="0063130F">
        <w:rPr>
          <w:w w:val="100"/>
        </w:rPr>
        <w:t xml:space="preserve">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identifican los factores de pronóstico</w:t>
      </w:r>
      <w:r w:rsidRPr="0063130F">
        <w:rPr>
          <w:spacing w:val="1"/>
          <w:w w:val="100"/>
        </w:rPr>
        <w:t xml:space="preserve"> </w:t>
      </w:r>
      <w:r w:rsidRPr="0063130F">
        <w:rPr>
          <w:w w:val="100"/>
        </w:rPr>
        <w:t>asociados con la estancia prologada en UCI de pacientes</w:t>
      </w:r>
      <w:r w:rsidRPr="0063130F">
        <w:rPr>
          <w:spacing w:val="1"/>
          <w:w w:val="100"/>
        </w:rPr>
        <w:t xml:space="preserve"> </w:t>
      </w:r>
      <w:r w:rsidRPr="0063130F">
        <w:rPr>
          <w:w w:val="100"/>
        </w:rPr>
        <w:t xml:space="preserve">de COVID-19. Existe, sin embargo, una ausencia </w:t>
      </w:r>
      <w:r w:rsidR="004378A3" w:rsidRPr="0063130F">
        <w:rPr>
          <w:w w:val="100"/>
        </w:rPr>
        <w:t xml:space="preserve">de estudios </w:t>
      </w:r>
      <w:r w:rsidRPr="0063130F">
        <w:rPr>
          <w:w w:val="100"/>
        </w:rPr>
        <w:t>similares</w:t>
      </w:r>
      <w:r w:rsidR="0056602F">
        <w:rPr>
          <w:w w:val="100"/>
        </w:rPr>
        <w:t xml:space="preserve"> </w:t>
      </w:r>
      <w:r w:rsidRPr="0063130F">
        <w:rPr>
          <w:w w:val="100"/>
        </w:rPr>
        <w:t>en América</w:t>
      </w:r>
      <w:r w:rsidRPr="0063130F">
        <w:rPr>
          <w:spacing w:val="1"/>
          <w:w w:val="100"/>
        </w:rPr>
        <w:t xml:space="preserve"> </w:t>
      </w:r>
      <w:r w:rsidRPr="0063130F">
        <w:rPr>
          <w:w w:val="100"/>
        </w:rPr>
        <w:t>Latina.</w:t>
      </w:r>
    </w:p>
    <w:p w14:paraId="3A78439A" w14:textId="249F1477" w:rsidR="00E84881" w:rsidRPr="0063130F" w:rsidRDefault="00191754" w:rsidP="0063130F">
      <w:pPr>
        <w:pStyle w:val="Textoindependiente"/>
        <w:spacing w:before="96" w:after="160" w:line="249" w:lineRule="auto"/>
        <w:ind w:left="0" w:right="-1" w:firstLine="199"/>
        <w:rPr>
          <w:w w:val="100"/>
        </w:rPr>
      </w:pPr>
      <w:r w:rsidRPr="0063130F">
        <w:rPr>
          <w:w w:val="100"/>
        </w:rPr>
        <w:t>Con</w:t>
      </w:r>
      <w:r w:rsidRPr="0063130F">
        <w:rPr>
          <w:spacing w:val="26"/>
          <w:w w:val="100"/>
        </w:rPr>
        <w:t xml:space="preserve"> </w:t>
      </w:r>
      <w:r w:rsidRPr="0063130F">
        <w:rPr>
          <w:w w:val="100"/>
        </w:rPr>
        <w:t>el</w:t>
      </w:r>
      <w:r w:rsidRPr="0063130F">
        <w:rPr>
          <w:spacing w:val="25"/>
          <w:w w:val="100"/>
        </w:rPr>
        <w:t xml:space="preserve"> </w:t>
      </w:r>
      <w:r w:rsidRPr="0063130F">
        <w:rPr>
          <w:w w:val="100"/>
        </w:rPr>
        <w:t>propósito de subsanar el vacío señalado en la literatura,</w:t>
      </w:r>
      <w:r w:rsidRPr="0063130F">
        <w:rPr>
          <w:spacing w:val="1"/>
          <w:w w:val="100"/>
        </w:rPr>
        <w:t xml:space="preserve"> </w:t>
      </w:r>
      <w:r w:rsidR="0056602F">
        <w:rPr>
          <w:w w:val="100"/>
        </w:rPr>
        <w:t>nuestro</w:t>
      </w:r>
      <w:r w:rsidR="00492565" w:rsidRPr="0063130F">
        <w:rPr>
          <w:w w:val="100"/>
        </w:rPr>
        <w:t xml:space="preserve"> </w:t>
      </w:r>
      <w:r w:rsidRPr="0063130F">
        <w:rPr>
          <w:w w:val="100"/>
        </w:rPr>
        <w:t>estudio</w:t>
      </w:r>
      <w:r w:rsidRPr="0063130F">
        <w:rPr>
          <w:spacing w:val="1"/>
          <w:w w:val="100"/>
        </w:rPr>
        <w:t xml:space="preserve"> </w:t>
      </w:r>
      <w:r w:rsidRPr="0063130F">
        <w:rPr>
          <w:w w:val="100"/>
        </w:rPr>
        <w:t>desarrolla</w:t>
      </w:r>
      <w:r w:rsidRPr="0063130F">
        <w:rPr>
          <w:spacing w:val="1"/>
          <w:w w:val="100"/>
        </w:rPr>
        <w:t xml:space="preserve"> </w:t>
      </w:r>
      <w:r w:rsidRPr="0063130F">
        <w:rPr>
          <w:w w:val="100"/>
        </w:rPr>
        <w:t>un</w:t>
      </w:r>
      <w:r w:rsidRPr="0063130F">
        <w:rPr>
          <w:spacing w:val="1"/>
          <w:w w:val="100"/>
        </w:rPr>
        <w:t xml:space="preserve"> </w:t>
      </w:r>
      <w:r w:rsidRPr="0063130F">
        <w:rPr>
          <w:w w:val="100"/>
        </w:rPr>
        <w:t>análisis</w:t>
      </w:r>
      <w:r w:rsidRPr="0063130F">
        <w:rPr>
          <w:spacing w:val="1"/>
          <w:w w:val="100"/>
        </w:rPr>
        <w:t xml:space="preserve"> </w:t>
      </w:r>
      <w:r w:rsidRPr="0063130F">
        <w:rPr>
          <w:w w:val="100"/>
        </w:rPr>
        <w:t>de</w:t>
      </w:r>
      <w:r w:rsidRPr="0063130F">
        <w:rPr>
          <w:spacing w:val="1"/>
          <w:w w:val="100"/>
        </w:rPr>
        <w:t xml:space="preserve"> </w:t>
      </w:r>
      <w:r w:rsidRPr="0063130F">
        <w:rPr>
          <w:w w:val="100"/>
        </w:rPr>
        <w:t>supervivencia</w:t>
      </w:r>
      <w:r w:rsidRPr="0063130F">
        <w:rPr>
          <w:spacing w:val="1"/>
          <w:w w:val="100"/>
        </w:rPr>
        <w:t xml:space="preserve"> </w:t>
      </w:r>
      <w:r w:rsidRPr="0063130F">
        <w:rPr>
          <w:w w:val="100"/>
        </w:rPr>
        <w:t>sobre el tiempo de permanencia en UCI</w:t>
      </w:r>
      <w:r w:rsidRPr="0063130F">
        <w:rPr>
          <w:spacing w:val="1"/>
          <w:w w:val="100"/>
        </w:rPr>
        <w:t xml:space="preserve"> </w:t>
      </w:r>
      <w:r w:rsidRPr="0063130F">
        <w:rPr>
          <w:w w:val="100"/>
        </w:rPr>
        <w:t>de</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para el caso de</w:t>
      </w:r>
      <w:r w:rsidR="00D8092D" w:rsidRPr="0063130F">
        <w:rPr>
          <w:w w:val="100"/>
        </w:rPr>
        <w:t xml:space="preserve"> una ciudad principal de Colombia (Cali, Valle del Cauca)</w:t>
      </w:r>
      <w:r w:rsidRPr="0063130F">
        <w:rPr>
          <w:w w:val="100"/>
        </w:rPr>
        <w:t xml:space="preserve"> a fin de identificar factores demográficos de</w:t>
      </w:r>
      <w:r w:rsidRPr="0063130F">
        <w:rPr>
          <w:spacing w:val="1"/>
          <w:w w:val="100"/>
        </w:rPr>
        <w:t xml:space="preserve"> </w:t>
      </w:r>
      <w:r w:rsidRPr="0063130F">
        <w:rPr>
          <w:w w:val="100"/>
        </w:rPr>
        <w:t xml:space="preserve">riesgo asociados a la estancia prolongada en UCI. </w:t>
      </w:r>
      <w:r w:rsidR="00492565" w:rsidRPr="0063130F">
        <w:rPr>
          <w:w w:val="100"/>
        </w:rPr>
        <w:t>Nuestra</w:t>
      </w:r>
      <w:r w:rsidRPr="0063130F">
        <w:rPr>
          <w:spacing w:val="1"/>
          <w:w w:val="100"/>
        </w:rPr>
        <w:t xml:space="preserve"> </w:t>
      </w:r>
      <w:r w:rsidRPr="0063130F">
        <w:rPr>
          <w:w w:val="100"/>
        </w:rPr>
        <w:t>aproximación</w:t>
      </w:r>
      <w:r w:rsidRPr="0063130F">
        <w:rPr>
          <w:spacing w:val="1"/>
          <w:w w:val="100"/>
        </w:rPr>
        <w:t xml:space="preserve"> </w:t>
      </w:r>
      <w:r w:rsidRPr="0063130F">
        <w:rPr>
          <w:w w:val="100"/>
        </w:rPr>
        <w:t>opera</w:t>
      </w:r>
      <w:r w:rsidRPr="0063130F">
        <w:rPr>
          <w:spacing w:val="1"/>
          <w:w w:val="100"/>
        </w:rPr>
        <w:t xml:space="preserve"> </w:t>
      </w:r>
      <w:r w:rsidRPr="0063130F">
        <w:rPr>
          <w:w w:val="100"/>
        </w:rPr>
        <w:t>según</w:t>
      </w:r>
      <w:r w:rsidRPr="0063130F">
        <w:rPr>
          <w:spacing w:val="1"/>
          <w:w w:val="100"/>
        </w:rPr>
        <w:t xml:space="preserve"> </w:t>
      </w:r>
      <w:r w:rsidRPr="0063130F">
        <w:rPr>
          <w:w w:val="100"/>
        </w:rPr>
        <w:t>los</w:t>
      </w:r>
      <w:r w:rsidRPr="0063130F">
        <w:rPr>
          <w:spacing w:val="1"/>
          <w:w w:val="100"/>
        </w:rPr>
        <w:t xml:space="preserve"> </w:t>
      </w:r>
      <w:r w:rsidRPr="0063130F">
        <w:rPr>
          <w:w w:val="100"/>
        </w:rPr>
        <w:t>tres</w:t>
      </w:r>
      <w:r w:rsidRPr="0063130F">
        <w:rPr>
          <w:spacing w:val="1"/>
          <w:w w:val="100"/>
        </w:rPr>
        <w:t xml:space="preserve"> </w:t>
      </w:r>
      <w:r w:rsidRPr="0063130F">
        <w:rPr>
          <w:w w:val="100"/>
        </w:rPr>
        <w:t>métodos generales</w:t>
      </w:r>
      <w:r w:rsidRPr="0063130F">
        <w:rPr>
          <w:spacing w:val="1"/>
          <w:w w:val="100"/>
        </w:rPr>
        <w:t xml:space="preserve"> </w:t>
      </w:r>
      <w:r w:rsidRPr="0063130F">
        <w:rPr>
          <w:w w:val="100"/>
        </w:rPr>
        <w:t>señalados:</w:t>
      </w:r>
      <w:r w:rsidRPr="0063130F">
        <w:rPr>
          <w:spacing w:val="49"/>
          <w:w w:val="100"/>
        </w:rPr>
        <w:t xml:space="preserve"> </w:t>
      </w:r>
      <w:r w:rsidRPr="0063130F">
        <w:rPr>
          <w:b/>
          <w:bCs/>
          <w:w w:val="100"/>
        </w:rPr>
        <w:t>(1)</w:t>
      </w:r>
      <w:r w:rsidRPr="0063130F">
        <w:rPr>
          <w:spacing w:val="49"/>
          <w:w w:val="100"/>
        </w:rPr>
        <w:t xml:space="preserve"> </w:t>
      </w:r>
      <w:r w:rsidRPr="0063130F">
        <w:rPr>
          <w:w w:val="100"/>
        </w:rPr>
        <w:t>un</w:t>
      </w:r>
      <w:r w:rsidRPr="0063130F">
        <w:rPr>
          <w:spacing w:val="49"/>
          <w:w w:val="100"/>
        </w:rPr>
        <w:t xml:space="preserve"> </w:t>
      </w:r>
      <w:r w:rsidRPr="0063130F">
        <w:rPr>
          <w:w w:val="100"/>
        </w:rPr>
        <w:t>modelo</w:t>
      </w:r>
      <w:r w:rsidRPr="0063130F">
        <w:rPr>
          <w:spacing w:val="49"/>
          <w:w w:val="100"/>
        </w:rPr>
        <w:t xml:space="preserve"> </w:t>
      </w:r>
      <w:r w:rsidRPr="0063130F">
        <w:rPr>
          <w:w w:val="100"/>
        </w:rPr>
        <w:t>paramétrico</w:t>
      </w:r>
      <w:r w:rsidRPr="0063130F">
        <w:rPr>
          <w:spacing w:val="49"/>
          <w:w w:val="100"/>
        </w:rPr>
        <w:t xml:space="preserve"> </w:t>
      </w:r>
      <w:r w:rsidR="0056602F">
        <w:rPr>
          <w:w w:val="100"/>
        </w:rPr>
        <w:t>derivado de una distribución</w:t>
      </w:r>
      <w:r w:rsidRPr="0063130F">
        <w:rPr>
          <w:spacing w:val="1"/>
          <w:w w:val="100"/>
        </w:rPr>
        <w:t xml:space="preserve"> </w:t>
      </w:r>
      <w:r w:rsidRPr="0063130F">
        <w:rPr>
          <w:w w:val="100"/>
        </w:rPr>
        <w:t>de</w:t>
      </w:r>
      <w:r w:rsidRPr="0063130F">
        <w:rPr>
          <w:spacing w:val="1"/>
          <w:w w:val="100"/>
        </w:rPr>
        <w:t xml:space="preserve"> </w:t>
      </w:r>
      <w:proofErr w:type="spellStart"/>
      <w:r w:rsidR="001317EC">
        <w:rPr>
          <w:w w:val="100"/>
        </w:rPr>
        <w:t>Gompertz</w:t>
      </w:r>
      <w:proofErr w:type="spellEnd"/>
      <w:r w:rsidRPr="0063130F">
        <w:rPr>
          <w:w w:val="100"/>
        </w:rPr>
        <w:t xml:space="preserve">; </w:t>
      </w:r>
      <w:r w:rsidRPr="0063130F">
        <w:rPr>
          <w:b/>
          <w:bCs/>
          <w:w w:val="100"/>
        </w:rPr>
        <w:t>(2)</w:t>
      </w:r>
      <w:r w:rsidRPr="0063130F">
        <w:rPr>
          <w:spacing w:val="1"/>
          <w:w w:val="100"/>
        </w:rPr>
        <w:t xml:space="preserve"> </w:t>
      </w:r>
      <w:r w:rsidRPr="0063130F">
        <w:rPr>
          <w:w w:val="100"/>
        </w:rPr>
        <w:t>una</w:t>
      </w:r>
      <w:r w:rsidRPr="0063130F">
        <w:rPr>
          <w:spacing w:val="1"/>
          <w:w w:val="100"/>
        </w:rPr>
        <w:t xml:space="preserve"> </w:t>
      </w:r>
      <w:r w:rsidRPr="0063130F">
        <w:rPr>
          <w:w w:val="100"/>
        </w:rPr>
        <w:t>aproximación</w:t>
      </w:r>
      <w:r w:rsidRPr="0063130F">
        <w:rPr>
          <w:spacing w:val="1"/>
          <w:w w:val="100"/>
        </w:rPr>
        <w:t xml:space="preserve"> </w:t>
      </w:r>
      <w:r w:rsidRPr="0063130F">
        <w:rPr>
          <w:w w:val="100"/>
        </w:rPr>
        <w:t>no-paramétrica</w:t>
      </w:r>
      <w:r w:rsidRPr="0063130F">
        <w:rPr>
          <w:spacing w:val="1"/>
          <w:w w:val="100"/>
        </w:rPr>
        <w:t xml:space="preserve"> </w:t>
      </w:r>
      <w:r w:rsidRPr="0063130F">
        <w:rPr>
          <w:w w:val="100"/>
        </w:rPr>
        <w:t>fundamentada</w:t>
      </w:r>
      <w:r w:rsidRPr="0063130F">
        <w:rPr>
          <w:spacing w:val="1"/>
          <w:w w:val="100"/>
        </w:rPr>
        <w:t xml:space="preserve"> </w:t>
      </w:r>
      <w:r w:rsidRPr="0063130F">
        <w:rPr>
          <w:w w:val="100"/>
        </w:rPr>
        <w:t>en</w:t>
      </w:r>
      <w:r w:rsidRPr="0063130F">
        <w:rPr>
          <w:spacing w:val="1"/>
          <w:w w:val="100"/>
        </w:rPr>
        <w:t xml:space="preserve"> </w:t>
      </w:r>
      <w:r w:rsidRPr="0063130F">
        <w:rPr>
          <w:w w:val="100"/>
        </w:rPr>
        <w:t>el</w:t>
      </w:r>
      <w:r w:rsidRPr="0063130F">
        <w:rPr>
          <w:spacing w:val="1"/>
          <w:w w:val="100"/>
        </w:rPr>
        <w:t xml:space="preserve"> </w:t>
      </w:r>
      <w:r w:rsidRPr="0063130F">
        <w:rPr>
          <w:w w:val="100"/>
        </w:rPr>
        <w:t xml:space="preserve">estimador de Kaplan-Meier; </w:t>
      </w:r>
      <w:r w:rsidRPr="0063130F">
        <w:rPr>
          <w:b/>
          <w:bCs/>
          <w:w w:val="100"/>
        </w:rPr>
        <w:t>(3)</w:t>
      </w:r>
      <w:r w:rsidR="0056602F">
        <w:rPr>
          <w:w w:val="100"/>
        </w:rPr>
        <w:t xml:space="preserve"> el</w:t>
      </w:r>
      <w:r w:rsidRPr="0063130F">
        <w:rPr>
          <w:spacing w:val="1"/>
          <w:w w:val="100"/>
        </w:rPr>
        <w:t xml:space="preserve"> </w:t>
      </w:r>
      <w:r w:rsidRPr="0063130F">
        <w:rPr>
          <w:w w:val="100"/>
        </w:rPr>
        <w:t>modelo</w:t>
      </w:r>
      <w:r w:rsidRPr="0063130F">
        <w:rPr>
          <w:spacing w:val="1"/>
          <w:w w:val="100"/>
        </w:rPr>
        <w:t xml:space="preserve"> </w:t>
      </w:r>
      <w:r w:rsidRPr="0063130F">
        <w:rPr>
          <w:w w:val="100"/>
        </w:rPr>
        <w:t>de</w:t>
      </w:r>
      <w:r w:rsidRPr="0063130F">
        <w:rPr>
          <w:spacing w:val="1"/>
          <w:w w:val="100"/>
        </w:rPr>
        <w:t xml:space="preserve"> </w:t>
      </w:r>
      <w:r w:rsidRPr="0063130F">
        <w:rPr>
          <w:w w:val="100"/>
        </w:rPr>
        <w:t>riesgos</w:t>
      </w:r>
      <w:r w:rsidRPr="0063130F">
        <w:rPr>
          <w:spacing w:val="1"/>
          <w:w w:val="100"/>
        </w:rPr>
        <w:t xml:space="preserve"> </w:t>
      </w:r>
      <w:r w:rsidRPr="0063130F">
        <w:rPr>
          <w:w w:val="100"/>
        </w:rPr>
        <w:t>proporcionales</w:t>
      </w:r>
      <w:r w:rsidRPr="0063130F">
        <w:rPr>
          <w:spacing w:val="21"/>
          <w:w w:val="100"/>
        </w:rPr>
        <w:t xml:space="preserve"> </w:t>
      </w:r>
      <w:r w:rsidRPr="0063130F">
        <w:rPr>
          <w:w w:val="100"/>
        </w:rPr>
        <w:t>de</w:t>
      </w:r>
      <w:r w:rsidRPr="0063130F">
        <w:rPr>
          <w:spacing w:val="22"/>
          <w:w w:val="100"/>
        </w:rPr>
        <w:t xml:space="preserve"> </w:t>
      </w:r>
      <w:r w:rsidRPr="0063130F">
        <w:rPr>
          <w:w w:val="100"/>
        </w:rPr>
        <w:t>Cox.</w:t>
      </w:r>
    </w:p>
    <w:p w14:paraId="7A2037E9" w14:textId="6108DA59" w:rsidR="00E901BA" w:rsidRPr="0063130F" w:rsidRDefault="00E901BA" w:rsidP="00EA63B3">
      <w:pPr>
        <w:pStyle w:val="Textoindependiente"/>
        <w:numPr>
          <w:ilvl w:val="0"/>
          <w:numId w:val="6"/>
        </w:numPr>
        <w:spacing w:before="96" w:line="249" w:lineRule="auto"/>
        <w:ind w:left="0" w:right="-1" w:firstLine="0"/>
        <w:rPr>
          <w:b/>
          <w:bCs/>
          <w:w w:val="100"/>
          <w:sz w:val="22"/>
          <w:szCs w:val="22"/>
        </w:rPr>
      </w:pPr>
      <w:r w:rsidRPr="0063130F">
        <w:rPr>
          <w:b/>
          <w:bCs/>
          <w:w w:val="100"/>
          <w:sz w:val="22"/>
          <w:szCs w:val="22"/>
        </w:rPr>
        <w:t>Materiales</w:t>
      </w:r>
      <w:r w:rsidR="006D0A83" w:rsidRPr="0063130F">
        <w:rPr>
          <w:b/>
          <w:bCs/>
          <w:w w:val="100"/>
          <w:sz w:val="22"/>
          <w:szCs w:val="22"/>
        </w:rPr>
        <w:t xml:space="preserve"> y m</w:t>
      </w:r>
      <w:r w:rsidR="00D8092D" w:rsidRPr="0063130F">
        <w:rPr>
          <w:b/>
          <w:bCs/>
          <w:w w:val="100"/>
          <w:sz w:val="22"/>
          <w:szCs w:val="22"/>
        </w:rPr>
        <w:t>étodos</w:t>
      </w:r>
    </w:p>
    <w:p w14:paraId="4E76994C" w14:textId="2BAD85B0" w:rsidR="00E901BA" w:rsidRPr="0063130F" w:rsidRDefault="00EA63B3" w:rsidP="00EA63B3">
      <w:pPr>
        <w:pStyle w:val="Textoindependiente"/>
        <w:numPr>
          <w:ilvl w:val="1"/>
          <w:numId w:val="6"/>
        </w:numPr>
        <w:spacing w:before="96" w:line="249" w:lineRule="auto"/>
        <w:ind w:left="0" w:right="-1" w:firstLine="0"/>
        <w:rPr>
          <w:b/>
          <w:bCs/>
          <w:w w:val="100"/>
        </w:rPr>
      </w:pPr>
      <w:r w:rsidRPr="0063130F">
        <w:rPr>
          <w:b/>
          <w:bCs/>
          <w:w w:val="100"/>
        </w:rPr>
        <w:t>Diseño de estudio</w:t>
      </w:r>
    </w:p>
    <w:p w14:paraId="6530B7A0" w14:textId="0D13FD9D" w:rsidR="00E0187E" w:rsidRPr="0063130F" w:rsidRDefault="00492565" w:rsidP="002A680C">
      <w:pPr>
        <w:pStyle w:val="Textoindependiente"/>
        <w:spacing w:before="96" w:after="160" w:line="250" w:lineRule="auto"/>
        <w:ind w:left="0" w:firstLine="284"/>
        <w:rPr>
          <w:color w:val="000000" w:themeColor="text1"/>
          <w:w w:val="100"/>
        </w:rPr>
      </w:pPr>
      <w:r w:rsidRPr="0063130F">
        <w:rPr>
          <w:w w:val="100"/>
        </w:rPr>
        <w:t>La información sobre los pacientes de COVID-19 en UCI es extraída de los reportes diarios elaborados por el Ministerio de Salud y Protección Social</w:t>
      </w:r>
      <w:r w:rsidRPr="0063130F">
        <w:rPr>
          <w:color w:val="000000" w:themeColor="text1"/>
          <w:w w:val="100"/>
        </w:rPr>
        <w:t xml:space="preserve"> y publicados por el Instituto Nacional de Salud</w:t>
      </w:r>
      <w:r w:rsidR="00E0187E" w:rsidRPr="0063130F">
        <w:rPr>
          <w:color w:val="000000" w:themeColor="text1"/>
          <w:w w:val="100"/>
        </w:rPr>
        <w:t xml:space="preserve"> </w:t>
      </w:r>
      <w:r w:rsidR="00E0187E"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{"citationItems":[{"id":"ITEM-1","itemData":{"author":[{"dropping-particle":"","family":"(INS)","given":"Instituto Nacional de Salud","non-dropping-particle":"","parse-names":false,"suffix":""}],"id":"ITEM-1","issued":{"date-parts":[["2022"]]},"title":"Coronavirus (covid-19) en Colombia","type":"webpage"},"uris":["http://www.mendeley.com/documents/?uuid=83c9c243-0360-4bb8-8ac5-74f0e949b0a3"]}],"mendeley":{"formattedCitation":"(26)","plainTextFormattedCitation":"(26)","previouslyFormattedCitation":"(26)"},"properties":{"noteIndex":0},"schema":"https://github.com/citation-style-language/schema/raw/master/csl-citation.json"}</w:instrText>
      </w:r>
      <w:r w:rsidR="00E0187E" w:rsidRPr="0063130F">
        <w:rPr>
          <w:color w:val="000000" w:themeColor="text1"/>
          <w:w w:val="100"/>
        </w:rPr>
        <w:fldChar w:fldCharType="separate"/>
      </w:r>
      <w:r w:rsidR="002A680C" w:rsidRPr="0063130F">
        <w:rPr>
          <w:noProof/>
          <w:color w:val="000000" w:themeColor="text1"/>
          <w:w w:val="100"/>
        </w:rPr>
        <w:t>(26)</w:t>
      </w:r>
      <w:r w:rsidR="00E0187E" w:rsidRPr="0063130F">
        <w:rPr>
          <w:color w:val="000000" w:themeColor="text1"/>
          <w:w w:val="100"/>
        </w:rPr>
        <w:fldChar w:fldCharType="end"/>
      </w:r>
      <w:r w:rsidRPr="0063130F">
        <w:rPr>
          <w:color w:val="000000" w:themeColor="text1"/>
          <w:w w:val="100"/>
        </w:rPr>
        <w:t>. Los reportes oficiales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fecha de diagnóstico, fecha de muerte</w:t>
      </w:r>
      <w:r w:rsidR="00E0187E" w:rsidRPr="0063130F">
        <w:rPr>
          <w:color w:val="000000" w:themeColor="text1"/>
          <w:w w:val="100"/>
        </w:rPr>
        <w:t xml:space="preserve"> y fecha de recuperación. El cálculo del tiempo de permanencia en UCI de un paciente corresponde a la diferencia entre la fecha de ingreso a UCI y la fecha de descarga —i.e., la fecha en que el paciente es dado de alta o muere—.</w:t>
      </w:r>
    </w:p>
    <w:p w14:paraId="7050DF49" w14:textId="1F05F019" w:rsidR="005142C1" w:rsidRPr="0063130F" w:rsidRDefault="00085BE0" w:rsidP="00EA63B3">
      <w:pPr>
        <w:pStyle w:val="Textoindependiente"/>
        <w:numPr>
          <w:ilvl w:val="1"/>
          <w:numId w:val="6"/>
        </w:numPr>
        <w:spacing w:before="96" w:line="249" w:lineRule="auto"/>
        <w:ind w:left="0" w:right="-1" w:firstLine="0"/>
        <w:rPr>
          <w:b/>
          <w:bCs/>
          <w:w w:val="100"/>
        </w:rPr>
      </w:pPr>
      <w:r w:rsidRPr="0063130F">
        <w:rPr>
          <w:b/>
          <w:bCs/>
          <w:w w:val="100"/>
        </w:rPr>
        <w:t>Muestra</w:t>
      </w:r>
    </w:p>
    <w:p w14:paraId="712BFD21" w14:textId="61CF7B21" w:rsidR="002A680C" w:rsidRDefault="00FE05BB" w:rsidP="00085BE0">
      <w:pPr>
        <w:pStyle w:val="Textoindependiente"/>
        <w:spacing w:before="96" w:after="160" w:line="249" w:lineRule="auto"/>
        <w:ind w:left="0" w:right="-1" w:firstLine="284"/>
        <w:rPr>
          <w:w w:val="100"/>
        </w:rPr>
      </w:pPr>
      <w:r w:rsidRPr="0063130F">
        <w:rPr>
          <w:w w:val="100"/>
        </w:rPr>
        <w:t xml:space="preserve">El estudio considera </w:t>
      </w:r>
      <w:r w:rsidR="008A47CC">
        <w:rPr>
          <w:w w:val="100"/>
        </w:rPr>
        <w:t>los</w:t>
      </w:r>
      <w:r w:rsidRPr="0063130F">
        <w:rPr>
          <w:w w:val="100"/>
        </w:rPr>
        <w:t xml:space="preserve"> pacientes adultos admitidos en UCI por COVID-19 en la ciudad de Cali, Colombia, desde el 20 de abril de 2020 hasta el 30 de octubre de 2021. </w:t>
      </w:r>
      <w:r w:rsidR="001B156E" w:rsidRPr="0063130F">
        <w:rPr>
          <w:w w:val="100"/>
        </w:rPr>
        <w:t>La muestra corresponde a la evolución diaria de 1</w:t>
      </w:r>
      <w:r w:rsidR="008A47CC">
        <w:rPr>
          <w:w w:val="100"/>
        </w:rPr>
        <w:t xml:space="preserve"> 098</w:t>
      </w:r>
      <w:r w:rsidR="001B156E" w:rsidRPr="0063130F">
        <w:rPr>
          <w:w w:val="100"/>
        </w:rPr>
        <w:t xml:space="preserve"> pacientes adultos </w:t>
      </w:r>
      <w:r w:rsidR="001B156E" w:rsidRPr="0063130F">
        <w:rPr>
          <w:w w:val="100"/>
        </w:rPr>
        <w:lastRenderedPageBreak/>
        <w:t>de COVID-19 admitidos en UCI</w:t>
      </w:r>
      <w:r w:rsidR="001B156E" w:rsidRPr="0063130F">
        <w:rPr>
          <w:rStyle w:val="Refdenotaalpie"/>
        </w:rPr>
        <w:footnoteReference w:id="3"/>
      </w:r>
      <w:r w:rsidR="001B156E" w:rsidRPr="0063130F">
        <w:rPr>
          <w:w w:val="100"/>
        </w:rPr>
        <w:t>.</w:t>
      </w:r>
      <w:r w:rsidR="00085BE0" w:rsidRPr="0063130F">
        <w:rPr>
          <w:w w:val="100"/>
        </w:rPr>
        <w:t xml:space="preserve"> Para cada paciente considerado, se examinan las siguientes variables: edad, sexo, tiempo de permanencia en UCI (en días), desenlace (fallecido, recuperado o en desarrollo) y una variable dicotómica que identifica si el paciente registra una estancia </w:t>
      </w:r>
      <w:r w:rsidR="00085BE0" w:rsidRPr="0063130F">
        <w:rPr>
          <w:w w:val="100"/>
        </w:rPr>
        <w:t>prolongada en UCI. A efectos del análisis, se considera que un paciente registra una estancia prolongada en UCI —o, lo que es lo mismo, es un paciente crítico crónico— cuando el tiempo de permanencia es mayor o igual a 21 días consecutivos.</w:t>
      </w:r>
    </w:p>
    <w:p w14:paraId="0ED87934" w14:textId="77777777" w:rsidR="0072733A" w:rsidRDefault="0072733A" w:rsidP="00085BE0">
      <w:pPr>
        <w:pStyle w:val="Textoindependiente"/>
        <w:spacing w:before="96" w:after="160" w:line="249" w:lineRule="auto"/>
        <w:ind w:left="0" w:right="-1" w:firstLine="284"/>
        <w:rPr>
          <w:w w:val="100"/>
        </w:rPr>
        <w:sectPr w:rsidR="0072733A" w:rsidSect="0063130F">
          <w:type w:val="continuous"/>
          <w:pgSz w:w="11906" w:h="16838"/>
          <w:pgMar w:top="720" w:right="720" w:bottom="720" w:left="720" w:header="708" w:footer="708" w:gutter="0"/>
          <w:cols w:num="2" w:space="708"/>
          <w:docGrid w:linePitch="360"/>
        </w:sectPr>
      </w:pPr>
    </w:p>
    <w:p w14:paraId="74A1BADB" w14:textId="77777777" w:rsidR="0072733A" w:rsidRDefault="0072733A" w:rsidP="0072733A">
      <w:pPr>
        <w:pStyle w:val="Textoindependiente"/>
        <w:spacing w:before="96" w:after="160" w:line="249" w:lineRule="auto"/>
        <w:ind w:left="0" w:right="-1" w:firstLine="284"/>
        <w:jc w:val="center"/>
        <w:rPr>
          <w:w w:val="100"/>
        </w:rPr>
      </w:pPr>
      <w:r>
        <w:rPr>
          <w:noProof/>
          <w:w w:val="100"/>
        </w:rPr>
        <w:drawing>
          <wp:inline distT="0" distB="0" distL="0" distR="0" wp14:anchorId="4E17948A" wp14:editId="44CC7169">
            <wp:extent cx="3448050" cy="251346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247" cy="2542039"/>
                    </a:xfrm>
                    <a:prstGeom prst="rect">
                      <a:avLst/>
                    </a:prstGeom>
                    <a:noFill/>
                    <a:ln>
                      <a:noFill/>
                    </a:ln>
                  </pic:spPr>
                </pic:pic>
              </a:graphicData>
            </a:graphic>
          </wp:inline>
        </w:drawing>
      </w:r>
    </w:p>
    <w:p w14:paraId="0528185A" w14:textId="77777777" w:rsidR="0072733A" w:rsidRDefault="0072733A" w:rsidP="0072733A">
      <w:pPr>
        <w:pStyle w:val="Textoindependiente"/>
        <w:spacing w:before="96" w:after="160" w:line="249" w:lineRule="auto"/>
        <w:ind w:left="1134" w:right="1110"/>
        <w:jc w:val="center"/>
        <w:rPr>
          <w:w w:val="100"/>
        </w:rPr>
      </w:pPr>
    </w:p>
    <w:p w14:paraId="3D2AC7B5" w14:textId="63BF5B56" w:rsidR="0072733A" w:rsidRPr="00483510" w:rsidRDefault="0072733A" w:rsidP="0072733A">
      <w:pPr>
        <w:pStyle w:val="Textoindependiente"/>
        <w:spacing w:before="96" w:after="160" w:line="249" w:lineRule="auto"/>
        <w:ind w:left="1134" w:right="1110"/>
        <w:rPr>
          <w:w w:val="100"/>
          <w:sz w:val="18"/>
          <w:szCs w:val="18"/>
        </w:rPr>
        <w:sectPr w:rsidR="0072733A" w:rsidRPr="00483510" w:rsidSect="0072733A">
          <w:type w:val="continuous"/>
          <w:pgSz w:w="11906" w:h="16838"/>
          <w:pgMar w:top="720" w:right="720" w:bottom="720" w:left="720" w:header="708" w:footer="708" w:gutter="0"/>
          <w:cols w:space="708"/>
          <w:docGrid w:linePitch="360"/>
        </w:sectPr>
      </w:pPr>
      <w:r w:rsidRPr="00483510">
        <w:rPr>
          <w:b/>
          <w:w w:val="100"/>
          <w:sz w:val="18"/>
          <w:szCs w:val="18"/>
        </w:rPr>
        <w:t xml:space="preserve">Figura 1: </w:t>
      </w:r>
      <w:r w:rsidRPr="00483510">
        <w:rPr>
          <w:w w:val="100"/>
          <w:sz w:val="18"/>
          <w:szCs w:val="18"/>
        </w:rPr>
        <w:t xml:space="preserve">Curvas de supervivencia de Kaplan-Meier para pacientes críticos con COVID-19. Tasa de supervivencia acumulada a los 90 días para pacientes de los grupos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y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Log-rank test: </w:t>
      </w:r>
      <m:oMath>
        <m:r>
          <w:rPr>
            <w:rFonts w:ascii="Cambria Math" w:eastAsiaTheme="minorEastAsia" w:hAnsi="Cambria Math"/>
            <w:color w:val="000000" w:themeColor="text1"/>
            <w:w w:val="100"/>
            <w:sz w:val="18"/>
            <w:szCs w:val="18"/>
          </w:rPr>
          <m:t>p=0.000</m:t>
        </m:r>
      </m:oMath>
      <w:r w:rsidRPr="00483510">
        <w:rPr>
          <w:rFonts w:eastAsiaTheme="minorEastAsia"/>
          <w:color w:val="000000" w:themeColor="text1"/>
          <w:w w:val="100"/>
          <w:sz w:val="18"/>
          <w:szCs w:val="18"/>
        </w:rPr>
        <w:t>. El símbolo “+” representa los datos censurados.</w:t>
      </w:r>
    </w:p>
    <w:p w14:paraId="6FB39799" w14:textId="21AE777D" w:rsidR="00A77991" w:rsidRPr="0063130F" w:rsidRDefault="00A77991" w:rsidP="00085BE0">
      <w:pPr>
        <w:pStyle w:val="Textoindependiente"/>
        <w:spacing w:before="96" w:after="160" w:line="249" w:lineRule="auto"/>
        <w:ind w:left="0" w:right="-1" w:firstLine="284"/>
        <w:rPr>
          <w:w w:val="100"/>
        </w:rPr>
      </w:pPr>
    </w:p>
    <w:p w14:paraId="3198BA53" w14:textId="7CF9E36E" w:rsidR="00085BE0" w:rsidRPr="0063130F" w:rsidRDefault="00085BE0" w:rsidP="00085BE0">
      <w:pPr>
        <w:pStyle w:val="Textoindependiente"/>
        <w:numPr>
          <w:ilvl w:val="1"/>
          <w:numId w:val="6"/>
        </w:numPr>
        <w:spacing w:before="96" w:line="249" w:lineRule="auto"/>
        <w:ind w:left="0" w:right="-1" w:firstLine="0"/>
        <w:rPr>
          <w:b/>
          <w:bCs/>
          <w:w w:val="100"/>
        </w:rPr>
      </w:pPr>
      <w:r w:rsidRPr="0063130F">
        <w:rPr>
          <w:b/>
          <w:bCs/>
          <w:w w:val="100"/>
        </w:rPr>
        <w:t>Análisis estadístico</w:t>
      </w:r>
    </w:p>
    <w:p w14:paraId="1996E78D" w14:textId="5C35533D" w:rsidR="00085BE0" w:rsidRPr="0063130F" w:rsidRDefault="0056602F" w:rsidP="00085BE0">
      <w:pPr>
        <w:pStyle w:val="Textoindependiente"/>
        <w:spacing w:before="96" w:line="249" w:lineRule="auto"/>
        <w:ind w:left="0" w:right="-1" w:firstLine="284"/>
        <w:rPr>
          <w:rFonts w:eastAsiaTheme="minorEastAsia"/>
          <w:w w:val="100"/>
        </w:rPr>
      </w:pPr>
      <w:r>
        <w:rPr>
          <w:w w:val="100"/>
        </w:rPr>
        <w:t>El</w:t>
      </w:r>
      <w:r w:rsidR="00085BE0" w:rsidRPr="0063130F">
        <w:rPr>
          <w:w w:val="100"/>
        </w:rPr>
        <w:t xml:space="preserve"> análisis descriptivo </w:t>
      </w:r>
      <w:r>
        <w:rPr>
          <w:w w:val="100"/>
        </w:rPr>
        <w:t xml:space="preserve">es </w:t>
      </w:r>
      <w:r w:rsidR="004C3C1D">
        <w:rPr>
          <w:w w:val="100"/>
        </w:rPr>
        <w:t>implementado</w:t>
      </w:r>
      <w:r w:rsidR="00085BE0" w:rsidRPr="0063130F">
        <w:rPr>
          <w:w w:val="100"/>
        </w:rPr>
        <w:t xml:space="preserve"> según el tipo de variable. Si la variable continua sigue una distribución</w:t>
      </w:r>
      <w:r w:rsidR="003D1905" w:rsidRPr="0063130F">
        <w:rPr>
          <w:w w:val="100"/>
        </w:rPr>
        <w:t xml:space="preserve"> normal</w:t>
      </w:r>
      <w:r w:rsidR="00085BE0" w:rsidRPr="0063130F">
        <w:rPr>
          <w:w w:val="100"/>
        </w:rPr>
        <w:t xml:space="preserve">, </w:t>
      </w:r>
      <w:r w:rsidR="005E3B6B" w:rsidRPr="0063130F">
        <w:rPr>
          <w:w w:val="100"/>
        </w:rPr>
        <w:t>se reporta</w:t>
      </w:r>
      <w:r w:rsidR="00085BE0" w:rsidRPr="0063130F">
        <w:rPr>
          <w:w w:val="100"/>
        </w:rPr>
        <w:t xml:space="preserve"> la media y la desviación estándar; </w:t>
      </w:r>
      <w:r w:rsidR="004C3C1D">
        <w:rPr>
          <w:w w:val="100"/>
        </w:rPr>
        <w:t>de otro modo</w:t>
      </w:r>
      <w:r w:rsidR="00085BE0" w:rsidRPr="0063130F">
        <w:rPr>
          <w:w w:val="100"/>
        </w:rPr>
        <w:t>,</w:t>
      </w:r>
      <w:r w:rsidR="005E3B6B" w:rsidRPr="0063130F">
        <w:rPr>
          <w:w w:val="100"/>
        </w:rPr>
        <w:t xml:space="preserve"> se reporta la mediana y el rango intercuartílico. La normalidad univariada es verificada mediante la prueba de Shapiro-Wilk. </w:t>
      </w:r>
      <w:r w:rsidR="004C3C1D">
        <w:rPr>
          <w:w w:val="100"/>
        </w:rPr>
        <w:t>Para</w:t>
      </w:r>
      <w:r w:rsidR="005E3B6B" w:rsidRPr="0063130F">
        <w:rPr>
          <w:w w:val="100"/>
        </w:rPr>
        <w:t xml:space="preserve"> el caso de variables categórica</w:t>
      </w:r>
      <w:r w:rsidR="003D1905" w:rsidRPr="0063130F">
        <w:rPr>
          <w:w w:val="100"/>
        </w:rPr>
        <w:t>s</w:t>
      </w:r>
      <w:r w:rsidR="005E3B6B" w:rsidRPr="0063130F">
        <w:rPr>
          <w:w w:val="100"/>
        </w:rPr>
        <w:t xml:space="preserve">, se reporta el conteo y la proporción. </w:t>
      </w:r>
      <w:r>
        <w:rPr>
          <w:w w:val="100"/>
        </w:rPr>
        <w:t xml:space="preserve">Las </w:t>
      </w:r>
      <w:r w:rsidR="005E3B6B" w:rsidRPr="0063130F">
        <w:rPr>
          <w:w w:val="100"/>
        </w:rPr>
        <w:t>comparaciones</w:t>
      </w:r>
      <w:r>
        <w:rPr>
          <w:w w:val="100"/>
        </w:rPr>
        <w:t xml:space="preserve"> entre grupos</w:t>
      </w:r>
      <w:r w:rsidR="005E3B6B" w:rsidRPr="0063130F">
        <w:rPr>
          <w:w w:val="100"/>
        </w:rPr>
        <w:t xml:space="preserve"> </w:t>
      </w:r>
      <w:r>
        <w:rPr>
          <w:w w:val="100"/>
        </w:rPr>
        <w:t xml:space="preserve">son realizadas </w:t>
      </w:r>
      <w:r w:rsidR="005E3B6B" w:rsidRPr="0063130F">
        <w:rPr>
          <w:w w:val="100"/>
        </w:rPr>
        <w:t xml:space="preserve">según el tipo de variable: para variables continuas, la comparación opera según la prueba no-paramétrica de Mann-Whitney; para variables categóricas, según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005E3B6B" w:rsidRPr="0063130F">
        <w:rPr>
          <w:rFonts w:eastAsiaTheme="minorEastAsia"/>
          <w:w w:val="100"/>
        </w:rPr>
        <w:t xml:space="preserve"> o la prueba exacta de Fisher.</w:t>
      </w:r>
    </w:p>
    <w:p w14:paraId="53DC7B3A" w14:textId="26269DA9" w:rsidR="00BC56B2" w:rsidRPr="0063130F" w:rsidRDefault="005E3B6B" w:rsidP="00AC136E">
      <w:pPr>
        <w:pStyle w:val="Textoindependiente"/>
        <w:spacing w:before="96" w:after="160" w:line="249" w:lineRule="auto"/>
        <w:ind w:left="0" w:right="-1" w:firstLine="284"/>
        <w:rPr>
          <w:rFonts w:eastAsiaTheme="minorEastAsia"/>
          <w:w w:val="100"/>
        </w:rPr>
      </w:pPr>
      <w:r w:rsidRPr="0063130F">
        <w:rPr>
          <w:rFonts w:eastAsiaTheme="minorEastAsia"/>
          <w:w w:val="100"/>
        </w:rPr>
        <w:t>Considérese dos grupos de pacientes en UCI: uno, pacientes críticos crónicos</w:t>
      </w:r>
      <w:r w:rsidR="003D1905" w:rsidRPr="0063130F">
        <w:rPr>
          <w:rFonts w:eastAsiaTheme="minorEastAsia"/>
          <w:w w:val="100"/>
        </w:rPr>
        <w:t xml:space="preserve"> (CC)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pacientes cuya estancia en UCI es superior a 21 días consecutivos; dos, pacientes críticos</w:t>
      </w:r>
      <w:r w:rsidR="003D1905" w:rsidRPr="0063130F">
        <w:rPr>
          <w:rFonts w:eastAsiaTheme="minorEastAsia"/>
          <w:w w:val="100"/>
        </w:rPr>
        <w:t xml:space="preserve"> (no-CC)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xml:space="preserve">, pacientes cuya estancia es inferior a 21 días consecutivos. El estudio desarrolla un análisis de supervivencia diferenciado no sólo según factores demográficos —v.gr.: sexo y edad—; sino, además, según </w:t>
      </w:r>
      <w:r w:rsidR="003D1905" w:rsidRPr="0063130F">
        <w:rPr>
          <w:rFonts w:eastAsiaTheme="minorEastAsia"/>
          <w:w w:val="100"/>
        </w:rPr>
        <w:t>los grupos</w:t>
      </w:r>
      <w:r w:rsidR="0056602F">
        <w:rPr>
          <w:rFonts w:eastAsiaTheme="minorEastAsia"/>
          <w:w w:val="100"/>
        </w:rPr>
        <w:t xml:space="preserve"> de pacientes</w:t>
      </w:r>
      <w:r w:rsidR="003D1905" w:rsidRPr="0063130F">
        <w:rPr>
          <w:rFonts w:eastAsiaTheme="minorEastAsia"/>
          <w:w w:val="100"/>
        </w:rPr>
        <w:t xml:space="preserve"> CC y no-CC</w:t>
      </w:r>
      <w:r w:rsidRPr="0063130F">
        <w:rPr>
          <w:rFonts w:eastAsiaTheme="minorEastAsia"/>
          <w:w w:val="100"/>
        </w:rPr>
        <w:t>. La variable de interés corresponde al tiempo de estancia en UCI para los pacientes de COVID-19.</w:t>
      </w:r>
      <w:r w:rsidR="003D1905" w:rsidRPr="0063130F">
        <w:rPr>
          <w:rFonts w:eastAsiaTheme="minorEastAsia"/>
          <w:w w:val="100"/>
        </w:rPr>
        <w:t xml:space="preserve"> L</w:t>
      </w:r>
      <w:r w:rsidRPr="0063130F">
        <w:rPr>
          <w:rFonts w:eastAsiaTheme="minorEastAsia"/>
          <w:w w:val="100"/>
        </w:rPr>
        <w:t xml:space="preserve">a censura por derecha es considerada en dos casos: </w:t>
      </w:r>
      <w:r w:rsidR="0056602F">
        <w:rPr>
          <w:rFonts w:eastAsiaTheme="minorEastAsia"/>
          <w:w w:val="100"/>
        </w:rPr>
        <w:t>uno</w:t>
      </w:r>
      <w:r w:rsidRPr="0063130F">
        <w:rPr>
          <w:rFonts w:eastAsiaTheme="minorEastAsia"/>
          <w:w w:val="100"/>
        </w:rPr>
        <w:t>, si el paciente permanece en UCI hasta la fecha en que el estudio concluye;</w:t>
      </w:r>
      <w:r w:rsidR="0056602F">
        <w:rPr>
          <w:rFonts w:eastAsiaTheme="minorEastAsia"/>
          <w:w w:val="100"/>
        </w:rPr>
        <w:t xml:space="preserve"> dos</w:t>
      </w:r>
      <w:r w:rsidRPr="0063130F">
        <w:rPr>
          <w:rFonts w:eastAsiaTheme="minorEastAsia"/>
          <w:w w:val="100"/>
        </w:rPr>
        <w:t>, si el paciente muere en UCI en virtud de una causa distinta al COVID-19</w:t>
      </w:r>
      <w:r w:rsidR="003D1905" w:rsidRPr="0063130F">
        <w:rPr>
          <w:rFonts w:eastAsiaTheme="minorEastAsia"/>
          <w:w w:val="100"/>
        </w:rPr>
        <w:t>.</w:t>
      </w:r>
      <w:r w:rsidR="00BC56B2" w:rsidRPr="0063130F">
        <w:rPr>
          <w:rFonts w:eastAsiaTheme="minorEastAsia"/>
          <w:w w:val="100"/>
        </w:rPr>
        <w:t xml:space="preserve"> </w:t>
      </w:r>
      <w:r w:rsidR="003D1905" w:rsidRPr="0063130F">
        <w:rPr>
          <w:rFonts w:eastAsiaTheme="minorEastAsia"/>
          <w:w w:val="100"/>
        </w:rPr>
        <w:t>Formalmente, e</w:t>
      </w:r>
      <w:r w:rsidRPr="0063130F">
        <w:rPr>
          <w:rFonts w:eastAsiaTheme="minorEastAsia"/>
          <w:w w:val="100"/>
        </w:rPr>
        <w:t>l análisis de supervivencia opera según la</w:t>
      </w:r>
      <w:r w:rsidR="003D1905" w:rsidRPr="0063130F">
        <w:rPr>
          <w:rFonts w:eastAsiaTheme="minorEastAsia"/>
          <w:w w:val="100"/>
        </w:rPr>
        <w:t>s</w:t>
      </w:r>
      <w:r w:rsidRPr="0063130F">
        <w:rPr>
          <w:rFonts w:eastAsiaTheme="minorEastAsia"/>
          <w:w w:val="100"/>
        </w:rPr>
        <w:t xml:space="preserve"> siguientes tres aproximaciones</w:t>
      </w:r>
      <w:r w:rsidR="00BC56B2" w:rsidRPr="0063130F">
        <w:rPr>
          <w:rFonts w:eastAsiaTheme="minorEastAsia"/>
          <w:w w:val="100"/>
        </w:rPr>
        <w:t xml:space="preserve">: </w:t>
      </w:r>
    </w:p>
    <w:p w14:paraId="48D6EF7A" w14:textId="77777777" w:rsidR="00BC56B2" w:rsidRPr="0063130F" w:rsidRDefault="00BC56B2" w:rsidP="00BC56B2">
      <w:pPr>
        <w:pStyle w:val="Textoindependiente"/>
        <w:numPr>
          <w:ilvl w:val="2"/>
          <w:numId w:val="6"/>
        </w:numPr>
        <w:spacing w:before="96" w:line="249" w:lineRule="auto"/>
        <w:ind w:left="0" w:right="-1" w:firstLine="0"/>
        <w:rPr>
          <w:i/>
          <w:iCs/>
          <w:w w:val="100"/>
        </w:rPr>
      </w:pPr>
      <w:r w:rsidRPr="0063130F">
        <w:rPr>
          <w:rFonts w:eastAsiaTheme="minorEastAsia"/>
          <w:i/>
          <w:iCs/>
          <w:w w:val="100"/>
        </w:rPr>
        <w:t>Estimador no-paramétrico de Kaplan-Meier</w:t>
      </w:r>
    </w:p>
    <w:p w14:paraId="4C9E1ED5" w14:textId="5C7CD317" w:rsidR="00AE6FFC" w:rsidRPr="0063130F" w:rsidRDefault="00BC56B2" w:rsidP="00AE6FFC">
      <w:pPr>
        <w:pStyle w:val="Textoindependiente"/>
        <w:spacing w:before="96" w:after="160" w:line="249" w:lineRule="auto"/>
        <w:ind w:left="0" w:right="-1" w:firstLine="284"/>
        <w:rPr>
          <w:rFonts w:eastAsiaTheme="minorEastAsia"/>
          <w:w w:val="100"/>
        </w:rPr>
      </w:pPr>
      <w:r w:rsidRPr="0063130F">
        <w:rPr>
          <w:rFonts w:eastAsiaTheme="minorEastAsia"/>
          <w:w w:val="100"/>
        </w:rPr>
        <w:t xml:space="preserve">Considerando el tiempo de permanencia en UCI como la variable de interés, el método de Kaplan-Meier proporciona  una estimación no-paramétrica de la función de supervivencia a partir del producto de probabilidades condicionales estimadas </w:t>
      </w:r>
      <w:r w:rsidRPr="0063130F">
        <w:rPr>
          <w:w w:val="100"/>
        </w:rPr>
        <w:fldChar w:fldCharType="begin" w:fldLock="1"/>
      </w:r>
      <w:r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Pr="0063130F">
        <w:rPr>
          <w:w w:val="100"/>
        </w:rPr>
        <w:fldChar w:fldCharType="separate"/>
      </w:r>
      <w:r w:rsidRPr="0063130F">
        <w:rPr>
          <w:noProof/>
          <w:w w:val="100"/>
        </w:rPr>
        <w:t>(16)</w:t>
      </w:r>
      <w:r w:rsidRPr="0063130F">
        <w:rPr>
          <w:w w:val="100"/>
        </w:rPr>
        <w:fldChar w:fldCharType="end"/>
      </w:r>
      <w:r w:rsidRPr="0063130F">
        <w:rPr>
          <w:w w:val="100"/>
        </w:rPr>
        <w:t xml:space="preserve">. En una línea similar, la estimación no-paramétrica de la función de riesgo acumulado corresponde al estimador de </w:t>
      </w:r>
      <w:proofErr w:type="spellStart"/>
      <w:r w:rsidRPr="0063130F">
        <w:rPr>
          <w:w w:val="100"/>
        </w:rPr>
        <w:t>Nelso-Aalen</w:t>
      </w:r>
      <w:proofErr w:type="spellEnd"/>
      <w:r w:rsidRPr="0063130F">
        <w:rPr>
          <w:rFonts w:eastAsiaTheme="minorEastAsia"/>
          <w:w w:val="100"/>
        </w:rPr>
        <w:t xml:space="preserve">, </w:t>
      </w:r>
      <w:r w:rsidRPr="0063130F">
        <w:rPr>
          <w:rFonts w:eastAsiaTheme="minorEastAsia"/>
          <w:w w:val="100"/>
        </w:rPr>
        <w:fldChar w:fldCharType="begin" w:fldLock="1"/>
      </w:r>
      <w:r w:rsidRPr="0063130F">
        <w:rPr>
          <w:rFonts w:eastAsiaTheme="minorEastAsia"/>
          <w:w w:val="100"/>
        </w:rPr>
        <w:instrText>ADDIN CSL_CITATION {"citationItems":[{"id":"ITEM-1","itemData":{"author":[{"dropping-particle":"","family":"Aalen","given":"Odd","non-dropping-particle":"","parse-names":false,"suffix":""}],"container-title":"The Annals of Statistics","id":"ITEM-1","issue":"4","issued":{"date-parts":[["1978"]]},"page":"701 - 726","title":"Nonparametric Inference for a Family of Counting Processes","type":"article-journal","volume":"6"},"uris":["http://www.mendeley.com/documents/?uuid=b3b139bb-455b-4eb4-8d78-1d62a215ca79"]}],"mendeley":{"formattedCitation":"(27)","plainTextFormattedCitation":"(27)","previouslyFormattedCitation":"(27)"},"properties":{"noteIndex":0},"schema":"https://github.com/citation-style-language/schema/raw/master/csl-citation.json"}</w:instrText>
      </w:r>
      <w:r w:rsidRPr="0063130F">
        <w:rPr>
          <w:rFonts w:eastAsiaTheme="minorEastAsia"/>
          <w:w w:val="100"/>
        </w:rPr>
        <w:fldChar w:fldCharType="separate"/>
      </w:r>
      <w:r w:rsidRPr="0063130F">
        <w:rPr>
          <w:rFonts w:eastAsiaTheme="minorEastAsia"/>
          <w:noProof/>
          <w:w w:val="100"/>
        </w:rPr>
        <w:t>(27)</w:t>
      </w:r>
      <w:r w:rsidRPr="0063130F">
        <w:rPr>
          <w:rFonts w:eastAsiaTheme="minorEastAsia"/>
          <w:w w:val="100"/>
        </w:rPr>
        <w:fldChar w:fldCharType="end"/>
      </w:r>
      <w:r w:rsidRPr="0063130F">
        <w:rPr>
          <w:rFonts w:eastAsiaTheme="minorEastAsia"/>
          <w:w w:val="100"/>
        </w:rPr>
        <w:t xml:space="preserve">. </w:t>
      </w:r>
      <w:r w:rsidR="00854763">
        <w:rPr>
          <w:rFonts w:eastAsiaTheme="minorEastAsia"/>
          <w:w w:val="100"/>
        </w:rPr>
        <w:t>P</w:t>
      </w:r>
      <w:r w:rsidRPr="0063130F">
        <w:rPr>
          <w:rFonts w:eastAsiaTheme="minorEastAsia"/>
          <w:w w:val="100"/>
        </w:rPr>
        <w:t>ara las subpoblaciones definidas, las diferencias estadísticas entre las curvas de supervivencia estimadas son verificadas mediante la prueba Log-rank.</w:t>
      </w:r>
    </w:p>
    <w:p w14:paraId="68F3B4D7" w14:textId="644FE71F" w:rsidR="00DF26B8" w:rsidRPr="0063130F" w:rsidRDefault="008C06DB" w:rsidP="00611FDE">
      <w:pPr>
        <w:pStyle w:val="Textoindependiente"/>
        <w:numPr>
          <w:ilvl w:val="2"/>
          <w:numId w:val="6"/>
        </w:numPr>
        <w:spacing w:before="96" w:line="249" w:lineRule="auto"/>
        <w:ind w:left="0" w:right="-1" w:firstLine="0"/>
        <w:rPr>
          <w:i/>
          <w:iCs/>
          <w:w w:val="100"/>
        </w:rPr>
      </w:pPr>
      <w:r w:rsidRPr="0063130F">
        <w:rPr>
          <w:rFonts w:eastAsiaTheme="minorEastAsia"/>
          <w:i/>
          <w:iCs/>
          <w:w w:val="100"/>
        </w:rPr>
        <w:t>Modelos paramétricos</w:t>
      </w:r>
    </w:p>
    <w:p w14:paraId="23957272" w14:textId="38B597A7" w:rsidR="00E84881" w:rsidRPr="0063130F" w:rsidRDefault="00854763" w:rsidP="00E84881">
      <w:pPr>
        <w:pStyle w:val="Textoindependiente"/>
        <w:spacing w:before="96" w:after="160" w:line="249" w:lineRule="auto"/>
        <w:ind w:left="0" w:right="-1" w:firstLine="284"/>
        <w:rPr>
          <w:rFonts w:eastAsiaTheme="minorEastAsia"/>
          <w:w w:val="100"/>
        </w:rPr>
      </w:pPr>
      <w:r>
        <w:rPr>
          <w:rFonts w:eastAsiaTheme="minorEastAsia"/>
          <w:w w:val="100"/>
        </w:rPr>
        <w:t>L</w:t>
      </w:r>
      <w:r w:rsidR="00AE6FFC" w:rsidRPr="0063130F">
        <w:rPr>
          <w:rFonts w:eastAsiaTheme="minorEastAsia"/>
          <w:w w:val="100"/>
        </w:rPr>
        <w:t>a estimación paramétrica de la función de supervivencia</w:t>
      </w:r>
      <w:r>
        <w:rPr>
          <w:rFonts w:eastAsiaTheme="minorEastAsia"/>
          <w:w w:val="100"/>
        </w:rPr>
        <w:t xml:space="preserve"> considera </w:t>
      </w:r>
      <w:r w:rsidR="00AE6FFC" w:rsidRPr="0063130F">
        <w:rPr>
          <w:rFonts w:eastAsiaTheme="minorEastAsia"/>
          <w:w w:val="100"/>
        </w:rPr>
        <w:t xml:space="preserve">cuatro modelos derivados de cuatro distribuciones de probabilidad continuas: gamma, Weibull, log-normal y Gompertz. </w:t>
      </w:r>
      <w:r w:rsidR="0063130F" w:rsidRPr="0063130F">
        <w:rPr>
          <w:rFonts w:eastAsiaTheme="minorEastAsia"/>
          <w:w w:val="100"/>
        </w:rPr>
        <w:t>Las</w:t>
      </w:r>
      <w:r w:rsidR="00AE6FFC" w:rsidRPr="0063130F">
        <w:rPr>
          <w:rFonts w:eastAsiaTheme="minorEastAsia"/>
          <w:w w:val="100"/>
        </w:rPr>
        <w:t xml:space="preserve"> tres primeras distribuciones no son sino casos especiales de la función de distribución gamma generalizada</w:t>
      </w:r>
      <w:r w:rsidR="0063130F" w:rsidRPr="0063130F">
        <w:rPr>
          <w:rFonts w:eastAsiaTheme="minorEastAsia"/>
          <w:w w:val="100"/>
        </w:rPr>
        <w:t xml:space="preserve"> y, en consecuencia, </w:t>
      </w:r>
      <w:r w:rsidR="00AE6FFC" w:rsidRPr="0063130F">
        <w:rPr>
          <w:rFonts w:eastAsiaTheme="minorEastAsia"/>
          <w:w w:val="100"/>
        </w:rPr>
        <w:t>los modelos paramétricos considerados se reducen a dos: un modelo derivado de una distribución gamma generalizada; y otro derivado de una distribución de Gompertz. En cada caso, la función de riesgo acumulado corresponde a la integral de la función de riesgo hasta un tiempo dado.</w:t>
      </w:r>
      <w:r w:rsidR="00AE6FFC" w:rsidRPr="0063130F">
        <w:rPr>
          <w:w w:val="100"/>
        </w:rPr>
        <w:t xml:space="preserve"> </w:t>
      </w:r>
      <w:r w:rsidR="003C2019" w:rsidRPr="0063130F">
        <w:rPr>
          <w:rFonts w:eastAsiaTheme="minorEastAsia"/>
          <w:w w:val="100"/>
        </w:rPr>
        <w:t>El modelo paramétrico adecuado es seleccionado</w:t>
      </w:r>
      <w:r w:rsidR="0063130F" w:rsidRPr="0063130F">
        <w:rPr>
          <w:rFonts w:eastAsiaTheme="minorEastAsia"/>
          <w:w w:val="100"/>
        </w:rPr>
        <w:t xml:space="preserve"> mediante</w:t>
      </w:r>
      <w:r w:rsidR="003C2019" w:rsidRPr="0063130F">
        <w:rPr>
          <w:rFonts w:eastAsiaTheme="minorEastAsia"/>
          <w:w w:val="100"/>
        </w:rPr>
        <w:t xml:space="preserve"> criterios de información </w:t>
      </w:r>
      <w:r w:rsidR="0063130F" w:rsidRPr="0063130F">
        <w:rPr>
          <w:rFonts w:eastAsiaTheme="minorEastAsia"/>
          <w:w w:val="100"/>
        </w:rPr>
        <w:t>—a saber,</w:t>
      </w:r>
      <w:r w:rsidR="003C2019" w:rsidRPr="0063130F">
        <w:rPr>
          <w:rFonts w:eastAsiaTheme="minorEastAsia"/>
          <w:w w:val="100"/>
        </w:rPr>
        <w:t xml:space="preserve"> el criterio de información de Akaike</w:t>
      </w:r>
      <w:r w:rsidR="00BD0AEE">
        <w:rPr>
          <w:rFonts w:eastAsiaTheme="minorEastAsia"/>
          <w:w w:val="100"/>
        </w:rPr>
        <w:t xml:space="preserve"> </w:t>
      </w:r>
      <w:r w:rsidR="003C2019" w:rsidRPr="0063130F">
        <w:rPr>
          <w:rFonts w:eastAsiaTheme="minorEastAsia"/>
          <w:w w:val="100"/>
        </w:rPr>
        <w:t>y el criterio de información bayesiano— y la prueba razón de verosimilitud.</w:t>
      </w:r>
    </w:p>
    <w:p w14:paraId="0F440C48" w14:textId="6E44F96B" w:rsidR="006A4737" w:rsidRPr="0063130F" w:rsidRDefault="008C06DB" w:rsidP="006A4737">
      <w:pPr>
        <w:pStyle w:val="Textoindependiente"/>
        <w:numPr>
          <w:ilvl w:val="2"/>
          <w:numId w:val="6"/>
        </w:numPr>
        <w:spacing w:before="96" w:line="249" w:lineRule="auto"/>
        <w:ind w:left="0" w:right="-1" w:firstLine="0"/>
        <w:rPr>
          <w:i/>
          <w:iCs/>
          <w:w w:val="100"/>
        </w:rPr>
      </w:pPr>
      <w:r w:rsidRPr="0063130F">
        <w:rPr>
          <w:rFonts w:eastAsiaTheme="minorEastAsia"/>
          <w:i/>
          <w:iCs/>
          <w:w w:val="100"/>
        </w:rPr>
        <w:t xml:space="preserve">Aproximación </w:t>
      </w:r>
      <w:proofErr w:type="spellStart"/>
      <w:r w:rsidRPr="0063130F">
        <w:rPr>
          <w:rFonts w:eastAsiaTheme="minorEastAsia"/>
          <w:i/>
          <w:iCs/>
          <w:w w:val="100"/>
        </w:rPr>
        <w:t>semi-paramétrica</w:t>
      </w:r>
      <w:proofErr w:type="spellEnd"/>
    </w:p>
    <w:p w14:paraId="2A6FC740" w14:textId="50B1434B" w:rsidR="00814BAF" w:rsidRDefault="0063130F" w:rsidP="0063130F">
      <w:pPr>
        <w:pStyle w:val="Textoindependiente"/>
        <w:spacing w:before="96" w:after="160" w:line="249" w:lineRule="auto"/>
        <w:ind w:left="0" w:right="-1" w:firstLine="284"/>
        <w:rPr>
          <w:rFonts w:eastAsiaTheme="minorEastAsia"/>
          <w:w w:val="100"/>
        </w:rPr>
      </w:pPr>
      <w:r w:rsidRPr="0063130F">
        <w:rPr>
          <w:w w:val="100"/>
        </w:rPr>
        <w:t>Por último, se</w:t>
      </w:r>
      <w:r w:rsidR="006A4737" w:rsidRPr="0063130F">
        <w:rPr>
          <w:w w:val="100"/>
        </w:rPr>
        <w:t xml:space="preserve"> </w:t>
      </w:r>
      <w:r w:rsidRPr="0063130F">
        <w:rPr>
          <w:w w:val="100"/>
        </w:rPr>
        <w:t xml:space="preserve">considera un </w:t>
      </w:r>
      <w:r w:rsidR="00BC3108" w:rsidRPr="0063130F">
        <w:rPr>
          <w:w w:val="100"/>
        </w:rPr>
        <w:t xml:space="preserve">modelo de riesgos proporcionales de Cox </w:t>
      </w:r>
      <w:r w:rsidR="001268BD" w:rsidRPr="0063130F">
        <w:rPr>
          <w:w w:val="100"/>
        </w:rPr>
        <w:fldChar w:fldCharType="begin" w:fldLock="1"/>
      </w:r>
      <w:r w:rsidR="002D55D9" w:rsidRPr="0063130F">
        <w:rPr>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1268BD" w:rsidRPr="0063130F">
        <w:rPr>
          <w:w w:val="100"/>
        </w:rPr>
        <w:fldChar w:fldCharType="separate"/>
      </w:r>
      <w:r w:rsidR="001268BD" w:rsidRPr="0063130F">
        <w:rPr>
          <w:noProof/>
          <w:w w:val="100"/>
        </w:rPr>
        <w:t>(18)</w:t>
      </w:r>
      <w:r w:rsidR="001268BD" w:rsidRPr="0063130F">
        <w:rPr>
          <w:w w:val="100"/>
        </w:rPr>
        <w:fldChar w:fldCharType="end"/>
      </w:r>
      <w:r w:rsidR="001268BD" w:rsidRPr="0063130F">
        <w:rPr>
          <w:w w:val="100"/>
        </w:rPr>
        <w:t xml:space="preserve">. </w:t>
      </w:r>
      <w:r w:rsidRPr="0063130F">
        <w:rPr>
          <w:w w:val="100"/>
        </w:rPr>
        <w:t xml:space="preserve">Un </w:t>
      </w:r>
      <w:r w:rsidR="006A4737" w:rsidRPr="0063130F">
        <w:rPr>
          <w:w w:val="100"/>
        </w:rPr>
        <w:t>modelo básico de tasa de riesgo se define según dos componentes: una función no-</w:t>
      </w:r>
      <w:r w:rsidR="006A4737" w:rsidRPr="0063130F">
        <w:rPr>
          <w:w w:val="100"/>
        </w:rPr>
        <w:lastRenderedPageBreak/>
        <w:t xml:space="preserve">negativa sobre el vector de covariables y una función de riesgo base.  </w:t>
      </w:r>
      <w:r w:rsidRPr="0063130F">
        <w:rPr>
          <w:w w:val="100"/>
        </w:rPr>
        <w:t>Por definición, e</w:t>
      </w:r>
      <w:r w:rsidR="006A4737" w:rsidRPr="0063130F">
        <w:rPr>
          <w:w w:val="100"/>
        </w:rPr>
        <w:t xml:space="preserve">l modelo de Cox es un tipo de modelo básico de tasa de riesgo donde el primer componente está especificado según una función exponencial. </w:t>
      </w:r>
      <w:r w:rsidRPr="0063130F">
        <w:rPr>
          <w:w w:val="100"/>
        </w:rPr>
        <w:t>S</w:t>
      </w:r>
      <w:r w:rsidR="006A4737" w:rsidRPr="0063130F">
        <w:rPr>
          <w:w w:val="100"/>
        </w:rPr>
        <w:t xml:space="preserve">i bien </w:t>
      </w:r>
      <w:r w:rsidR="006A4737" w:rsidRPr="0063130F">
        <w:rPr>
          <w:rFonts w:eastAsiaTheme="minorEastAsia"/>
          <w:w w:val="100"/>
        </w:rPr>
        <w:t>el modelo no</w:t>
      </w:r>
      <w:r w:rsidR="002D55D9" w:rsidRPr="0063130F">
        <w:rPr>
          <w:rFonts w:eastAsiaTheme="minorEastAsia"/>
          <w:w w:val="100"/>
        </w:rPr>
        <w:t xml:space="preserve"> supone una distribución de probabilidad sobre la función de riesgo base, </w:t>
      </w:r>
      <w:r w:rsidR="006A4737" w:rsidRPr="0063130F">
        <w:rPr>
          <w:rFonts w:eastAsiaTheme="minorEastAsia"/>
          <w:w w:val="100"/>
        </w:rPr>
        <w:t xml:space="preserve">la regresión de Cox es un modelo </w:t>
      </w:r>
      <w:proofErr w:type="spellStart"/>
      <w:r w:rsidR="006A4737" w:rsidRPr="0063130F">
        <w:rPr>
          <w:rFonts w:eastAsiaTheme="minorEastAsia"/>
          <w:w w:val="100"/>
        </w:rPr>
        <w:t>semi-paramétrico</w:t>
      </w:r>
      <w:proofErr w:type="spellEnd"/>
      <w:r w:rsidR="006A4737" w:rsidRPr="0063130F">
        <w:rPr>
          <w:rFonts w:eastAsiaTheme="minorEastAsia"/>
          <w:w w:val="100"/>
        </w:rPr>
        <w:t xml:space="preserve"> robusto en el sentido en que </w:t>
      </w:r>
      <w:r w:rsidR="002D55D9" w:rsidRPr="0063130F">
        <w:rPr>
          <w:rFonts w:eastAsiaTheme="minorEastAsia"/>
          <w:w w:val="100"/>
        </w:rPr>
        <w:t xml:space="preserve">se aproxima al modelo paramétrico correcto. </w:t>
      </w:r>
      <w:r w:rsidRPr="0063130F">
        <w:rPr>
          <w:rFonts w:eastAsiaTheme="minorEastAsia"/>
          <w:w w:val="100"/>
        </w:rPr>
        <w:t>L</w:t>
      </w:r>
      <w:r w:rsidR="002D55D9" w:rsidRPr="0063130F">
        <w:rPr>
          <w:rFonts w:eastAsiaTheme="minorEastAsia"/>
          <w:w w:val="100"/>
        </w:rPr>
        <w:t xml:space="preserve">a </w:t>
      </w:r>
      <w:r w:rsidRPr="0063130F">
        <w:rPr>
          <w:rFonts w:eastAsiaTheme="minorEastAsia"/>
          <w:w w:val="100"/>
        </w:rPr>
        <w:t xml:space="preserve">aproximación </w:t>
      </w:r>
      <w:proofErr w:type="spellStart"/>
      <w:r w:rsidRPr="0063130F">
        <w:rPr>
          <w:rFonts w:eastAsiaTheme="minorEastAsia"/>
          <w:w w:val="100"/>
        </w:rPr>
        <w:t>semi-paramétrica</w:t>
      </w:r>
      <w:proofErr w:type="spellEnd"/>
      <w:r w:rsidR="002D55D9" w:rsidRPr="0063130F">
        <w:rPr>
          <w:rFonts w:eastAsiaTheme="minorEastAsia"/>
          <w:w w:val="100"/>
        </w:rPr>
        <w:t xml:space="preserve"> de Cox implica la adopción de dos supuestos: </w:t>
      </w:r>
      <w:r w:rsidR="006A4737" w:rsidRPr="0063130F">
        <w:rPr>
          <w:rFonts w:eastAsiaTheme="minorEastAsia"/>
          <w:w w:val="100"/>
        </w:rPr>
        <w:t>uno,</w:t>
      </w:r>
      <w:r w:rsidR="002D55D9" w:rsidRPr="0063130F">
        <w:rPr>
          <w:rFonts w:eastAsiaTheme="minorEastAsia"/>
          <w:w w:val="100"/>
        </w:rPr>
        <w:t xml:space="preserve"> el supuesto de riesgos proporcionales, </w:t>
      </w:r>
      <w:r w:rsidR="006A4737" w:rsidRPr="0063130F">
        <w:rPr>
          <w:rFonts w:eastAsiaTheme="minorEastAsia"/>
          <w:w w:val="100"/>
        </w:rPr>
        <w:t>i.e.</w:t>
      </w:r>
      <w:r w:rsidR="002D55D9" w:rsidRPr="0063130F">
        <w:rPr>
          <w:rFonts w:eastAsiaTheme="minorEastAsia"/>
          <w:w w:val="100"/>
        </w:rPr>
        <w:t xml:space="preserve">, las razones de riesgo no dependen del tiempo; y </w:t>
      </w:r>
      <w:r w:rsidR="006A4737" w:rsidRPr="0063130F">
        <w:rPr>
          <w:rFonts w:eastAsiaTheme="minorEastAsia"/>
          <w:w w:val="100"/>
        </w:rPr>
        <w:t>dos</w:t>
      </w:r>
      <w:r w:rsidR="002D55D9" w:rsidRPr="0063130F">
        <w:rPr>
          <w:rFonts w:eastAsiaTheme="minorEastAsia"/>
          <w:w w:val="100"/>
        </w:rPr>
        <w:t xml:space="preserve">, el supuesto de linealidad y adición de las variables explicativas con respecto al logaritmo de la función de riesgo </w:t>
      </w:r>
      <w:r w:rsidR="002D55D9" w:rsidRPr="0063130F">
        <w:rPr>
          <w:rFonts w:eastAsiaTheme="minorEastAsia"/>
          <w:w w:val="100"/>
        </w:rPr>
        <w:fldChar w:fldCharType="begin" w:fldLock="1"/>
      </w:r>
      <w:r w:rsidR="004E012B">
        <w:rPr>
          <w:rFonts w:eastAsiaTheme="minorEastAsia"/>
          <w:w w:val="100"/>
        </w:rPr>
        <w:instrText>ADDIN CSL_CITATION {"citationItems":[{"id":"ITEM-1","itemData":{"author":[{"dropping-particle":"","family":"Harrell Jr.","given":"F.E.","non-dropping-particle":"","parse-names":false,"suffix":""}],"id":"ITEM-1","issued":{"date-parts":[["2015"]]},"publisher":"Springer","publisher-place":"New York","title":"Regression Modeling Strategies: With Applications to Linear Models, Logistic and Ordinal Regression, and Survival Analysis (Second Edition)","type":"book"},"uris":["http://www.mendeley.com/documents/?uuid=370e1d3c-1a87-46ef-98c1-64d89515bd6e"]}],"mendeley":{"formattedCitation":"(28)","plainTextFormattedCitation":"(28)","previouslyFormattedCitation":"(28)"},"properties":{"noteIndex":0},"schema":"https://github.com/citation-style-language/schema/raw/master/csl-citation.json"}</w:instrText>
      </w:r>
      <w:r w:rsidR="002D55D9" w:rsidRPr="0063130F">
        <w:rPr>
          <w:rFonts w:eastAsiaTheme="minorEastAsia"/>
          <w:w w:val="100"/>
        </w:rPr>
        <w:fldChar w:fldCharType="separate"/>
      </w:r>
      <w:r w:rsidRPr="0063130F">
        <w:rPr>
          <w:rFonts w:eastAsiaTheme="minorEastAsia"/>
          <w:noProof/>
          <w:w w:val="100"/>
        </w:rPr>
        <w:t>(28)</w:t>
      </w:r>
      <w:r w:rsidR="002D55D9" w:rsidRPr="0063130F">
        <w:rPr>
          <w:rFonts w:eastAsiaTheme="minorEastAsia"/>
          <w:w w:val="100"/>
        </w:rPr>
        <w:fldChar w:fldCharType="end"/>
      </w:r>
      <w:r w:rsidR="002D55D9" w:rsidRPr="0063130F">
        <w:rPr>
          <w:rFonts w:eastAsiaTheme="minorEastAsia"/>
          <w:w w:val="100"/>
        </w:rPr>
        <w:t>. El primer</w:t>
      </w:r>
      <w:r w:rsidR="00854763">
        <w:rPr>
          <w:rFonts w:eastAsiaTheme="minorEastAsia"/>
          <w:w w:val="100"/>
        </w:rPr>
        <w:t xml:space="preserve"> supuesto </w:t>
      </w:r>
      <w:r w:rsidR="002D55D9" w:rsidRPr="0063130F">
        <w:rPr>
          <w:rFonts w:eastAsiaTheme="minorEastAsia"/>
          <w:w w:val="100"/>
        </w:rPr>
        <w:t>es verificado mediante los residuos de Schoenfeld; el segundo, mediante los residuales Martingala.</w:t>
      </w:r>
    </w:p>
    <w:p w14:paraId="29B352D4" w14:textId="2D2E87C8" w:rsidR="0063130F" w:rsidRDefault="0063130F" w:rsidP="0063130F">
      <w:pPr>
        <w:pStyle w:val="Textoindependiente"/>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Resultados</w:t>
      </w:r>
    </w:p>
    <w:p w14:paraId="0257793F" w14:textId="6E5396B9" w:rsidR="00746293" w:rsidRPr="006E66C2" w:rsidRDefault="00746293" w:rsidP="00237573">
      <w:pPr>
        <w:pStyle w:val="Textoindependiente"/>
        <w:spacing w:before="96" w:after="160" w:line="249" w:lineRule="auto"/>
        <w:ind w:left="0" w:right="-1" w:firstLine="284"/>
        <w:rPr>
          <w:rFonts w:eastAsiaTheme="minorEastAsia"/>
          <w:w w:val="100"/>
        </w:rPr>
      </w:pPr>
      <w:r w:rsidRPr="006E66C2">
        <w:rPr>
          <w:rFonts w:eastAsiaTheme="minorEastAsia"/>
          <w:w w:val="100"/>
        </w:rPr>
        <w:t>Durante</w:t>
      </w:r>
      <w:r w:rsidR="00237573" w:rsidRPr="006E66C2">
        <w:rPr>
          <w:rFonts w:eastAsiaTheme="minorEastAsia"/>
          <w:w w:val="100"/>
        </w:rPr>
        <w:t xml:space="preserve"> el período de estudio, se </w:t>
      </w:r>
      <w:r w:rsidRPr="006E66C2">
        <w:rPr>
          <w:rFonts w:eastAsiaTheme="minorEastAsia"/>
          <w:w w:val="100"/>
        </w:rPr>
        <w:t>verificó</w:t>
      </w:r>
      <w:r w:rsidR="00237573" w:rsidRPr="006E66C2">
        <w:rPr>
          <w:rFonts w:eastAsiaTheme="minorEastAsia"/>
          <w:w w:val="100"/>
        </w:rPr>
        <w:t xml:space="preserve"> que el 25.14% (</w:t>
      </w:r>
      <m:oMath>
        <m:r>
          <w:rPr>
            <w:rFonts w:ascii="Cambria Math" w:eastAsiaTheme="minorEastAsia" w:hAnsi="Cambria Math"/>
            <w:w w:val="100"/>
          </w:rPr>
          <m:t>n=276</m:t>
        </m:r>
      </m:oMath>
      <w:r w:rsidR="00237573" w:rsidRPr="006E66C2">
        <w:rPr>
          <w:rFonts w:eastAsiaTheme="minorEastAsia"/>
          <w:w w:val="100"/>
        </w:rPr>
        <w:t xml:space="preserve">) de los pacientes admitidos en UCI por COVID-19 </w:t>
      </w:r>
      <w:r w:rsidR="00237573" w:rsidRPr="006E66C2">
        <w:rPr>
          <w:rFonts w:eastAsiaTheme="minorEastAsia"/>
          <w:w w:val="100"/>
        </w:rPr>
        <w:t>en Cali, Colombia, corresponden al grupo de pacientes CC; y el 74.86% (</w:t>
      </w:r>
      <m:oMath>
        <m:r>
          <w:rPr>
            <w:rFonts w:ascii="Cambria Math" w:eastAsiaTheme="minorEastAsia" w:hAnsi="Cambria Math"/>
            <w:w w:val="100"/>
          </w:rPr>
          <m:t>n=822</m:t>
        </m:r>
      </m:oMath>
      <w:r w:rsidR="00237573" w:rsidRPr="006E66C2">
        <w:rPr>
          <w:rFonts w:eastAsiaTheme="minorEastAsia"/>
          <w:w w:val="100"/>
        </w:rPr>
        <w:t xml:space="preserve">), al grupo de pacientes no-CC. </w:t>
      </w:r>
      <w:r w:rsidRPr="006E66C2">
        <w:rPr>
          <w:rFonts w:eastAsiaTheme="minorEastAsia"/>
          <w:w w:val="100"/>
        </w:rPr>
        <w:t>Aunque la</w:t>
      </w:r>
      <w:r w:rsidR="00237573" w:rsidRPr="006E66C2">
        <w:rPr>
          <w:rFonts w:eastAsiaTheme="minorEastAsia"/>
          <w:w w:val="100"/>
        </w:rPr>
        <w:t xml:space="preserve"> distribución según el sexo es similar en ambos grupos, la tasa de mortalidad en UCI es superior en el grupo de pacientes CC (</w:t>
      </w:r>
      <w:r w:rsidR="009F523A" w:rsidRPr="006E66C2">
        <w:rPr>
          <w:rFonts w:eastAsiaTheme="minorEastAsia"/>
          <w:w w:val="100"/>
        </w:rPr>
        <w:t>63.99%</w:t>
      </w:r>
      <w:r w:rsidR="009F523A">
        <w:rPr>
          <w:rFonts w:eastAsiaTheme="minorEastAsia"/>
          <w:w w:val="100"/>
        </w:rPr>
        <w:t xml:space="preserve"> vs. </w:t>
      </w:r>
      <w:r w:rsidR="009F523A" w:rsidRPr="006E66C2">
        <w:rPr>
          <w:rFonts w:eastAsiaTheme="minorEastAsia"/>
          <w:w w:val="100"/>
        </w:rPr>
        <w:t>23.91%</w:t>
      </w:r>
      <w:r w:rsidR="00237573" w:rsidRPr="006E66C2">
        <w:rPr>
          <w:rFonts w:eastAsiaTheme="minorEastAsia"/>
          <w:w w:val="100"/>
        </w:rPr>
        <w:t xml:space="preserve">).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00237573" w:rsidRPr="006E66C2">
        <w:rPr>
          <w:rFonts w:eastAsiaTheme="minorEastAsia"/>
          <w:w w:val="100"/>
        </w:rPr>
        <w:t xml:space="preserve"> </w:t>
      </w:r>
      <w:r w:rsidRPr="006E66C2">
        <w:rPr>
          <w:rFonts w:eastAsiaTheme="minorEastAsia"/>
          <w:w w:val="100"/>
        </w:rPr>
        <w:t>verifica</w:t>
      </w:r>
      <w:r w:rsidR="00237573" w:rsidRPr="006E66C2">
        <w:rPr>
          <w:rFonts w:eastAsiaTheme="minorEastAsia"/>
          <w:w w:val="100"/>
        </w:rPr>
        <w:t xml:space="preserve"> los resultados anteriores</w:t>
      </w:r>
      <w:r w:rsidRPr="006E66C2">
        <w:rPr>
          <w:rFonts w:eastAsiaTheme="minorEastAsia"/>
          <w:w w:val="100"/>
        </w:rPr>
        <w:t xml:space="preserve">: </w:t>
      </w:r>
      <w:r w:rsidR="009F523A">
        <w:rPr>
          <w:rFonts w:eastAsiaTheme="minorEastAsia"/>
          <w:w w:val="100"/>
        </w:rPr>
        <w:t>no sólo</w:t>
      </w:r>
      <w:r w:rsidRPr="006E66C2">
        <w:rPr>
          <w:rFonts w:eastAsiaTheme="minorEastAsia"/>
          <w:w w:val="100"/>
        </w:rPr>
        <w:t xml:space="preserve"> existe </w:t>
      </w:r>
      <w:r w:rsidR="00B01994" w:rsidRPr="006E66C2">
        <w:rPr>
          <w:rFonts w:eastAsiaTheme="minorEastAsia"/>
          <w:w w:val="100"/>
        </w:rPr>
        <w:t>una relación significativa entre la condición cónica y el desenlace de la enfermedad (</w:t>
      </w:r>
      <m:oMath>
        <m:r>
          <w:rPr>
            <w:rFonts w:ascii="Cambria Math" w:eastAsiaTheme="minorEastAsia" w:hAnsi="Cambria Math"/>
            <w:w w:val="100"/>
          </w:rPr>
          <m:t>p&lt;0.01</m:t>
        </m:r>
      </m:oMath>
      <w:r w:rsidR="00B01994" w:rsidRPr="006E66C2">
        <w:rPr>
          <w:rFonts w:eastAsiaTheme="minorEastAsia"/>
          <w:w w:val="100"/>
        </w:rPr>
        <w:t>);</w:t>
      </w:r>
      <w:r w:rsidR="009F523A">
        <w:rPr>
          <w:rFonts w:eastAsiaTheme="minorEastAsia"/>
          <w:w w:val="100"/>
        </w:rPr>
        <w:t xml:space="preserve"> sino que, además, </w:t>
      </w:r>
      <w:r w:rsidR="00B01994" w:rsidRPr="006E66C2">
        <w:rPr>
          <w:rFonts w:eastAsiaTheme="minorEastAsia"/>
          <w:w w:val="100"/>
        </w:rPr>
        <w:t>se</w:t>
      </w:r>
      <w:r w:rsidRPr="006E66C2">
        <w:rPr>
          <w:rFonts w:eastAsiaTheme="minorEastAsia"/>
          <w:w w:val="100"/>
        </w:rPr>
        <w:t xml:space="preserve"> verifica </w:t>
      </w:r>
      <w:r w:rsidR="00B01994" w:rsidRPr="006E66C2">
        <w:rPr>
          <w:rFonts w:eastAsiaTheme="minorEastAsia"/>
          <w:w w:val="100"/>
        </w:rPr>
        <w:t>la independencia de la condición crónica respecto del sexo (</w:t>
      </w:r>
      <m:oMath>
        <m:r>
          <w:rPr>
            <w:rFonts w:ascii="Cambria Math" w:eastAsiaTheme="minorEastAsia" w:hAnsi="Cambria Math"/>
            <w:w w:val="100"/>
          </w:rPr>
          <m:t>p=0.82</m:t>
        </m:r>
      </m:oMath>
      <w:r w:rsidR="00B01994" w:rsidRPr="006E66C2">
        <w:rPr>
          <w:rFonts w:eastAsiaTheme="minorEastAsia"/>
          <w:w w:val="100"/>
        </w:rPr>
        <w:t>)</w:t>
      </w:r>
      <w:r w:rsidRPr="006E66C2">
        <w:rPr>
          <w:rFonts w:eastAsiaTheme="minorEastAsia"/>
          <w:w w:val="100"/>
        </w:rPr>
        <w:t xml:space="preserve"> (</w:t>
      </w:r>
      <w:r w:rsidRPr="006E66C2">
        <w:rPr>
          <w:rFonts w:eastAsiaTheme="minorEastAsia"/>
          <w:b/>
          <w:bCs/>
          <w:w w:val="100"/>
        </w:rPr>
        <w:t>Cuadro S3</w:t>
      </w:r>
      <w:r w:rsidRPr="006E66C2">
        <w:rPr>
          <w:rFonts w:eastAsiaTheme="minorEastAsia"/>
          <w:w w:val="100"/>
        </w:rPr>
        <w:t xml:space="preserve">). </w:t>
      </w:r>
    </w:p>
    <w:p w14:paraId="0A26053E" w14:textId="1DDA9754" w:rsidR="00DA708B" w:rsidRDefault="00746293" w:rsidP="00A83CF6">
      <w:pPr>
        <w:pStyle w:val="Textoindependiente"/>
        <w:spacing w:before="96" w:after="160" w:line="249" w:lineRule="auto"/>
        <w:ind w:left="0" w:right="-1" w:firstLine="284"/>
        <w:rPr>
          <w:rFonts w:eastAsiaTheme="minorEastAsia"/>
          <w:w w:val="100"/>
        </w:rPr>
      </w:pPr>
      <w:r w:rsidRPr="006E66C2">
        <w:rPr>
          <w:rFonts w:eastAsiaTheme="minorEastAsia"/>
          <w:w w:val="100"/>
        </w:rPr>
        <w:t>La prueba de Shapiro-Wilk sugiere que las variables continuas no siguen una distribución gaussiana (</w:t>
      </w:r>
      <w:r w:rsidRPr="006E66C2">
        <w:rPr>
          <w:rFonts w:eastAsiaTheme="minorEastAsia"/>
          <w:b/>
          <w:bCs/>
          <w:w w:val="100"/>
        </w:rPr>
        <w:t>Cuadro S2</w:t>
      </w:r>
      <w:r w:rsidRPr="006E66C2">
        <w:rPr>
          <w:rFonts w:eastAsiaTheme="minorEastAsia"/>
          <w:w w:val="100"/>
        </w:rPr>
        <w:t>).</w:t>
      </w:r>
      <w:r w:rsidR="009F523A">
        <w:rPr>
          <w:rFonts w:eastAsiaTheme="minorEastAsia"/>
          <w:w w:val="100"/>
        </w:rPr>
        <w:t xml:space="preserve"> </w:t>
      </w:r>
      <w:r w:rsidR="006E66C2">
        <w:rPr>
          <w:rFonts w:eastAsiaTheme="minorEastAsia"/>
          <w:w w:val="100"/>
        </w:rPr>
        <w:t>Para el grupo CC, el tiempo mediano de estancia en UCI es 37</w:t>
      </w:r>
      <w:r w:rsidR="009F523A">
        <w:rPr>
          <w:rFonts w:eastAsiaTheme="minorEastAsia"/>
          <w:w w:val="100"/>
        </w:rPr>
        <w:t xml:space="preserve"> días</w:t>
      </w:r>
      <m:oMath>
        <m:r>
          <w:rPr>
            <w:rFonts w:ascii="Cambria Math" w:eastAsiaTheme="minorEastAsia" w:hAnsi="Cambria Math"/>
            <w:w w:val="100"/>
          </w:rPr>
          <m:t xml:space="preserve"> [26.3-53]</m:t>
        </m:r>
      </m:oMath>
      <w:r w:rsidR="006E66C2">
        <w:rPr>
          <w:rFonts w:eastAsiaTheme="minorEastAsia"/>
          <w:w w:val="100"/>
        </w:rPr>
        <w:t xml:space="preserve">; para el grupo no-CC, </w:t>
      </w:r>
      <w:r w:rsidR="009F523A">
        <w:rPr>
          <w:rFonts w:eastAsiaTheme="minorEastAsia"/>
          <w:w w:val="100"/>
        </w:rPr>
        <w:t>5 días</w:t>
      </w:r>
      <m:oMath>
        <m:r>
          <w:rPr>
            <w:rFonts w:ascii="Cambria Math" w:eastAsiaTheme="minorEastAsia" w:hAnsi="Cambria Math"/>
            <w:w w:val="100"/>
          </w:rPr>
          <m:t xml:space="preserve"> [1-11]</m:t>
        </m:r>
      </m:oMath>
      <w:r w:rsidR="006E66C2">
        <w:rPr>
          <w:rFonts w:eastAsiaTheme="minorEastAsia"/>
          <w:w w:val="100"/>
        </w:rPr>
        <w:t xml:space="preserve">. La prueba U de Mann-Whitney muestra una diferencia entre la edad </w:t>
      </w:r>
      <w:r w:rsidR="006E66C2" w:rsidRPr="006E66C2">
        <w:rPr>
          <w:rFonts w:eastAsiaTheme="minorEastAsia"/>
          <w:w w:val="100"/>
        </w:rPr>
        <w:t>(</w:t>
      </w:r>
      <m:oMath>
        <m:r>
          <w:rPr>
            <w:rFonts w:ascii="Cambria Math" w:eastAsiaTheme="minorEastAsia" w:hAnsi="Cambria Math"/>
            <w:w w:val="100"/>
          </w:rPr>
          <m:t>p&lt;0.01</m:t>
        </m:r>
      </m:oMath>
      <w:r w:rsidR="006E66C2" w:rsidRPr="006E66C2">
        <w:rPr>
          <w:rFonts w:eastAsiaTheme="minorEastAsia"/>
          <w:w w:val="100"/>
        </w:rPr>
        <w:t>)</w:t>
      </w:r>
      <w:r w:rsidR="006E66C2">
        <w:rPr>
          <w:rFonts w:eastAsiaTheme="minorEastAsia"/>
          <w:w w:val="100"/>
        </w:rPr>
        <w:t xml:space="preserve"> y el tiempo de permanencia en UCI </w:t>
      </w:r>
      <w:r w:rsidR="006E66C2" w:rsidRPr="006E66C2">
        <w:rPr>
          <w:rFonts w:eastAsiaTheme="minorEastAsia"/>
          <w:w w:val="100"/>
        </w:rPr>
        <w:t>(</w:t>
      </w:r>
      <m:oMath>
        <m:r>
          <w:rPr>
            <w:rFonts w:ascii="Cambria Math" w:eastAsiaTheme="minorEastAsia" w:hAnsi="Cambria Math"/>
            <w:w w:val="100"/>
          </w:rPr>
          <m:t>p&lt;0.01</m:t>
        </m:r>
      </m:oMath>
      <w:r w:rsidR="006E66C2" w:rsidRPr="006E66C2">
        <w:rPr>
          <w:rFonts w:eastAsiaTheme="minorEastAsia"/>
          <w:w w:val="100"/>
        </w:rPr>
        <w:t>)</w:t>
      </w:r>
      <w:r w:rsidR="006E66C2">
        <w:rPr>
          <w:rFonts w:eastAsiaTheme="minorEastAsia"/>
          <w:w w:val="100"/>
        </w:rPr>
        <w:t xml:space="preserve"> para pacientes en los grupos CC y no-CC</w:t>
      </w:r>
      <w:r w:rsidR="009F523A">
        <w:rPr>
          <w:rFonts w:eastAsiaTheme="minorEastAsia"/>
          <w:w w:val="100"/>
        </w:rPr>
        <w:t>. N</w:t>
      </w:r>
      <w:r w:rsidR="006E66C2">
        <w:rPr>
          <w:rFonts w:eastAsiaTheme="minorEastAsia"/>
          <w:w w:val="100"/>
        </w:rPr>
        <w:t>o existe, sin embargo, una diferencia en el tiempo de permanencia en UCI según el sexo (</w:t>
      </w:r>
      <m:oMath>
        <m:r>
          <w:rPr>
            <w:rFonts w:ascii="Cambria Math" w:eastAsiaTheme="minorEastAsia" w:hAnsi="Cambria Math"/>
            <w:w w:val="100"/>
          </w:rPr>
          <m:t>p=0.66</m:t>
        </m:r>
      </m:oMath>
      <w:r w:rsidR="006E66C2">
        <w:rPr>
          <w:rFonts w:eastAsiaTheme="minorEastAsia"/>
          <w:w w:val="100"/>
        </w:rPr>
        <w:t>)</w:t>
      </w:r>
      <w:r w:rsidR="009F523A">
        <w:rPr>
          <w:rFonts w:eastAsiaTheme="minorEastAsia"/>
          <w:w w:val="100"/>
        </w:rPr>
        <w:t xml:space="preserve"> (</w:t>
      </w:r>
      <w:r w:rsidR="009F523A" w:rsidRPr="009F523A">
        <w:rPr>
          <w:rFonts w:eastAsiaTheme="minorEastAsia"/>
          <w:b/>
          <w:bCs/>
          <w:w w:val="100"/>
        </w:rPr>
        <w:t>Cuadro S1</w:t>
      </w:r>
      <w:r w:rsidR="009F523A">
        <w:rPr>
          <w:rFonts w:eastAsiaTheme="minorEastAsia"/>
          <w:w w:val="100"/>
        </w:rPr>
        <w:t>)</w:t>
      </w:r>
      <w:r w:rsidR="006E66C2">
        <w:rPr>
          <w:rFonts w:eastAsiaTheme="minorEastAsia"/>
          <w:w w:val="100"/>
        </w:rPr>
        <w:t>.</w:t>
      </w:r>
    </w:p>
    <w:p w14:paraId="6949A164" w14:textId="77777777" w:rsidR="00DA708B" w:rsidRDefault="00DA708B" w:rsidP="0056602F">
      <w:pPr>
        <w:pStyle w:val="Textoindependiente"/>
        <w:spacing w:before="96" w:after="160" w:line="249" w:lineRule="auto"/>
        <w:ind w:left="0" w:right="-1"/>
        <w:rPr>
          <w:rFonts w:eastAsiaTheme="minorEastAsia"/>
          <w:w w:val="100"/>
        </w:rPr>
        <w:sectPr w:rsidR="00DA708B" w:rsidSect="0063130F">
          <w:type w:val="continuous"/>
          <w:pgSz w:w="11906" w:h="16838"/>
          <w:pgMar w:top="720" w:right="720" w:bottom="720" w:left="720" w:header="708" w:footer="708" w:gutter="0"/>
          <w:cols w:num="2" w:space="708"/>
          <w:docGrid w:linePitch="360"/>
        </w:sectPr>
      </w:pPr>
    </w:p>
    <w:p w14:paraId="591199AA" w14:textId="76EA2109" w:rsidR="00A77991" w:rsidRDefault="00632326" w:rsidP="00632326">
      <w:pPr>
        <w:pStyle w:val="Textoindependiente"/>
        <w:spacing w:before="96" w:after="160" w:line="249" w:lineRule="auto"/>
        <w:ind w:left="0" w:right="-1"/>
        <w:jc w:val="center"/>
        <w:rPr>
          <w:rFonts w:eastAsiaTheme="minorEastAsia"/>
          <w:w w:val="100"/>
        </w:rPr>
      </w:pPr>
      <w:r>
        <w:rPr>
          <w:rFonts w:eastAsiaTheme="minorEastAsia"/>
          <w:noProof/>
          <w:w w:val="100"/>
        </w:rPr>
        <w:drawing>
          <wp:inline distT="0" distB="0" distL="0" distR="0" wp14:anchorId="6DA2BEA4" wp14:editId="75BD25F7">
            <wp:extent cx="2590242" cy="1890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242" cy="1890000"/>
                    </a:xfrm>
                    <a:prstGeom prst="rect">
                      <a:avLst/>
                    </a:prstGeom>
                    <a:noFill/>
                    <a:ln>
                      <a:noFill/>
                    </a:ln>
                  </pic:spPr>
                </pic:pic>
              </a:graphicData>
            </a:graphic>
          </wp:inline>
        </w:drawing>
      </w:r>
      <w:r>
        <w:rPr>
          <w:rFonts w:eastAsiaTheme="minorEastAsia"/>
          <w:noProof/>
          <w:w w:val="100"/>
        </w:rPr>
        <w:drawing>
          <wp:inline distT="0" distB="0" distL="0" distR="0" wp14:anchorId="133BB1D5" wp14:editId="353131FC">
            <wp:extent cx="2588993" cy="18890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303" cy="1912665"/>
                    </a:xfrm>
                    <a:prstGeom prst="rect">
                      <a:avLst/>
                    </a:prstGeom>
                    <a:noFill/>
                    <a:ln>
                      <a:noFill/>
                    </a:ln>
                  </pic:spPr>
                </pic:pic>
              </a:graphicData>
            </a:graphic>
          </wp:inline>
        </w:drawing>
      </w:r>
    </w:p>
    <w:p w14:paraId="0F02447E" w14:textId="0441C4DA" w:rsidR="00632326" w:rsidRPr="00632326" w:rsidRDefault="00632326" w:rsidP="00632326">
      <w:pPr>
        <w:pStyle w:val="Textoindependiente"/>
        <w:numPr>
          <w:ilvl w:val="0"/>
          <w:numId w:val="11"/>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p>
    <w:p w14:paraId="75412D5B" w14:textId="21B4F780" w:rsidR="00632326" w:rsidRDefault="00632326" w:rsidP="00632326">
      <w:pPr>
        <w:pStyle w:val="Textoindependiente"/>
        <w:spacing w:before="96" w:after="160" w:line="249" w:lineRule="auto"/>
        <w:ind w:left="0" w:right="-1"/>
        <w:jc w:val="center"/>
        <w:rPr>
          <w:rFonts w:eastAsiaTheme="minorEastAsia"/>
          <w:w w:val="100"/>
        </w:rPr>
      </w:pPr>
      <w:r>
        <w:rPr>
          <w:rFonts w:eastAsiaTheme="minorEastAsia"/>
          <w:noProof/>
          <w:w w:val="100"/>
        </w:rPr>
        <w:drawing>
          <wp:inline distT="0" distB="0" distL="0" distR="0" wp14:anchorId="3687AC0A" wp14:editId="10EEB066">
            <wp:extent cx="2590241" cy="1890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241" cy="1890000"/>
                    </a:xfrm>
                    <a:prstGeom prst="rect">
                      <a:avLst/>
                    </a:prstGeom>
                    <a:noFill/>
                    <a:ln>
                      <a:noFill/>
                    </a:ln>
                  </pic:spPr>
                </pic:pic>
              </a:graphicData>
            </a:graphic>
          </wp:inline>
        </w:drawing>
      </w:r>
      <w:r>
        <w:rPr>
          <w:rFonts w:eastAsiaTheme="minorEastAsia"/>
          <w:noProof/>
          <w:w w:val="100"/>
        </w:rPr>
        <w:drawing>
          <wp:inline distT="0" distB="0" distL="0" distR="0" wp14:anchorId="3E2740A9" wp14:editId="34BBA9F2">
            <wp:extent cx="2590241" cy="18900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241" cy="1890000"/>
                    </a:xfrm>
                    <a:prstGeom prst="rect">
                      <a:avLst/>
                    </a:prstGeom>
                    <a:noFill/>
                    <a:ln>
                      <a:noFill/>
                    </a:ln>
                  </pic:spPr>
                </pic:pic>
              </a:graphicData>
            </a:graphic>
          </wp:inline>
        </w:drawing>
      </w:r>
    </w:p>
    <w:p w14:paraId="17C5A4DA" w14:textId="02613D5E" w:rsidR="00632326" w:rsidRPr="00632326" w:rsidRDefault="00632326" w:rsidP="00632326">
      <w:pPr>
        <w:pStyle w:val="Textoindependiente"/>
        <w:numPr>
          <w:ilvl w:val="0"/>
          <w:numId w:val="12"/>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r w:rsidRPr="00632326">
        <w:rPr>
          <w:rFonts w:eastAsiaTheme="minorEastAsia"/>
          <w:w w:val="100"/>
          <w:sz w:val="16"/>
          <w:szCs w:val="16"/>
        </w:rPr>
        <w:t>)</w:t>
      </w:r>
    </w:p>
    <w:p w14:paraId="54DAAF06" w14:textId="0F392BF8" w:rsidR="00CF5E9D" w:rsidRPr="00483510" w:rsidRDefault="00632326" w:rsidP="00CF5E9D">
      <w:pPr>
        <w:pStyle w:val="Textoindependiente"/>
        <w:spacing w:before="96" w:after="160" w:line="249" w:lineRule="auto"/>
        <w:ind w:left="720" w:right="1110"/>
        <w:rPr>
          <w:rFonts w:eastAsiaTheme="minorEastAsia"/>
          <w:color w:val="000000" w:themeColor="text1"/>
          <w:w w:val="100"/>
          <w:sz w:val="18"/>
          <w:szCs w:val="18"/>
        </w:rPr>
        <w:sectPr w:rsidR="00CF5E9D" w:rsidRPr="00483510" w:rsidSect="0072733A">
          <w:type w:val="continuous"/>
          <w:pgSz w:w="11906" w:h="16838"/>
          <w:pgMar w:top="720" w:right="720" w:bottom="720" w:left="720" w:header="708" w:footer="708" w:gutter="0"/>
          <w:cols w:space="708"/>
          <w:docGrid w:linePitch="360"/>
        </w:sectPr>
      </w:pPr>
      <w:r w:rsidRPr="00483510">
        <w:rPr>
          <w:b/>
          <w:w w:val="100"/>
          <w:sz w:val="18"/>
          <w:szCs w:val="18"/>
        </w:rPr>
        <w:t xml:space="preserve">Figura 2: </w:t>
      </w:r>
      <w:r w:rsidRPr="00483510">
        <w:rPr>
          <w:w w:val="100"/>
          <w:sz w:val="18"/>
          <w:szCs w:val="18"/>
        </w:rPr>
        <w:t>Curvas de supervivencia de Kaplan-Meier para pacientes críticos con COVID-19. Tasa de supervivencia acumulada a los 90 días para pacientes de</w:t>
      </w:r>
      <w:r w:rsidR="00491158" w:rsidRPr="00483510">
        <w:rPr>
          <w:w w:val="100"/>
          <w:sz w:val="18"/>
          <w:szCs w:val="18"/>
        </w:rPr>
        <w:t xml:space="preserve">l grupo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00491158" w:rsidRPr="00483510">
        <w:rPr>
          <w:rFonts w:eastAsiaTheme="minorEastAsia"/>
          <w:color w:val="000000" w:themeColor="text1"/>
          <w:w w:val="100"/>
          <w:sz w:val="18"/>
          <w:szCs w:val="18"/>
        </w:rPr>
        <w:t xml:space="preserve"> de acuerdo con (a) el sexo</w:t>
      </w:r>
      <w:r w:rsidR="00B66DB4" w:rsidRPr="00483510">
        <w:rPr>
          <w:rFonts w:eastAsiaTheme="minorEastAsia"/>
          <w:color w:val="000000" w:themeColor="text1"/>
          <w:w w:val="100"/>
          <w:sz w:val="18"/>
          <w:szCs w:val="18"/>
        </w:rPr>
        <w:t xml:space="preserve"> (Log-rank test: </w:t>
      </w:r>
      <m:oMath>
        <m:r>
          <w:rPr>
            <w:rFonts w:ascii="Cambria Math" w:eastAsiaTheme="minorEastAsia" w:hAnsi="Cambria Math"/>
            <w:color w:val="000000" w:themeColor="text1"/>
            <w:w w:val="100"/>
            <w:sz w:val="18"/>
            <w:szCs w:val="18"/>
          </w:rPr>
          <m:t>p=0.22</m:t>
        </m:r>
      </m:oMath>
      <w:r w:rsidR="00B66DB4" w:rsidRPr="00483510">
        <w:rPr>
          <w:rFonts w:eastAsiaTheme="minorEastAsia"/>
          <w:color w:val="000000" w:themeColor="text1"/>
          <w:w w:val="100"/>
          <w:sz w:val="18"/>
          <w:szCs w:val="18"/>
        </w:rPr>
        <w:t xml:space="preserve">) y (b) la edad (Log-rank test: </w:t>
      </w:r>
      <m:oMath>
        <m:r>
          <w:rPr>
            <w:rFonts w:ascii="Cambria Math" w:eastAsiaTheme="minorEastAsia" w:hAnsi="Cambria Math"/>
            <w:color w:val="000000" w:themeColor="text1"/>
            <w:w w:val="100"/>
            <w:sz w:val="18"/>
            <w:szCs w:val="18"/>
          </w:rPr>
          <m:t>p=0.00</m:t>
        </m:r>
      </m:oMath>
      <w:r w:rsidR="00B66DB4" w:rsidRPr="00483510">
        <w:rPr>
          <w:rFonts w:eastAsiaTheme="minorEastAsia"/>
          <w:color w:val="000000" w:themeColor="text1"/>
          <w:w w:val="100"/>
          <w:sz w:val="18"/>
          <w:szCs w:val="18"/>
        </w:rPr>
        <w:t>)</w:t>
      </w:r>
      <w:r w:rsidRPr="00483510">
        <w:rPr>
          <w:rFonts w:eastAsiaTheme="minorEastAsia"/>
          <w:color w:val="000000" w:themeColor="text1"/>
          <w:w w:val="100"/>
          <w:sz w:val="18"/>
          <w:szCs w:val="18"/>
        </w:rPr>
        <w:t xml:space="preserve">. </w:t>
      </w:r>
      <w:r w:rsidR="00491158" w:rsidRPr="00483510">
        <w:rPr>
          <w:w w:val="100"/>
          <w:sz w:val="18"/>
          <w:szCs w:val="18"/>
        </w:rPr>
        <w:t>Tasa de supervivencia acumulada a los 90 días para pacientes de</w:t>
      </w:r>
      <w:r w:rsidR="00CF5E9D" w:rsidRPr="00483510">
        <w:rPr>
          <w:w w:val="100"/>
          <w:sz w:val="18"/>
          <w:szCs w:val="18"/>
        </w:rPr>
        <w:t xml:space="preserve">l grupo </w:t>
      </w:r>
      <w:r w:rsidR="00491158" w:rsidRPr="00483510">
        <w:rPr>
          <w:bCs/>
          <w:color w:val="000000" w:themeColor="text1"/>
          <w:w w:val="100"/>
          <w:sz w:val="18"/>
          <w:szCs w:val="18"/>
        </w:rPr>
        <w:t>CC (</w:t>
      </w:r>
      <m:oMath>
        <m:r>
          <w:rPr>
            <w:rFonts w:ascii="Cambria Math" w:hAnsi="Cambria Math"/>
            <w:color w:val="000000" w:themeColor="text1"/>
            <w:w w:val="100"/>
            <w:sz w:val="18"/>
            <w:szCs w:val="18"/>
          </w:rPr>
          <m:t>T≥21</m:t>
        </m:r>
      </m:oMath>
      <w:r w:rsidR="00491158" w:rsidRPr="00483510">
        <w:rPr>
          <w:bCs/>
          <w:color w:val="000000" w:themeColor="text1"/>
          <w:w w:val="100"/>
          <w:sz w:val="18"/>
          <w:szCs w:val="18"/>
        </w:rPr>
        <w:t>)</w:t>
      </w:r>
      <w:r w:rsidR="00CF5E9D" w:rsidRPr="00483510">
        <w:rPr>
          <w:w w:val="100"/>
          <w:sz w:val="18"/>
          <w:szCs w:val="18"/>
        </w:rPr>
        <w:t xml:space="preserve"> de acuerdo con (c) el sexo (</w:t>
      </w:r>
      <w:r w:rsidR="00CF5E9D"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p=0.04</m:t>
        </m:r>
      </m:oMath>
      <w:r w:rsidR="00CF5E9D" w:rsidRPr="00483510">
        <w:rPr>
          <w:w w:val="100"/>
          <w:sz w:val="18"/>
          <w:szCs w:val="18"/>
        </w:rPr>
        <w:t>) y (d) la edad (</w:t>
      </w:r>
      <w:r w:rsidR="00CF5E9D" w:rsidRPr="00483510">
        <w:rPr>
          <w:rFonts w:eastAsiaTheme="minorEastAsia"/>
          <w:color w:val="000000" w:themeColor="text1"/>
          <w:w w:val="100"/>
          <w:sz w:val="18"/>
          <w:szCs w:val="18"/>
        </w:rPr>
        <w:t xml:space="preserve">Log-rank test: </w:t>
      </w:r>
      <m:oMath>
        <m:r>
          <w:rPr>
            <w:rFonts w:ascii="Cambria Math" w:eastAsiaTheme="minorEastAsia" w:hAnsi="Cambria Math"/>
            <w:color w:val="000000" w:themeColor="text1"/>
            <w:w w:val="100"/>
            <w:sz w:val="18"/>
            <w:szCs w:val="18"/>
          </w:rPr>
          <m:t>p=0.00</m:t>
        </m:r>
      </m:oMath>
      <w:r w:rsidR="00CF5E9D" w:rsidRPr="00483510">
        <w:rPr>
          <w:w w:val="100"/>
          <w:sz w:val="18"/>
          <w:szCs w:val="18"/>
        </w:rPr>
        <w:t>)</w:t>
      </w:r>
      <w:r w:rsidR="00491158" w:rsidRPr="00483510">
        <w:rPr>
          <w:rFonts w:eastAsiaTheme="minorEastAsia"/>
          <w:color w:val="000000" w:themeColor="text1"/>
          <w:w w:val="100"/>
          <w:sz w:val="18"/>
          <w:szCs w:val="18"/>
        </w:rPr>
        <w:t>.</w:t>
      </w:r>
      <w:r w:rsidR="00CF5E9D" w:rsidRPr="00483510">
        <w:rPr>
          <w:rFonts w:eastAsiaTheme="minorEastAsia"/>
          <w:color w:val="000000" w:themeColor="text1"/>
          <w:w w:val="100"/>
          <w:sz w:val="18"/>
          <w:szCs w:val="18"/>
        </w:rPr>
        <w:t xml:space="preserve"> </w:t>
      </w:r>
      <w:r w:rsidRPr="00483510">
        <w:rPr>
          <w:rFonts w:eastAsiaTheme="minorEastAsia"/>
          <w:color w:val="000000" w:themeColor="text1"/>
          <w:w w:val="100"/>
          <w:sz w:val="18"/>
          <w:szCs w:val="18"/>
        </w:rPr>
        <w:t>El símbolo “+” representa los datos censurados</w:t>
      </w:r>
      <w:r w:rsidR="00CF5E9D" w:rsidRPr="00483510">
        <w:rPr>
          <w:rFonts w:eastAsiaTheme="minorEastAsia"/>
          <w:color w:val="000000" w:themeColor="text1"/>
          <w:w w:val="100"/>
          <w:sz w:val="18"/>
          <w:szCs w:val="18"/>
        </w:rPr>
        <w:t>.</w:t>
      </w:r>
    </w:p>
    <w:p w14:paraId="5ABD6BC8" w14:textId="77777777" w:rsidR="00CF5E9D" w:rsidRDefault="00CF5E9D" w:rsidP="00CF5E9D">
      <w:pPr>
        <w:pStyle w:val="Textoindependiente"/>
        <w:spacing w:before="96" w:line="249" w:lineRule="auto"/>
        <w:ind w:left="0" w:right="-1"/>
        <w:rPr>
          <w:rFonts w:eastAsiaTheme="minorEastAsia"/>
          <w:i/>
          <w:iCs/>
          <w:w w:val="100"/>
        </w:rPr>
        <w:sectPr w:rsidR="00CF5E9D" w:rsidSect="00DA708B">
          <w:type w:val="continuous"/>
          <w:pgSz w:w="11906" w:h="16838"/>
          <w:pgMar w:top="720" w:right="720" w:bottom="720" w:left="720" w:header="708" w:footer="708" w:gutter="0"/>
          <w:cols w:space="708"/>
          <w:docGrid w:linePitch="360"/>
        </w:sectPr>
      </w:pPr>
    </w:p>
    <w:p w14:paraId="5372FD1F" w14:textId="70BE9740" w:rsidR="00AC136E" w:rsidRPr="0063130F" w:rsidRDefault="00AC136E" w:rsidP="00AC136E">
      <w:pPr>
        <w:pStyle w:val="Textoindependiente"/>
        <w:numPr>
          <w:ilvl w:val="2"/>
          <w:numId w:val="6"/>
        </w:numPr>
        <w:spacing w:before="96" w:line="249" w:lineRule="auto"/>
        <w:ind w:left="0" w:right="-1" w:firstLine="0"/>
        <w:rPr>
          <w:i/>
          <w:iCs/>
          <w:w w:val="100"/>
        </w:rPr>
      </w:pPr>
      <w:r w:rsidRPr="0063130F">
        <w:rPr>
          <w:rFonts w:eastAsiaTheme="minorEastAsia"/>
          <w:i/>
          <w:iCs/>
          <w:w w:val="100"/>
        </w:rPr>
        <w:t>Estimador no-paramétri</w:t>
      </w:r>
      <w:r w:rsidR="00E25718">
        <w:rPr>
          <w:rFonts w:eastAsiaTheme="minorEastAsia"/>
          <w:i/>
          <w:iCs/>
          <w:w w:val="100"/>
        </w:rPr>
        <w:t>co</w:t>
      </w:r>
      <w:r w:rsidRPr="0063130F">
        <w:rPr>
          <w:rFonts w:eastAsiaTheme="minorEastAsia"/>
          <w:i/>
          <w:iCs/>
          <w:w w:val="100"/>
        </w:rPr>
        <w:t xml:space="preserve"> de Kaplan-Meier</w:t>
      </w:r>
    </w:p>
    <w:p w14:paraId="359F44BD" w14:textId="7CF9BCED" w:rsidR="00BD0AEE" w:rsidRDefault="00AC136E" w:rsidP="00BD0AEE">
      <w:pPr>
        <w:pStyle w:val="Textoindependiente"/>
        <w:spacing w:before="96" w:after="160" w:line="249" w:lineRule="auto"/>
        <w:ind w:left="0" w:right="-1" w:firstLine="284"/>
        <w:rPr>
          <w:rFonts w:eastAsiaTheme="minorEastAsia"/>
          <w:iCs/>
          <w:w w:val="100"/>
        </w:rPr>
      </w:pPr>
      <w:r>
        <w:rPr>
          <w:rFonts w:eastAsiaTheme="minorEastAsia"/>
          <w:w w:val="100"/>
        </w:rPr>
        <w:t>La estimación no-paramétrica de Kaplan-Meier sugier</w:t>
      </w:r>
      <w:r w:rsidR="00E25718">
        <w:rPr>
          <w:rFonts w:eastAsiaTheme="minorEastAsia"/>
          <w:w w:val="100"/>
        </w:rPr>
        <w:t>e</w:t>
      </w:r>
      <w:r>
        <w:rPr>
          <w:rFonts w:eastAsiaTheme="minorEastAsia"/>
          <w:w w:val="100"/>
        </w:rPr>
        <w:t xml:space="preserve"> una tasa de supervivencia en UCI a los 30 días de </w:t>
      </w:r>
      <m:oMath>
        <m:r>
          <w:rPr>
            <w:rFonts w:ascii="Cambria Math" w:eastAsiaTheme="minorEastAsia" w:hAnsi="Cambria Math"/>
            <w:w w:val="100"/>
          </w:rPr>
          <m:t xml:space="preserve">47.03% </m:t>
        </m:r>
        <m:d>
          <m:dPr>
            <m:ctrlPr>
              <w:rPr>
                <w:rFonts w:ascii="Cambria Math" w:eastAsiaTheme="minorEastAsia" w:hAnsi="Cambria Math"/>
                <w:iCs/>
                <w:w w:val="100"/>
              </w:rPr>
            </m:ctrlPr>
          </m:dPr>
          <m:e>
            <m:r>
              <m:rPr>
                <m:sty m:val="p"/>
              </m:rPr>
              <w:rPr>
                <w:rFonts w:ascii="Cambria Math" w:eastAsiaTheme="minorEastAsia" w:hAnsi="Cambria Math"/>
                <w:w w:val="100"/>
              </w:rPr>
              <m:t>95% IC:44-49.9</m:t>
            </m:r>
          </m:e>
        </m:d>
        <m:r>
          <m:rPr>
            <m:sty m:val="p"/>
          </m:rPr>
          <w:rPr>
            <w:rFonts w:ascii="Cambria Math" w:eastAsiaTheme="minorEastAsia" w:hAnsi="Cambria Math"/>
            <w:w w:val="100"/>
          </w:rPr>
          <m:t>.</m:t>
        </m:r>
      </m:oMath>
      <w:r>
        <w:rPr>
          <w:rFonts w:eastAsiaTheme="minorEastAsia"/>
          <w:iCs/>
          <w:w w:val="100"/>
        </w:rPr>
        <w:t xml:space="preserve"> La tasa de </w:t>
      </w:r>
      <w:r w:rsidR="00E25718">
        <w:rPr>
          <w:rFonts w:eastAsiaTheme="minorEastAsia"/>
          <w:iCs/>
          <w:w w:val="100"/>
        </w:rPr>
        <w:t>mortalidad</w:t>
      </w:r>
      <w:r>
        <w:rPr>
          <w:rFonts w:eastAsiaTheme="minorEastAsia"/>
          <w:iCs/>
          <w:w w:val="100"/>
        </w:rPr>
        <w:t xml:space="preserve"> en UCI es superior en pacientes mayores de 65 años (log-rank test: </w:t>
      </w:r>
      <m:oMath>
        <m:r>
          <w:rPr>
            <w:rFonts w:ascii="Cambria Math" w:eastAsiaTheme="minorEastAsia" w:hAnsi="Cambria Math"/>
            <w:w w:val="100"/>
          </w:rPr>
          <m:t>p&lt;0.01</m:t>
        </m:r>
      </m:oMath>
      <w:r>
        <w:rPr>
          <w:rFonts w:eastAsiaTheme="minorEastAsia"/>
          <w:iCs/>
          <w:w w:val="100"/>
        </w:rPr>
        <w:t xml:space="preserve">). </w:t>
      </w:r>
      <w:r w:rsidR="00E25718">
        <w:rPr>
          <w:rFonts w:eastAsiaTheme="minorEastAsia"/>
          <w:iCs/>
          <w:w w:val="100"/>
        </w:rPr>
        <w:t>L</w:t>
      </w:r>
      <w:r>
        <w:rPr>
          <w:rFonts w:eastAsiaTheme="minorEastAsia"/>
          <w:iCs/>
          <w:w w:val="100"/>
        </w:rPr>
        <w:t xml:space="preserve">a tasa de supervivencia en UCI a los 30 días en el grupo CC es mayor que en el grupo no-CC (84.3% [95% </w:t>
      </w:r>
      <w:r>
        <w:rPr>
          <w:rFonts w:eastAsiaTheme="minorEastAsia"/>
          <w:iCs/>
          <w:w w:val="100"/>
        </w:rPr>
        <w:t xml:space="preserve">IC: 77.6 – 89.1] vs. 34.2%[95% IC: 29.9 – 38.6], </w:t>
      </w:r>
      <m:oMath>
        <m:r>
          <w:rPr>
            <w:rFonts w:ascii="Cambria Math" w:eastAsiaTheme="minorEastAsia" w:hAnsi="Cambria Math"/>
            <w:w w:val="100"/>
          </w:rPr>
          <m:t>p&lt;0.01</m:t>
        </m:r>
      </m:oMath>
      <w:r>
        <w:rPr>
          <w:rFonts w:eastAsiaTheme="minorEastAsia"/>
          <w:iCs/>
          <w:w w:val="100"/>
        </w:rPr>
        <w:t>) (</w:t>
      </w:r>
      <w:r w:rsidRPr="00AC136E">
        <w:rPr>
          <w:rFonts w:eastAsiaTheme="minorEastAsia"/>
          <w:b/>
          <w:bCs/>
          <w:iCs/>
          <w:w w:val="100"/>
        </w:rPr>
        <w:t>Figura 4</w:t>
      </w:r>
      <w:r>
        <w:rPr>
          <w:rFonts w:eastAsiaTheme="minorEastAsia"/>
          <w:iCs/>
          <w:w w:val="100"/>
        </w:rPr>
        <w:t xml:space="preserve">). </w:t>
      </w:r>
    </w:p>
    <w:p w14:paraId="2D2ADE1D" w14:textId="7298CEE0" w:rsidR="00AC136E" w:rsidRDefault="00AC136E" w:rsidP="00BD0AEE">
      <w:pPr>
        <w:pStyle w:val="Textoindependiente"/>
        <w:spacing w:before="96" w:after="160" w:line="249" w:lineRule="auto"/>
        <w:ind w:left="0" w:right="-1" w:firstLine="284"/>
        <w:rPr>
          <w:rFonts w:eastAsiaTheme="minorEastAsia"/>
          <w:iCs/>
          <w:w w:val="100"/>
        </w:rPr>
      </w:pPr>
      <w:r>
        <w:rPr>
          <w:rFonts w:eastAsiaTheme="minorEastAsia"/>
          <w:iCs/>
          <w:w w:val="100"/>
        </w:rPr>
        <w:t xml:space="preserve">Si bien la tasa de supervivencia acumulada en UCI es menor en pacientes de sexo masculino, no existe evidencia —ni en el grupo CC (log-rank test: </w:t>
      </w:r>
      <m:oMath>
        <m:r>
          <w:rPr>
            <w:rFonts w:ascii="Cambria Math" w:eastAsiaTheme="minorEastAsia" w:hAnsi="Cambria Math"/>
            <w:w w:val="100"/>
          </w:rPr>
          <m:t>p=0.62</m:t>
        </m:r>
      </m:oMath>
      <w:r>
        <w:rPr>
          <w:rFonts w:eastAsiaTheme="minorEastAsia"/>
          <w:iCs/>
          <w:w w:val="100"/>
        </w:rPr>
        <w:t xml:space="preserve">) ni en el grupo no-CC (log-rank test: </w:t>
      </w:r>
      <m:oMath>
        <m:r>
          <w:rPr>
            <w:rFonts w:ascii="Cambria Math" w:eastAsiaTheme="minorEastAsia" w:hAnsi="Cambria Math"/>
            <w:w w:val="100"/>
          </w:rPr>
          <m:t>p=0.28</m:t>
        </m:r>
      </m:oMath>
      <w:r>
        <w:rPr>
          <w:rFonts w:eastAsiaTheme="minorEastAsia"/>
          <w:iCs/>
          <w:w w:val="100"/>
        </w:rPr>
        <w:t xml:space="preserve">)— de una diferencia significativa entre las curvas de supervivencia estimadas </w:t>
      </w:r>
      <w:r>
        <w:rPr>
          <w:rFonts w:eastAsiaTheme="minorEastAsia"/>
          <w:iCs/>
          <w:w w:val="100"/>
        </w:rPr>
        <w:lastRenderedPageBreak/>
        <w:t>según el sexo (</w:t>
      </w:r>
      <w:r w:rsidRPr="00E25718">
        <w:rPr>
          <w:rFonts w:eastAsiaTheme="minorEastAsia"/>
          <w:b/>
          <w:bCs/>
          <w:iCs/>
          <w:w w:val="100"/>
        </w:rPr>
        <w:t xml:space="preserve">Figuras </w:t>
      </w:r>
      <w:r w:rsidR="00E25718" w:rsidRPr="00E25718">
        <w:rPr>
          <w:rFonts w:eastAsiaTheme="minorEastAsia"/>
          <w:b/>
          <w:bCs/>
          <w:iCs/>
          <w:w w:val="100"/>
        </w:rPr>
        <w:t>2c</w:t>
      </w:r>
      <w:r w:rsidR="00E25718">
        <w:rPr>
          <w:rFonts w:eastAsiaTheme="minorEastAsia"/>
          <w:iCs/>
          <w:w w:val="100"/>
        </w:rPr>
        <w:t xml:space="preserve"> y </w:t>
      </w:r>
      <w:r w:rsidR="00E25718" w:rsidRPr="00E25718">
        <w:rPr>
          <w:rFonts w:eastAsiaTheme="minorEastAsia"/>
          <w:b/>
          <w:bCs/>
          <w:iCs/>
          <w:w w:val="100"/>
        </w:rPr>
        <w:t>2a</w:t>
      </w:r>
      <w:r>
        <w:rPr>
          <w:rFonts w:eastAsiaTheme="minorEastAsia"/>
          <w:iCs/>
          <w:w w:val="100"/>
        </w:rPr>
        <w:t>)</w:t>
      </w:r>
      <w:r w:rsidR="00E25718">
        <w:rPr>
          <w:rFonts w:eastAsiaTheme="minorEastAsia"/>
          <w:iCs/>
          <w:w w:val="100"/>
        </w:rPr>
        <w:t xml:space="preserve">. Se conserva la diferencia según grupos etarios: para el grupo CC, la tasa de supervivencia en UCI a los 30 días es menor en pacientes mayores de 65 años (22.9% [18.1 – 28.2] vs. 48.8% [41.5 – 55.8], </w:t>
      </w:r>
      <m:oMath>
        <m:r>
          <w:rPr>
            <w:rFonts w:ascii="Cambria Math" w:eastAsiaTheme="minorEastAsia" w:hAnsi="Cambria Math"/>
            <w:w w:val="100"/>
          </w:rPr>
          <m:t>p&lt;0.01</m:t>
        </m:r>
      </m:oMath>
      <w:r w:rsidR="00E25718">
        <w:rPr>
          <w:rFonts w:eastAsiaTheme="minorEastAsia"/>
          <w:iCs/>
          <w:w w:val="100"/>
        </w:rPr>
        <w:t>) (</w:t>
      </w:r>
      <w:r w:rsidR="00E25718" w:rsidRPr="00E25718">
        <w:rPr>
          <w:rFonts w:eastAsiaTheme="minorEastAsia"/>
          <w:b/>
          <w:bCs/>
          <w:iCs/>
          <w:w w:val="100"/>
        </w:rPr>
        <w:t>Figura 2b</w:t>
      </w:r>
      <w:r w:rsidR="00E25718">
        <w:rPr>
          <w:rFonts w:eastAsiaTheme="minorEastAsia"/>
          <w:iCs/>
          <w:w w:val="100"/>
        </w:rPr>
        <w:t xml:space="preserve">). Lo mismo valdría decir sobre el grupo de pacientes no-CC (75.5% [64 – 83.8] vs. 91.6% [83.1 – 95.9], </w:t>
      </w:r>
      <m:oMath>
        <m:r>
          <w:rPr>
            <w:rFonts w:ascii="Cambria Math" w:eastAsiaTheme="minorEastAsia" w:hAnsi="Cambria Math"/>
            <w:w w:val="100"/>
          </w:rPr>
          <m:t>p&lt;0.01</m:t>
        </m:r>
      </m:oMath>
      <w:r w:rsidR="00E25718">
        <w:rPr>
          <w:rFonts w:eastAsiaTheme="minorEastAsia"/>
          <w:iCs/>
          <w:w w:val="100"/>
        </w:rPr>
        <w:t>) (</w:t>
      </w:r>
      <w:r w:rsidR="00E25718" w:rsidRPr="00E25718">
        <w:rPr>
          <w:rFonts w:eastAsiaTheme="minorEastAsia"/>
          <w:b/>
          <w:bCs/>
          <w:iCs/>
          <w:w w:val="100"/>
        </w:rPr>
        <w:t>Figura 2d</w:t>
      </w:r>
      <w:r w:rsidR="00E25718">
        <w:rPr>
          <w:rFonts w:eastAsiaTheme="minorEastAsia"/>
          <w:iCs/>
          <w:w w:val="100"/>
        </w:rPr>
        <w:t>).</w:t>
      </w:r>
    </w:p>
    <w:p w14:paraId="5CAF9809" w14:textId="4F1E153A" w:rsidR="00E25718" w:rsidRPr="00E25718" w:rsidRDefault="00E25718" w:rsidP="00E25718">
      <w:pPr>
        <w:pStyle w:val="Textoindependiente"/>
        <w:numPr>
          <w:ilvl w:val="2"/>
          <w:numId w:val="6"/>
        </w:numPr>
        <w:spacing w:before="96" w:line="249" w:lineRule="auto"/>
        <w:ind w:left="0" w:right="-1" w:firstLine="0"/>
        <w:rPr>
          <w:i/>
          <w:iCs/>
          <w:w w:val="100"/>
        </w:rPr>
      </w:pPr>
      <w:r>
        <w:rPr>
          <w:rFonts w:eastAsiaTheme="minorEastAsia"/>
          <w:i/>
          <w:iCs/>
          <w:w w:val="100"/>
        </w:rPr>
        <w:t>Modelo paramétrico</w:t>
      </w:r>
    </w:p>
    <w:p w14:paraId="50212CCF" w14:textId="5389FF9A" w:rsidR="00E25718" w:rsidRDefault="0086534C" w:rsidP="00E25718">
      <w:pPr>
        <w:pStyle w:val="Textoindependiente"/>
        <w:spacing w:before="96" w:line="249" w:lineRule="auto"/>
        <w:ind w:left="0" w:right="-1" w:firstLine="284"/>
        <w:rPr>
          <w:rFonts w:eastAsiaTheme="minorEastAsia"/>
          <w:w w:val="100"/>
        </w:rPr>
      </w:pPr>
      <w:r>
        <w:rPr>
          <w:rFonts w:eastAsiaTheme="minorEastAsia"/>
          <w:w w:val="100"/>
        </w:rPr>
        <w:t xml:space="preserve">Siguiendo la parametrización original de Stacy </w:t>
      </w:r>
      <w:r w:rsidR="004E012B">
        <w:rPr>
          <w:rFonts w:eastAsiaTheme="minorEastAsia"/>
          <w:w w:val="100"/>
        </w:rPr>
        <w:fldChar w:fldCharType="begin" w:fldLock="1"/>
      </w:r>
      <w:r w:rsidR="00DA708B">
        <w:rPr>
          <w:rFonts w:eastAsiaTheme="minorEastAsia"/>
          <w:w w:val="100"/>
        </w:rPr>
        <w:instrText>ADDIN CSL_CITATION {"citationItems":[{"id":"ITEM-1","itemData":{"author":[{"dropping-particle":"","family":"Stacy","given":"E.W.","non-dropping-particle":"","parse-names":false,"suffix":""}],"container-title":"Annals of Mathematical Statistics","id":"ITEM-1","issued":{"date-parts":[["1962"]]},"page":"1187 - 1192","title":"A generalization of the gamma distribution","type":"article-journal","volume":"33"},"uris":["http://www.mendeley.com/documents/?uuid=1dbca118-bf94-4942-b585-0949cc8c51ac"]}],"mendeley":{"formattedCitation":"(29)","plainTextFormattedCitation":"(29)","previouslyFormattedCitation":"(29)"},"properties":{"noteIndex":0},"schema":"https://github.com/citation-style-language/schema/raw/master/csl-citation.json"}</w:instrText>
      </w:r>
      <w:r w:rsidR="004E012B">
        <w:rPr>
          <w:rFonts w:eastAsiaTheme="minorEastAsia"/>
          <w:w w:val="100"/>
        </w:rPr>
        <w:fldChar w:fldCharType="separate"/>
      </w:r>
      <w:r w:rsidR="004E012B" w:rsidRPr="004E012B">
        <w:rPr>
          <w:rFonts w:eastAsiaTheme="minorEastAsia"/>
          <w:noProof/>
          <w:w w:val="100"/>
        </w:rPr>
        <w:t>(29)</w:t>
      </w:r>
      <w:r w:rsidR="004E012B">
        <w:rPr>
          <w:rFonts w:eastAsiaTheme="minorEastAsia"/>
          <w:w w:val="100"/>
        </w:rPr>
        <w:fldChar w:fldCharType="end"/>
      </w:r>
      <w:r w:rsidR="004E012B">
        <w:rPr>
          <w:rFonts w:eastAsiaTheme="minorEastAsia"/>
          <w:w w:val="100"/>
        </w:rPr>
        <w:t xml:space="preserve">, el tiempo de permanencia en UCI se ajusta a una distribución gamma generalizada con parámetros </w:t>
      </w:r>
      <m:oMath>
        <m:r>
          <w:rPr>
            <w:rFonts w:ascii="Cambria Math" w:eastAsiaTheme="minorEastAsia" w:hAnsi="Cambria Math"/>
            <w:w w:val="100"/>
          </w:rPr>
          <m:t>b=0.306 (0.0118)</m:t>
        </m:r>
      </m:oMath>
      <w:r w:rsidR="004E012B">
        <w:rPr>
          <w:rFonts w:eastAsiaTheme="minorEastAsia"/>
          <w:w w:val="100"/>
        </w:rPr>
        <w:t xml:space="preserve">, </w:t>
      </w:r>
      <m:oMath>
        <m:r>
          <w:rPr>
            <w:rFonts w:ascii="Cambria Math" w:eastAsiaTheme="minorEastAsia" w:hAnsi="Cambria Math"/>
            <w:w w:val="100"/>
          </w:rPr>
          <m:t>a=0.025 (0.0114)</m:t>
        </m:r>
      </m:oMath>
      <w:r w:rsidR="004E012B">
        <w:rPr>
          <w:rFonts w:eastAsiaTheme="minorEastAsia"/>
          <w:w w:val="100"/>
        </w:rPr>
        <w:t xml:space="preserve"> y </w:t>
      </w:r>
      <m:oMath>
        <m:r>
          <w:rPr>
            <w:rFonts w:ascii="Cambria Math" w:eastAsiaTheme="minorEastAsia" w:hAnsi="Cambria Math"/>
            <w:w w:val="100"/>
          </w:rPr>
          <m:t xml:space="preserve">k=6.203 </m:t>
        </m:r>
        <m:d>
          <m:dPr>
            <m:ctrlPr>
              <w:rPr>
                <w:rFonts w:ascii="Cambria Math" w:eastAsiaTheme="minorEastAsia" w:hAnsi="Cambria Math"/>
                <w:i/>
                <w:w w:val="100"/>
              </w:rPr>
            </m:ctrlPr>
          </m:dPr>
          <m:e>
            <m:r>
              <w:rPr>
                <w:rFonts w:ascii="Cambria Math" w:eastAsiaTheme="minorEastAsia" w:hAnsi="Cambria Math"/>
                <w:w w:val="100"/>
              </w:rPr>
              <m:t>0.4504</m:t>
            </m:r>
          </m:e>
        </m:d>
      </m:oMath>
      <w:r w:rsidR="004E012B">
        <w:rPr>
          <w:rFonts w:eastAsiaTheme="minorEastAsia"/>
          <w:w w:val="100"/>
        </w:rPr>
        <w:t>. El tiempo mediano de permanencia estimado es 8.</w:t>
      </w:r>
      <w:r w:rsidR="006A79AD">
        <w:rPr>
          <w:rFonts w:eastAsiaTheme="minorEastAsia"/>
          <w:w w:val="100"/>
        </w:rPr>
        <w:t>09</w:t>
      </w:r>
      <w:r w:rsidR="004E012B">
        <w:rPr>
          <w:rFonts w:eastAsiaTheme="minorEastAsia"/>
          <w:w w:val="100"/>
        </w:rPr>
        <w:t xml:space="preserve"> días (3.1</w:t>
      </w:r>
      <w:r w:rsidR="006A79AD">
        <w:rPr>
          <w:rFonts w:eastAsiaTheme="minorEastAsia"/>
          <w:w w:val="100"/>
        </w:rPr>
        <w:t>4</w:t>
      </w:r>
      <w:r w:rsidR="004E012B">
        <w:rPr>
          <w:rFonts w:eastAsiaTheme="minorEastAsia"/>
          <w:w w:val="100"/>
        </w:rPr>
        <w:t xml:space="preserve"> – 19.2</w:t>
      </w:r>
      <w:r w:rsidR="006A79AD">
        <w:rPr>
          <w:rFonts w:eastAsiaTheme="minorEastAsia"/>
          <w:w w:val="100"/>
        </w:rPr>
        <w:t>2</w:t>
      </w:r>
      <w:r w:rsidR="004E012B">
        <w:rPr>
          <w:rFonts w:eastAsiaTheme="minorEastAsia"/>
          <w:w w:val="100"/>
        </w:rPr>
        <w:t>).</w:t>
      </w:r>
      <w:r w:rsidR="006A79AD">
        <w:rPr>
          <w:rFonts w:eastAsiaTheme="minorEastAsia"/>
          <w:w w:val="100"/>
        </w:rPr>
        <w:t xml:space="preserve"> </w:t>
      </w:r>
      <w:r w:rsidR="004E012B">
        <w:rPr>
          <w:rFonts w:eastAsiaTheme="minorEastAsia"/>
          <w:w w:val="100"/>
        </w:rPr>
        <w:t>La estimación del tiempo mediano de permanencia en UCI es inferior en personas mayores de 65 años (</w:t>
      </w:r>
      <w:r w:rsidR="006A79AD">
        <w:rPr>
          <w:rFonts w:eastAsiaTheme="minorEastAsia"/>
          <w:w w:val="100"/>
        </w:rPr>
        <w:t xml:space="preserve">9.99 [3.74 – 23.89] vs. 6.9 [2.79 – 15.82], </w:t>
      </w:r>
      <m:oMath>
        <m:r>
          <w:rPr>
            <w:rFonts w:ascii="Cambria Math" w:eastAsiaTheme="minorEastAsia" w:hAnsi="Cambria Math"/>
            <w:w w:val="100"/>
          </w:rPr>
          <m:t>p&lt;0.01</m:t>
        </m:r>
      </m:oMath>
      <w:r w:rsidR="004E012B">
        <w:rPr>
          <w:rFonts w:eastAsiaTheme="minorEastAsia"/>
          <w:w w:val="100"/>
        </w:rPr>
        <w:t>)</w:t>
      </w:r>
      <w:r w:rsidR="006A79AD">
        <w:rPr>
          <w:rFonts w:eastAsiaTheme="minorEastAsia"/>
          <w:w w:val="100"/>
        </w:rPr>
        <w:t>. Para el grupo de pacientes CC, el tiempo mediano de estancia es 40.63 días (29.03 – 55.49); para el grupo no-CC, 4.97 días (2.32 – 9.19) (</w:t>
      </w:r>
      <w:r w:rsidR="006A79AD" w:rsidRPr="006A79AD">
        <w:rPr>
          <w:rFonts w:eastAsiaTheme="minorEastAsia"/>
          <w:b/>
          <w:bCs/>
          <w:w w:val="100"/>
        </w:rPr>
        <w:t>Figura 3</w:t>
      </w:r>
      <w:r w:rsidR="006A79AD">
        <w:rPr>
          <w:rFonts w:eastAsiaTheme="minorEastAsia"/>
          <w:w w:val="100"/>
        </w:rPr>
        <w:t>).</w:t>
      </w:r>
    </w:p>
    <w:p w14:paraId="222B2DA4" w14:textId="6D82BF12" w:rsidR="00CF5E9D" w:rsidRDefault="00CF5E9D" w:rsidP="00E25718">
      <w:pPr>
        <w:pStyle w:val="Textoindependiente"/>
        <w:spacing w:before="96" w:line="249" w:lineRule="auto"/>
        <w:ind w:left="0" w:right="-1" w:firstLine="284"/>
        <w:rPr>
          <w:rFonts w:eastAsiaTheme="minorEastAsia"/>
          <w:w w:val="100"/>
        </w:rPr>
      </w:pPr>
    </w:p>
    <w:p w14:paraId="4BE91537" w14:textId="79407DC2" w:rsidR="00CF5E9D" w:rsidRDefault="00CF5E9D" w:rsidP="00E25718">
      <w:pPr>
        <w:pStyle w:val="Textoindependiente"/>
        <w:spacing w:before="96" w:line="249" w:lineRule="auto"/>
        <w:ind w:left="0" w:right="-1" w:firstLine="284"/>
        <w:rPr>
          <w:rFonts w:eastAsiaTheme="minorEastAsia"/>
          <w:w w:val="100"/>
        </w:rPr>
      </w:pPr>
      <w:r>
        <w:rPr>
          <w:rFonts w:eastAsiaTheme="minorEastAsia"/>
          <w:noProof/>
          <w:w w:val="100"/>
        </w:rPr>
        <w:drawing>
          <wp:inline distT="0" distB="0" distL="0" distR="0" wp14:anchorId="3BABB09C" wp14:editId="49182A34">
            <wp:extent cx="2719346" cy="3124213"/>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743" cy="3133860"/>
                    </a:xfrm>
                    <a:prstGeom prst="rect">
                      <a:avLst/>
                    </a:prstGeom>
                    <a:noFill/>
                    <a:ln>
                      <a:noFill/>
                    </a:ln>
                  </pic:spPr>
                </pic:pic>
              </a:graphicData>
            </a:graphic>
          </wp:inline>
        </w:drawing>
      </w:r>
    </w:p>
    <w:p w14:paraId="07236E2C" w14:textId="77777777" w:rsidR="00CF5E9D" w:rsidRDefault="00CF5E9D" w:rsidP="00E25718">
      <w:pPr>
        <w:pStyle w:val="Textoindependiente"/>
        <w:spacing w:before="96" w:line="249" w:lineRule="auto"/>
        <w:ind w:left="0" w:right="-1" w:firstLine="284"/>
        <w:rPr>
          <w:rFonts w:eastAsiaTheme="minorEastAsia"/>
          <w:w w:val="100"/>
        </w:rPr>
      </w:pPr>
    </w:p>
    <w:p w14:paraId="21BCE64F" w14:textId="4C1B2E33" w:rsidR="00483510" w:rsidRPr="003E14B5" w:rsidRDefault="00483510" w:rsidP="00483510">
      <w:pPr>
        <w:pStyle w:val="Textoindependiente"/>
        <w:spacing w:before="96" w:line="249" w:lineRule="auto"/>
        <w:ind w:left="567" w:right="343"/>
        <w:rPr>
          <w:rFonts w:eastAsiaTheme="minorEastAsia"/>
          <w:w w:val="100"/>
          <w:sz w:val="16"/>
          <w:szCs w:val="16"/>
        </w:rPr>
      </w:pPr>
      <w:r w:rsidRPr="003E14B5">
        <w:rPr>
          <w:rFonts w:eastAsiaTheme="minorEastAsia"/>
          <w:b/>
          <w:w w:val="100"/>
          <w:sz w:val="16"/>
          <w:szCs w:val="16"/>
        </w:rPr>
        <w:t xml:space="preserve">Figura 3: </w:t>
      </w:r>
      <w:r w:rsidR="0073107F" w:rsidRPr="003E14B5">
        <w:rPr>
          <w:rFonts w:eastAsiaTheme="minorEastAsia"/>
          <w:w w:val="100"/>
          <w:sz w:val="16"/>
          <w:szCs w:val="16"/>
        </w:rPr>
        <w:t>Función de densidad de</w:t>
      </w:r>
      <w:r w:rsidR="003E14B5" w:rsidRPr="003E14B5">
        <w:rPr>
          <w:rFonts w:eastAsiaTheme="minorEastAsia"/>
          <w:w w:val="100"/>
          <w:sz w:val="16"/>
          <w:szCs w:val="16"/>
        </w:rPr>
        <w:t xml:space="preserve">l tiempo de permanencia en UCI (días) para pacientes de </w:t>
      </w:r>
      <w:r w:rsidR="003E14B5" w:rsidRPr="003E14B5">
        <w:rPr>
          <w:w w:val="100"/>
          <w:sz w:val="16"/>
          <w:szCs w:val="16"/>
        </w:rPr>
        <w:t xml:space="preserve">los grupos </w:t>
      </w:r>
      <w:r w:rsidR="003E14B5" w:rsidRPr="003E14B5">
        <w:rPr>
          <w:bCs/>
          <w:color w:val="000000" w:themeColor="text1"/>
          <w:w w:val="100"/>
          <w:sz w:val="16"/>
          <w:szCs w:val="16"/>
        </w:rPr>
        <w:t>CC (</w:t>
      </w:r>
      <m:oMath>
        <m:r>
          <w:rPr>
            <w:rFonts w:ascii="Cambria Math" w:hAnsi="Cambria Math"/>
            <w:color w:val="000000" w:themeColor="text1"/>
            <w:w w:val="100"/>
            <w:sz w:val="16"/>
            <w:szCs w:val="16"/>
          </w:rPr>
          <m:t>T≥21</m:t>
        </m:r>
      </m:oMath>
      <w:r w:rsidR="003E14B5" w:rsidRPr="003E14B5">
        <w:rPr>
          <w:bCs/>
          <w:color w:val="000000" w:themeColor="text1"/>
          <w:w w:val="100"/>
          <w:sz w:val="16"/>
          <w:szCs w:val="16"/>
        </w:rPr>
        <w:t>)</w:t>
      </w:r>
      <w:r w:rsidR="003E14B5" w:rsidRPr="003E14B5">
        <w:rPr>
          <w:w w:val="100"/>
          <w:sz w:val="16"/>
          <w:szCs w:val="16"/>
        </w:rPr>
        <w:t xml:space="preserve"> y </w:t>
      </w:r>
      <w:r w:rsidR="003E14B5" w:rsidRPr="003E14B5">
        <w:rPr>
          <w:bCs/>
          <w:color w:val="000000" w:themeColor="text1"/>
          <w:w w:val="100"/>
          <w:sz w:val="16"/>
          <w:szCs w:val="16"/>
        </w:rPr>
        <w:t>no-CC</w:t>
      </w:r>
      <m:oMath>
        <m:r>
          <w:rPr>
            <w:rFonts w:ascii="Cambria Math" w:hAnsi="Cambria Math"/>
            <w:color w:val="000000" w:themeColor="text1"/>
            <w:w w:val="100"/>
            <w:sz w:val="16"/>
            <w:szCs w:val="16"/>
          </w:rPr>
          <m:t xml:space="preserve"> (T&lt;21)</m:t>
        </m:r>
      </m:oMath>
      <w:r w:rsidRPr="003E14B5">
        <w:rPr>
          <w:rFonts w:eastAsiaTheme="minorEastAsia"/>
          <w:w w:val="100"/>
          <w:sz w:val="16"/>
          <w:szCs w:val="16"/>
        </w:rPr>
        <w:t>.</w:t>
      </w:r>
      <w:r w:rsidR="003E14B5">
        <w:rPr>
          <w:rFonts w:eastAsiaTheme="minorEastAsia"/>
          <w:w w:val="100"/>
          <w:sz w:val="16"/>
          <w:szCs w:val="16"/>
        </w:rPr>
        <w:t xml:space="preserve"> Prueba de </w:t>
      </w:r>
      <w:proofErr w:type="spellStart"/>
      <w:r w:rsidR="003E14B5">
        <w:rPr>
          <w:rFonts w:eastAsiaTheme="minorEastAsia"/>
          <w:w w:val="100"/>
          <w:sz w:val="16"/>
          <w:szCs w:val="16"/>
        </w:rPr>
        <w:t>Kolmogorov-Smirnov</w:t>
      </w:r>
      <w:proofErr w:type="spellEnd"/>
      <w:r w:rsidR="003E14B5">
        <w:rPr>
          <w:rFonts w:eastAsiaTheme="minorEastAsia"/>
          <w:w w:val="100"/>
          <w:sz w:val="16"/>
          <w:szCs w:val="16"/>
        </w:rPr>
        <w:t xml:space="preserve">: </w:t>
      </w:r>
      <m:oMath>
        <m:r>
          <w:rPr>
            <w:rFonts w:ascii="Cambria Math" w:eastAsiaTheme="minorEastAsia" w:hAnsi="Cambria Math"/>
            <w:w w:val="100"/>
            <w:sz w:val="16"/>
            <w:szCs w:val="16"/>
          </w:rPr>
          <m:t>p</m:t>
        </m:r>
        <m:r>
          <w:rPr>
            <w:rFonts w:ascii="Cambria Math" w:hAnsi="Cambria Math"/>
            <w:color w:val="000000" w:themeColor="text1"/>
            <w:w w:val="100"/>
            <w:sz w:val="16"/>
            <w:szCs w:val="16"/>
          </w:rPr>
          <m:t>&lt;</m:t>
        </m:r>
        <m:r>
          <w:rPr>
            <w:rFonts w:ascii="Cambria Math" w:hAnsi="Cambria Math"/>
            <w:color w:val="000000" w:themeColor="text1"/>
            <w:w w:val="100"/>
            <w:sz w:val="16"/>
            <w:szCs w:val="16"/>
          </w:rPr>
          <m:t>0.01</m:t>
        </m:r>
      </m:oMath>
    </w:p>
    <w:p w14:paraId="6FB8FFD1" w14:textId="77777777" w:rsidR="00CF5E9D" w:rsidRDefault="00CF5E9D" w:rsidP="00483510">
      <w:pPr>
        <w:pStyle w:val="Textoindependiente"/>
        <w:spacing w:before="96" w:line="249" w:lineRule="auto"/>
        <w:ind w:right="-1"/>
        <w:rPr>
          <w:rFonts w:eastAsiaTheme="minorEastAsia"/>
          <w:w w:val="100"/>
        </w:rPr>
      </w:pPr>
    </w:p>
    <w:p w14:paraId="4907BA29" w14:textId="77777777" w:rsidR="00426FCD" w:rsidRDefault="006A79AD" w:rsidP="00426FCD">
      <w:pPr>
        <w:pStyle w:val="Textoindependiente"/>
        <w:spacing w:before="96" w:line="249" w:lineRule="auto"/>
        <w:ind w:left="0" w:right="-1" w:firstLine="284"/>
        <w:rPr>
          <w:rFonts w:eastAsiaTheme="minorEastAsia"/>
          <w:w w:val="100"/>
        </w:rPr>
      </w:pPr>
      <w:r>
        <w:rPr>
          <w:rFonts w:eastAsiaTheme="minorEastAsia"/>
          <w:w w:val="100"/>
        </w:rPr>
        <w:t xml:space="preserve">El tiempo transcurrido hasta la ocurrencia del evento de interés se ajusta a adecuadamente a una distribución de </w:t>
      </w:r>
      <w:proofErr w:type="spellStart"/>
      <w:r>
        <w:rPr>
          <w:rFonts w:eastAsiaTheme="minorEastAsia"/>
          <w:w w:val="100"/>
        </w:rPr>
        <w:t>Gompertz</w:t>
      </w:r>
      <w:proofErr w:type="spellEnd"/>
      <w:r>
        <w:rPr>
          <w:rFonts w:eastAsiaTheme="minorEastAsia"/>
          <w:w w:val="100"/>
        </w:rPr>
        <w:t xml:space="preserve"> con parámetros</w:t>
      </w:r>
      <m:oMath>
        <m:r>
          <w:rPr>
            <w:rFonts w:ascii="Cambria Math" w:eastAsiaTheme="minorEastAsia" w:hAnsi="Cambria Math"/>
            <w:w w:val="100"/>
          </w:rPr>
          <m:t xml:space="preserve"> δ=-0.092</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-0.101- -0.084</m:t>
        </m:r>
      </m:oMath>
      <w:r w:rsidRPr="006A79AD">
        <w:rPr>
          <w:rFonts w:eastAsiaTheme="minorEastAsia"/>
          <w:w w:val="100"/>
        </w:rPr>
        <w:t>)</w:t>
      </w:r>
      <w:r>
        <w:rPr>
          <w:rFonts w:eastAsiaTheme="minorEastAsia"/>
          <w:w w:val="100"/>
        </w:rPr>
        <w:t xml:space="preserve"> y </w:t>
      </w:r>
      <m:oMath>
        <m:r>
          <w:rPr>
            <w:rFonts w:ascii="Cambria Math" w:eastAsiaTheme="minorEastAsia" w:hAnsi="Cambria Math"/>
            <w:w w:val="100"/>
            <w:lang w:val="el-GR"/>
          </w:rPr>
          <m:t>θ</m:t>
        </m:r>
        <m:r>
          <w:rPr>
            <w:rFonts w:ascii="Cambria Math" w:eastAsiaTheme="minorEastAsia" w:hAnsi="Cambria Math"/>
            <w:w w:val="100"/>
          </w:rPr>
          <m:t>=0.074</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0.067- -0.084</m:t>
        </m:r>
      </m:oMath>
      <w:r w:rsidRPr="006A79AD">
        <w:rPr>
          <w:rFonts w:eastAsiaTheme="minorEastAsia"/>
          <w:w w:val="100"/>
        </w:rPr>
        <w:t>)</w:t>
      </w:r>
      <w:r>
        <w:rPr>
          <w:rFonts w:eastAsiaTheme="minorEastAsia"/>
          <w:w w:val="100"/>
        </w:rPr>
        <w:t xml:space="preserve">. Esto significa que la función de riesgo es creciente tal que, para todo </w:t>
      </w:r>
      <m:oMath>
        <m:r>
          <w:rPr>
            <w:rFonts w:ascii="Cambria Math" w:eastAsiaTheme="minorEastAsia" w:hAnsi="Cambria Math"/>
            <w:w w:val="100"/>
          </w:rPr>
          <m:t>t∈(0, ∞)</m:t>
        </m:r>
      </m:oMath>
      <w:r w:rsidR="00426FCD">
        <w:rPr>
          <w:rFonts w:eastAsiaTheme="minorEastAsia"/>
          <w:w w:val="100"/>
        </w:rPr>
        <w:t xml:space="preserve">, </w:t>
      </w:r>
      <m:oMath>
        <m:r>
          <w:rPr>
            <w:rFonts w:ascii="Cambria Math" w:eastAsiaTheme="minorEastAsia" w:hAnsi="Cambria Math"/>
            <w:w w:val="100"/>
          </w:rPr>
          <m:t>h</m:t>
        </m:r>
        <m:d>
          <m:dPr>
            <m:ctrlPr>
              <w:rPr>
                <w:rFonts w:ascii="Cambria Math" w:eastAsiaTheme="minorEastAsia" w:hAnsi="Cambria Math"/>
                <w:i/>
                <w:w w:val="100"/>
              </w:rPr>
            </m:ctrlPr>
          </m:dPr>
          <m:e>
            <m:r>
              <w:rPr>
                <w:rFonts w:ascii="Cambria Math" w:eastAsiaTheme="minorEastAsia" w:hAnsi="Cambria Math"/>
                <w:w w:val="100"/>
              </w:rPr>
              <m:t>t</m:t>
            </m:r>
          </m:e>
        </m:d>
        <m:r>
          <w:rPr>
            <w:rFonts w:ascii="Cambria Math" w:eastAsiaTheme="minorEastAsia" w:hAnsi="Cambria Math"/>
            <w:w w:val="100"/>
          </w:rPr>
          <m:t>=</m:t>
        </m:r>
        <m:r>
          <w:rPr>
            <w:rFonts w:ascii="Cambria Math" w:eastAsiaTheme="minorEastAsia" w:hAnsi="Cambria Math"/>
            <w:w w:val="100"/>
            <w:lang w:val="el-GR"/>
          </w:rPr>
          <m:t>θ</m:t>
        </m:r>
        <m:r>
          <m:rPr>
            <m:sty m:val="p"/>
          </m:rPr>
          <w:rPr>
            <w:rFonts w:ascii="Cambria Math" w:eastAsiaTheme="minorEastAsia" w:hAnsi="Cambria Math"/>
            <w:w w:val="100"/>
          </w:rPr>
          <m:t>exp⁡</m:t>
        </m:r>
        <m:r>
          <w:rPr>
            <w:rFonts w:ascii="Cambria Math" w:eastAsiaTheme="minorEastAsia" w:hAnsi="Cambria Math"/>
            <w:w w:val="100"/>
          </w:rPr>
          <m:t xml:space="preserve">{δt} </m:t>
        </m:r>
      </m:oMath>
      <w:r w:rsidR="00426FCD">
        <w:rPr>
          <w:rFonts w:eastAsiaTheme="minorEastAsia"/>
          <w:w w:val="100"/>
        </w:rPr>
        <w:t xml:space="preserve">para </w:t>
      </w:r>
      <m:oMath>
        <m:r>
          <w:rPr>
            <w:rFonts w:ascii="Cambria Math" w:eastAsiaTheme="minorEastAsia" w:hAnsi="Cambria Math"/>
            <w:w w:val="100"/>
          </w:rPr>
          <m:t>δ&lt;0</m:t>
        </m:r>
      </m:oMath>
      <w:r w:rsidR="00426FCD">
        <w:rPr>
          <w:rFonts w:eastAsiaTheme="minorEastAsia"/>
          <w:w w:val="100"/>
        </w:rPr>
        <w:t>. (Un ejercicio complementario verificó que los modelos paramétricos derivados de una distribución de Weibull y una distribución log-logística muestran desempeños similares [</w:t>
      </w:r>
      <w:r w:rsidR="00426FCD" w:rsidRPr="004F4EDB">
        <w:rPr>
          <w:rFonts w:eastAsiaTheme="minorEastAsia"/>
          <w:b/>
          <w:bCs/>
          <w:w w:val="100"/>
        </w:rPr>
        <w:t>Figura S2</w:t>
      </w:r>
      <w:r w:rsidR="00426FCD">
        <w:rPr>
          <w:rFonts w:eastAsiaTheme="minorEastAsia"/>
          <w:w w:val="100"/>
        </w:rPr>
        <w:t xml:space="preserve"> y </w:t>
      </w:r>
      <w:r w:rsidR="00426FCD" w:rsidRPr="004F4EDB">
        <w:rPr>
          <w:rFonts w:eastAsiaTheme="minorEastAsia"/>
          <w:b/>
          <w:bCs/>
          <w:w w:val="100"/>
        </w:rPr>
        <w:t>Tabla S4</w:t>
      </w:r>
      <w:r w:rsidR="00426FCD">
        <w:rPr>
          <w:rFonts w:eastAsiaTheme="minorEastAsia"/>
          <w:w w:val="100"/>
        </w:rPr>
        <w:t xml:space="preserve">]). </w:t>
      </w:r>
    </w:p>
    <w:p w14:paraId="65AB9825" w14:textId="701FAC35" w:rsidR="00426FCD" w:rsidRDefault="00426FCD" w:rsidP="00426FCD">
      <w:pPr>
        <w:pStyle w:val="Textoindependiente"/>
        <w:spacing w:before="96" w:line="249" w:lineRule="auto"/>
        <w:ind w:left="0" w:right="-1" w:firstLine="284"/>
        <w:rPr>
          <w:rFonts w:eastAsiaTheme="minorEastAsia"/>
          <w:w w:val="100"/>
        </w:rPr>
      </w:pPr>
      <w:r>
        <w:rPr>
          <w:rFonts w:eastAsiaTheme="minorEastAsia"/>
          <w:w w:val="100"/>
        </w:rPr>
        <w:t xml:space="preserve">El modelo paramétrico seleccionado proporciona una tasa de supervivencia en UCI a los 30 días de 47.08% (95% IC: 44.43 – 49.94). Los resultados </w:t>
      </w:r>
      <w:r w:rsidR="004F4EDB">
        <w:rPr>
          <w:rFonts w:eastAsiaTheme="minorEastAsia"/>
          <w:w w:val="100"/>
        </w:rPr>
        <w:t>generales</w:t>
      </w:r>
      <w:r>
        <w:rPr>
          <w:rFonts w:eastAsiaTheme="minorEastAsia"/>
          <w:w w:val="100"/>
        </w:rPr>
        <w:t xml:space="preserve"> de la aproximación no-paramétrica se mantienen</w:t>
      </w:r>
      <w:r w:rsidR="004F4EDB">
        <w:rPr>
          <w:rFonts w:eastAsiaTheme="minorEastAsia"/>
          <w:w w:val="100"/>
        </w:rPr>
        <w:t>. A</w:t>
      </w:r>
      <w:r>
        <w:rPr>
          <w:rFonts w:eastAsiaTheme="minorEastAsia"/>
          <w:w w:val="100"/>
        </w:rPr>
        <w:t xml:space="preserve">unque la tasa de supervivencia en UCI a los 30 días es mayor en </w:t>
      </w:r>
      <w:r w:rsidR="004F4EDB">
        <w:rPr>
          <w:rFonts w:eastAsiaTheme="minorEastAsia"/>
          <w:w w:val="100"/>
        </w:rPr>
        <w:t>pacientes de sexo femenino, la diferencia según el sexo no es significativa (47.88% [95% IC: 42.82 – 52.20] VS. 45.59% [95% IC: 42.16 – 49.24]) (</w:t>
      </w:r>
      <w:r w:rsidR="004F4EDB" w:rsidRPr="004F4EDB">
        <w:rPr>
          <w:rFonts w:eastAsiaTheme="minorEastAsia"/>
          <w:b/>
          <w:bCs/>
          <w:w w:val="100"/>
        </w:rPr>
        <w:t>Figura 4a</w:t>
      </w:r>
      <w:r w:rsidR="004F4EDB">
        <w:rPr>
          <w:rFonts w:eastAsiaTheme="minorEastAsia"/>
          <w:w w:val="100"/>
        </w:rPr>
        <w:t>). La tasa de supervivencia en UCI a los 30 días es menor en pacientes mayores de 65 años (34.32% [95% IC: 30.71 – 37.93] vs. 62.07% [95% IC: 57.47 – 65.97]) (</w:t>
      </w:r>
      <w:r w:rsidR="004F4EDB" w:rsidRPr="004F4EDB">
        <w:rPr>
          <w:rFonts w:eastAsiaTheme="minorEastAsia"/>
          <w:b/>
          <w:bCs/>
          <w:w w:val="100"/>
        </w:rPr>
        <w:t>Figura 4b</w:t>
      </w:r>
      <w:r w:rsidR="004F4EDB">
        <w:rPr>
          <w:rFonts w:eastAsiaTheme="minorEastAsia"/>
          <w:w w:val="100"/>
        </w:rPr>
        <w:t>).</w:t>
      </w:r>
    </w:p>
    <w:p w14:paraId="71BA960F" w14:textId="757BD29A" w:rsidR="00CF5E9D" w:rsidRDefault="00CF5E9D" w:rsidP="00CF5E9D">
      <w:pPr>
        <w:pStyle w:val="Textoindependiente"/>
        <w:spacing w:before="96" w:line="249" w:lineRule="auto"/>
        <w:ind w:left="0" w:right="-1" w:firstLine="284"/>
        <w:rPr>
          <w:rFonts w:eastAsiaTheme="minorEastAsia"/>
          <w:w w:val="100"/>
        </w:rPr>
      </w:pPr>
      <w:r>
        <w:rPr>
          <w:rFonts w:eastAsiaTheme="minorEastAsia"/>
          <w:noProof/>
          <w:w w:val="100"/>
        </w:rPr>
        <w:drawing>
          <wp:inline distT="0" distB="0" distL="0" distR="0" wp14:anchorId="4CBA42D8" wp14:editId="20A33468">
            <wp:extent cx="3068955" cy="2211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955" cy="2211070"/>
                    </a:xfrm>
                    <a:prstGeom prst="rect">
                      <a:avLst/>
                    </a:prstGeom>
                    <a:noFill/>
                    <a:ln>
                      <a:noFill/>
                    </a:ln>
                  </pic:spPr>
                </pic:pic>
              </a:graphicData>
            </a:graphic>
          </wp:inline>
        </w:drawing>
      </w:r>
    </w:p>
    <w:p w14:paraId="2A4B4413" w14:textId="5F0F25AB" w:rsidR="00483510" w:rsidRDefault="00483510" w:rsidP="00483510">
      <w:pPr>
        <w:pStyle w:val="Textoindependiente"/>
        <w:spacing w:before="96" w:line="249" w:lineRule="auto"/>
        <w:ind w:left="0" w:right="-1" w:firstLine="284"/>
        <w:jc w:val="center"/>
        <w:rPr>
          <w:rFonts w:eastAsiaTheme="minorEastAsia"/>
          <w:w w:val="100"/>
        </w:rPr>
      </w:pPr>
      <w:r>
        <w:rPr>
          <w:rFonts w:eastAsiaTheme="minorEastAsia"/>
          <w:w w:val="100"/>
        </w:rPr>
        <w:t>(a)</w:t>
      </w:r>
    </w:p>
    <w:p w14:paraId="79D40497" w14:textId="63250183" w:rsidR="00CF5E9D" w:rsidRDefault="00CF5E9D" w:rsidP="00CF5E9D">
      <w:pPr>
        <w:pStyle w:val="Textoindependiente"/>
        <w:spacing w:before="96" w:line="249" w:lineRule="auto"/>
        <w:ind w:left="0" w:right="-1" w:firstLine="284"/>
        <w:rPr>
          <w:rFonts w:eastAsiaTheme="minorEastAsia"/>
          <w:w w:val="100"/>
        </w:rPr>
      </w:pPr>
      <w:r>
        <w:rPr>
          <w:rFonts w:eastAsiaTheme="minorEastAsia"/>
          <w:noProof/>
          <w:w w:val="100"/>
        </w:rPr>
        <w:drawing>
          <wp:inline distT="0" distB="0" distL="0" distR="0" wp14:anchorId="2D019EF4" wp14:editId="301C37F8">
            <wp:extent cx="3068955" cy="19399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2681" b="1370"/>
                    <a:stretch/>
                  </pic:blipFill>
                  <pic:spPr bwMode="auto">
                    <a:xfrm>
                      <a:off x="0" y="0"/>
                      <a:ext cx="3070787" cy="1941083"/>
                    </a:xfrm>
                    <a:prstGeom prst="rect">
                      <a:avLst/>
                    </a:prstGeom>
                    <a:noFill/>
                    <a:ln>
                      <a:noFill/>
                    </a:ln>
                    <a:extLst>
                      <a:ext uri="{53640926-AAD7-44D8-BBD7-CCE9431645EC}">
                        <a14:shadowObscured xmlns:a14="http://schemas.microsoft.com/office/drawing/2010/main"/>
                      </a:ext>
                    </a:extLst>
                  </pic:spPr>
                </pic:pic>
              </a:graphicData>
            </a:graphic>
          </wp:inline>
        </w:drawing>
      </w:r>
    </w:p>
    <w:p w14:paraId="1DB7EA1D" w14:textId="0C86CD97" w:rsidR="00483510" w:rsidRDefault="00483510" w:rsidP="00483510">
      <w:pPr>
        <w:pStyle w:val="Textoindependiente"/>
        <w:spacing w:before="96" w:line="249" w:lineRule="auto"/>
        <w:ind w:left="0" w:right="-1" w:firstLine="284"/>
        <w:jc w:val="center"/>
        <w:rPr>
          <w:rFonts w:eastAsiaTheme="minorEastAsia"/>
          <w:w w:val="100"/>
        </w:rPr>
      </w:pPr>
      <w:r>
        <w:rPr>
          <w:rFonts w:eastAsiaTheme="minorEastAsia"/>
          <w:w w:val="100"/>
        </w:rPr>
        <w:t>(b)</w:t>
      </w:r>
    </w:p>
    <w:p w14:paraId="2A89C8C3" w14:textId="1B7FE764" w:rsidR="00483510" w:rsidRPr="00483510" w:rsidRDefault="00483510" w:rsidP="00483510">
      <w:pPr>
        <w:pStyle w:val="Textoindependiente"/>
        <w:spacing w:before="96" w:line="249" w:lineRule="auto"/>
        <w:ind w:left="567" w:right="343"/>
        <w:rPr>
          <w:rFonts w:eastAsiaTheme="minorEastAsia"/>
          <w:w w:val="100"/>
          <w:sz w:val="16"/>
          <w:szCs w:val="16"/>
        </w:rPr>
      </w:pPr>
      <w:r w:rsidRPr="00483510">
        <w:rPr>
          <w:rFonts w:eastAsiaTheme="minorEastAsia"/>
          <w:b/>
          <w:w w:val="100"/>
          <w:sz w:val="16"/>
          <w:szCs w:val="16"/>
        </w:rPr>
        <w:t xml:space="preserve">Figura 4: </w:t>
      </w:r>
      <w:r w:rsidRPr="00483510">
        <w:rPr>
          <w:rFonts w:eastAsiaTheme="minorEastAsia"/>
          <w:w w:val="100"/>
          <w:sz w:val="16"/>
          <w:szCs w:val="16"/>
        </w:rPr>
        <w:t xml:space="preserve">Curvas de supervivencia estimadas a partir del modelo de </w:t>
      </w:r>
      <w:proofErr w:type="spellStart"/>
      <w:r w:rsidRPr="00483510">
        <w:rPr>
          <w:rFonts w:eastAsiaTheme="minorEastAsia"/>
          <w:w w:val="100"/>
          <w:sz w:val="16"/>
          <w:szCs w:val="16"/>
        </w:rPr>
        <w:t>Gompertz</w:t>
      </w:r>
      <w:proofErr w:type="spellEnd"/>
      <w:r w:rsidRPr="00483510">
        <w:rPr>
          <w:rFonts w:eastAsiaTheme="minorEastAsia"/>
          <w:w w:val="100"/>
          <w:sz w:val="16"/>
          <w:szCs w:val="16"/>
        </w:rPr>
        <w:t>. Tasa de supervivencia acumulada a los 90 días para pacientes en UCI por COVID-19 de acuerdo con (a) el sexo y (b) la edad. Las líneas discontinuas representan los intervalos de confianza al 95%. La función escalonada corresponde al estimador no-paramétrico de Kaplan-Meier.</w:t>
      </w:r>
    </w:p>
    <w:p w14:paraId="32699D8F" w14:textId="64B6DE62" w:rsidR="004F4EDB" w:rsidRPr="004F4EDB" w:rsidRDefault="004F4EDB" w:rsidP="004F4EDB">
      <w:pPr>
        <w:pStyle w:val="Textoindependiente"/>
        <w:numPr>
          <w:ilvl w:val="2"/>
          <w:numId w:val="6"/>
        </w:numPr>
        <w:spacing w:before="96" w:line="249" w:lineRule="auto"/>
        <w:ind w:left="0" w:right="-1" w:firstLine="0"/>
        <w:rPr>
          <w:i/>
          <w:iCs/>
          <w:w w:val="100"/>
        </w:rPr>
      </w:pPr>
      <w:r>
        <w:rPr>
          <w:rFonts w:eastAsiaTheme="minorEastAsia"/>
          <w:i/>
          <w:iCs/>
          <w:w w:val="100"/>
        </w:rPr>
        <w:t>Modelo de riesgos proporcionales de Cox</w:t>
      </w:r>
    </w:p>
    <w:p w14:paraId="567E30A4" w14:textId="6038C2B5" w:rsidR="004F4EDB" w:rsidRDefault="004F4EDB" w:rsidP="004F4EDB">
      <w:pPr>
        <w:pStyle w:val="Textoindependiente"/>
        <w:spacing w:before="96" w:line="249" w:lineRule="auto"/>
        <w:ind w:left="0" w:right="-1" w:firstLine="284"/>
        <w:rPr>
          <w:w w:val="100"/>
        </w:rPr>
      </w:pPr>
      <w:r>
        <w:rPr>
          <w:w w:val="100"/>
        </w:rPr>
        <w:t>El análisis de regresión multivariante de Cox permite identificar del paciente como covariable de interés</w:t>
      </w:r>
      <w:r>
        <w:rPr>
          <w:rStyle w:val="Refdenotaalpie"/>
          <w:w w:val="100"/>
        </w:rPr>
        <w:footnoteReference w:id="4"/>
      </w:r>
      <w:r>
        <w:rPr>
          <w:w w:val="100"/>
        </w:rPr>
        <w:t xml:space="preserve">. </w:t>
      </w:r>
      <w:r w:rsidR="00DA708B">
        <w:rPr>
          <w:w w:val="100"/>
        </w:rPr>
        <w:t xml:space="preserve">En consonancia con los resultados derivados del método de Kaplan-Meier y el modelo de paramétrico de </w:t>
      </w:r>
      <w:proofErr w:type="spellStart"/>
      <w:r w:rsidR="00DA708B">
        <w:rPr>
          <w:w w:val="100"/>
        </w:rPr>
        <w:t>Gompertz</w:t>
      </w:r>
      <w:proofErr w:type="spellEnd"/>
      <w:r w:rsidR="00DA708B">
        <w:rPr>
          <w:w w:val="100"/>
        </w:rPr>
        <w:t xml:space="preserve">, se identifica que el sexo del paciente no constituye un factor de riesgo significativo (para la prueba de Wald, véase </w:t>
      </w:r>
      <w:r w:rsidR="00DA708B">
        <w:rPr>
          <w:b/>
          <w:bCs/>
          <w:w w:val="100"/>
        </w:rPr>
        <w:t>Cuadro 2</w:t>
      </w:r>
      <w:r w:rsidR="00DA708B">
        <w:rPr>
          <w:w w:val="100"/>
        </w:rPr>
        <w:t xml:space="preserve">). A partir de los residuos de Schoenfeld escalados </w:t>
      </w:r>
      <w:r w:rsidR="00DA708B">
        <w:rPr>
          <w:w w:val="100"/>
        </w:rPr>
        <w:fldChar w:fldCharType="begin" w:fldLock="1"/>
      </w:r>
      <w:r w:rsidR="00E02CA9">
        <w:rPr>
          <w:w w:val="100"/>
        </w:rPr>
        <w:instrText>ADDIN CSL_CITATION {"citationItems":[{"id":"ITEM-1","itemData":{"author":[{"dropping-particle":"","family":"Grambsch","given":"Patricia M.","non-dropping-particle":"","parse-names":false,"suffix":""},{"dropping-particle":"","family":"Therneau","given":"Terry M.","non-dropping-particle":"","parse-names":false,"suffix":""}],"container-title":"Biometrika","id":"ITEM-1","issue":"3","issued":{"date-parts":[["1994"]]},"page":"515-526","title":"Proportional hazard tests and diagnostics based on weighted residuals","type":"article-journal","volume":"81"},"uris":["http://www.mendeley.com/documents/?uuid=cf82bdf7-f67b-4210-b3f8-442f518fa91e"]}],"mendeley":{"formattedCitation":"(30)","plainTextFormattedCitation":"(30)","previouslyFormattedCitation":"(30)"},"properties":{"noteIndex":0},"schema":"https://github.com/citation-style-language/schema/raw/master/csl-citation.json"}</w:instrText>
      </w:r>
      <w:r w:rsidR="00DA708B">
        <w:rPr>
          <w:w w:val="100"/>
        </w:rPr>
        <w:fldChar w:fldCharType="separate"/>
      </w:r>
      <w:r w:rsidR="00DA708B" w:rsidRPr="00DA708B">
        <w:rPr>
          <w:noProof/>
          <w:w w:val="100"/>
        </w:rPr>
        <w:t>(30)</w:t>
      </w:r>
      <w:r w:rsidR="00DA708B">
        <w:rPr>
          <w:w w:val="100"/>
        </w:rPr>
        <w:fldChar w:fldCharType="end"/>
      </w:r>
      <w:r w:rsidR="00DA708B">
        <w:rPr>
          <w:w w:val="100"/>
        </w:rPr>
        <w:t xml:space="preserve">, se verifica que las covariables de interés cumplen el supuesto de </w:t>
      </w:r>
      <w:r w:rsidR="00DA708B">
        <w:rPr>
          <w:w w:val="100"/>
        </w:rPr>
        <w:lastRenderedPageBreak/>
        <w:t>riesgos proporcionales (</w:t>
      </w:r>
      <w:r w:rsidR="00DA708B" w:rsidRPr="00DA708B">
        <w:rPr>
          <w:b/>
          <w:bCs/>
          <w:w w:val="100"/>
        </w:rPr>
        <w:t>Figura 5</w:t>
      </w:r>
      <w:r w:rsidR="00DA708B">
        <w:rPr>
          <w:w w:val="100"/>
        </w:rPr>
        <w:t>).</w:t>
      </w:r>
    </w:p>
    <w:p w14:paraId="69FAA4CD" w14:textId="02B70E5E" w:rsidR="00761F04" w:rsidRDefault="00DA708B" w:rsidP="00A77991">
      <w:pPr>
        <w:pStyle w:val="Textoindependiente"/>
        <w:spacing w:before="96" w:after="160" w:line="249" w:lineRule="auto"/>
        <w:ind w:left="0" w:right="-1" w:firstLine="284"/>
        <w:rPr>
          <w:w w:val="100"/>
        </w:rPr>
      </w:pPr>
      <w:r>
        <w:rPr>
          <w:w w:val="100"/>
        </w:rPr>
        <w:t xml:space="preserve">De acuerdo con las estimaciones de las razones de riesgo (HR), la edad avanzada es un factor de riesgo asociado significativamente a la mortalidad en UCI para pacientes del </w:t>
      </w:r>
      <w:r>
        <w:rPr>
          <w:w w:val="100"/>
        </w:rPr>
        <w:t xml:space="preserve">grupo CC (HR: 3.2516 [95% IC: 1.9055 – 5.5485], Test de Wald: </w:t>
      </w:r>
      <m:oMath>
        <m:r>
          <w:rPr>
            <w:rFonts w:ascii="Cambria Math" w:eastAsiaTheme="minorEastAsia" w:hAnsi="Cambria Math"/>
            <w:w w:val="100"/>
          </w:rPr>
          <m:t>p&lt;0.01</m:t>
        </m:r>
      </m:oMath>
      <w:r>
        <w:rPr>
          <w:w w:val="100"/>
        </w:rPr>
        <w:t xml:space="preserve">). Lo mismo valdría decir sobre el grupo de pacientes no-CC (HR: 2.0435 [95% IC: 1.6981– 2.4590], Test de Wald: </w:t>
      </w:r>
      <m:oMath>
        <m:r>
          <w:rPr>
            <w:rFonts w:ascii="Cambria Math" w:eastAsiaTheme="minorEastAsia" w:hAnsi="Cambria Math"/>
            <w:w w:val="100"/>
          </w:rPr>
          <m:t>p&lt;0.01</m:t>
        </m:r>
      </m:oMath>
      <w:r>
        <w:rPr>
          <w:w w:val="100"/>
        </w:rPr>
        <w:t>) (</w:t>
      </w:r>
      <w:r w:rsidRPr="00DA708B">
        <w:rPr>
          <w:b/>
          <w:bCs/>
          <w:w w:val="100"/>
        </w:rPr>
        <w:t>Cuadro 2</w:t>
      </w:r>
      <w:r>
        <w:rPr>
          <w:w w:val="100"/>
        </w:rPr>
        <w:t>).</w:t>
      </w:r>
    </w:p>
    <w:p w14:paraId="31FCF72F" w14:textId="77777777" w:rsidR="003E14B5" w:rsidRDefault="003E14B5" w:rsidP="003E14B5">
      <w:pPr>
        <w:pStyle w:val="Textoindependiente"/>
        <w:spacing w:before="96" w:after="160" w:line="249" w:lineRule="auto"/>
        <w:ind w:left="0" w:right="-1"/>
        <w:rPr>
          <w:rFonts w:eastAsiaTheme="minorEastAsia"/>
          <w:b/>
          <w:w w:val="100"/>
        </w:rPr>
        <w:sectPr w:rsidR="003E14B5" w:rsidSect="003E14B5">
          <w:type w:val="continuous"/>
          <w:pgSz w:w="11906" w:h="16838"/>
          <w:pgMar w:top="720" w:right="720" w:bottom="720" w:left="720" w:header="708" w:footer="708" w:gutter="0"/>
          <w:cols w:num="2" w:space="708"/>
          <w:docGrid w:linePitch="360"/>
        </w:sectPr>
      </w:pPr>
    </w:p>
    <w:p w14:paraId="0631EA1C" w14:textId="77777777" w:rsidR="003E14B5" w:rsidRDefault="003E14B5" w:rsidP="003E14B5">
      <w:pPr>
        <w:pStyle w:val="Textoindependiente"/>
        <w:spacing w:before="96" w:after="160" w:line="249" w:lineRule="auto"/>
        <w:ind w:left="0" w:right="-1"/>
        <w:rPr>
          <w:rFonts w:eastAsiaTheme="minorEastAsia"/>
          <w:b/>
          <w:w w:val="100"/>
        </w:rPr>
      </w:pPr>
    </w:p>
    <w:p w14:paraId="294C91B4" w14:textId="17788924" w:rsidR="003E14B5" w:rsidRDefault="003E14B5" w:rsidP="003E14B5">
      <w:pPr>
        <w:pStyle w:val="Textoindependiente"/>
        <w:spacing w:before="96" w:after="160" w:line="249" w:lineRule="auto"/>
        <w:ind w:left="1134" w:right="1110"/>
        <w:jc w:val="center"/>
        <w:rPr>
          <w:rFonts w:eastAsiaTheme="minorEastAsia"/>
          <w:w w:val="100"/>
        </w:rPr>
        <w:sectPr w:rsidR="003E14B5" w:rsidSect="00DA708B">
          <w:type w:val="continuous"/>
          <w:pgSz w:w="11906" w:h="16838"/>
          <w:pgMar w:top="720" w:right="720" w:bottom="720" w:left="720" w:header="708" w:footer="708" w:gutter="0"/>
          <w:cols w:space="708"/>
          <w:docGrid w:linePitch="360"/>
        </w:sectPr>
      </w:pPr>
      <w:r w:rsidRPr="00A77991">
        <w:rPr>
          <w:rFonts w:eastAsiaTheme="minorEastAsia"/>
          <w:b/>
          <w:w w:val="100"/>
        </w:rPr>
        <w:t>Cuadro 2:</w:t>
      </w:r>
      <w:r>
        <w:rPr>
          <w:rFonts w:eastAsiaTheme="minorEastAsia"/>
          <w:w w:val="100"/>
        </w:rPr>
        <w:t xml:space="preserve"> modelo multivariante de Cox para factores de riesgo asociados con la mortalidad en UCI de pacientes con COVID-19</w:t>
      </w:r>
    </w:p>
    <w:p w14:paraId="797E69E6" w14:textId="77777777" w:rsidR="003E14B5" w:rsidRDefault="003E14B5" w:rsidP="003E14B5">
      <w:pPr>
        <w:pStyle w:val="Textoindependiente"/>
        <w:spacing w:before="96" w:after="160" w:line="249" w:lineRule="auto"/>
        <w:ind w:left="0" w:right="-1"/>
        <w:rPr>
          <w:rFonts w:eastAsiaTheme="minorEastAsia"/>
          <w:w w:val="100"/>
        </w:rPr>
        <w:sectPr w:rsidR="003E14B5" w:rsidSect="00DA708B">
          <w:type w:val="continuous"/>
          <w:pgSz w:w="11906" w:h="16838"/>
          <w:pgMar w:top="720" w:right="720" w:bottom="720" w:left="720" w:header="708" w:footer="708" w:gutter="0"/>
          <w:cols w:space="708"/>
          <w:docGrid w:linePitch="360"/>
        </w:sectPr>
      </w:pPr>
    </w:p>
    <w:tbl>
      <w:tblPr>
        <w:tblStyle w:val="Tablaconcuadrcul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580"/>
        <w:gridCol w:w="993"/>
        <w:gridCol w:w="1753"/>
        <w:gridCol w:w="993"/>
        <w:gridCol w:w="1795"/>
        <w:gridCol w:w="1134"/>
      </w:tblGrid>
      <w:tr w:rsidR="003E14B5" w:rsidRPr="00DA708B" w14:paraId="1D2695CE" w14:textId="77777777" w:rsidTr="003E14B5">
        <w:trPr>
          <w:jc w:val="center"/>
        </w:trPr>
        <w:tc>
          <w:tcPr>
            <w:tcW w:w="1245" w:type="dxa"/>
            <w:tcBorders>
              <w:top w:val="double" w:sz="4" w:space="0" w:color="auto"/>
            </w:tcBorders>
          </w:tcPr>
          <w:p w14:paraId="01B18FA6" w14:textId="77777777" w:rsidR="003E14B5" w:rsidRPr="00DA708B" w:rsidRDefault="003E14B5" w:rsidP="003E14B5">
            <w:pPr>
              <w:pStyle w:val="Textoindependiente"/>
              <w:spacing w:before="96" w:after="160" w:line="249" w:lineRule="auto"/>
              <w:ind w:left="0" w:right="-1"/>
              <w:rPr>
                <w:rFonts w:eastAsiaTheme="minorEastAsia"/>
                <w:w w:val="100"/>
                <w:sz w:val="18"/>
                <w:szCs w:val="18"/>
              </w:rPr>
            </w:pPr>
          </w:p>
        </w:tc>
        <w:tc>
          <w:tcPr>
            <w:tcW w:w="2573" w:type="dxa"/>
            <w:gridSpan w:val="2"/>
            <w:tcBorders>
              <w:top w:val="double" w:sz="4" w:space="0" w:color="auto"/>
              <w:bottom w:val="single" w:sz="12" w:space="0" w:color="auto"/>
            </w:tcBorders>
          </w:tcPr>
          <w:p w14:paraId="13E086C9" w14:textId="77777777" w:rsidR="003E14B5" w:rsidRPr="00DA708B" w:rsidRDefault="003E14B5" w:rsidP="003E14B5">
            <w:pPr>
              <w:pStyle w:val="Textoindependiente"/>
              <w:spacing w:before="96" w:after="160" w:line="249" w:lineRule="auto"/>
              <w:ind w:left="0" w:right="-1"/>
              <w:jc w:val="center"/>
              <w:rPr>
                <w:rFonts w:eastAsiaTheme="minorEastAsia"/>
                <w:b/>
                <w:bCs/>
                <w:w w:val="100"/>
                <w:sz w:val="18"/>
                <w:szCs w:val="18"/>
              </w:rPr>
            </w:pPr>
            <w:r w:rsidRPr="00DA708B">
              <w:rPr>
                <w:rFonts w:eastAsiaTheme="minorEastAsia"/>
                <w:b/>
                <w:bCs/>
                <w:w w:val="100"/>
                <w:sz w:val="18"/>
                <w:szCs w:val="18"/>
              </w:rPr>
              <w:t>Total</w:t>
            </w:r>
          </w:p>
        </w:tc>
        <w:tc>
          <w:tcPr>
            <w:tcW w:w="2746" w:type="dxa"/>
            <w:gridSpan w:val="2"/>
            <w:tcBorders>
              <w:top w:val="double" w:sz="4" w:space="0" w:color="auto"/>
              <w:bottom w:val="single" w:sz="12" w:space="0" w:color="auto"/>
            </w:tcBorders>
          </w:tcPr>
          <w:p w14:paraId="279F7855"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929" w:type="dxa"/>
            <w:gridSpan w:val="2"/>
            <w:tcBorders>
              <w:top w:val="double" w:sz="4" w:space="0" w:color="auto"/>
              <w:bottom w:val="single" w:sz="12" w:space="0" w:color="auto"/>
            </w:tcBorders>
          </w:tcPr>
          <w:p w14:paraId="2BD81EE9"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3E14B5" w:rsidRPr="00DA708B" w14:paraId="3732D65B" w14:textId="77777777" w:rsidTr="003E14B5">
        <w:trPr>
          <w:jc w:val="center"/>
        </w:trPr>
        <w:tc>
          <w:tcPr>
            <w:tcW w:w="1245" w:type="dxa"/>
            <w:tcBorders>
              <w:bottom w:val="single" w:sz="12" w:space="0" w:color="auto"/>
            </w:tcBorders>
          </w:tcPr>
          <w:p w14:paraId="6C4DCC69" w14:textId="77777777" w:rsidR="003E14B5" w:rsidRPr="00DA708B" w:rsidRDefault="003E14B5" w:rsidP="003E14B5">
            <w:pPr>
              <w:pStyle w:val="Textoindependiente"/>
              <w:spacing w:before="96" w:after="160" w:line="249" w:lineRule="auto"/>
              <w:ind w:left="0" w:right="-1"/>
              <w:jc w:val="left"/>
              <w:rPr>
                <w:rFonts w:eastAsiaTheme="minorEastAsia"/>
                <w:w w:val="100"/>
                <w:sz w:val="18"/>
                <w:szCs w:val="18"/>
              </w:rPr>
            </w:pPr>
          </w:p>
        </w:tc>
        <w:tc>
          <w:tcPr>
            <w:tcW w:w="1580" w:type="dxa"/>
            <w:tcBorders>
              <w:top w:val="single" w:sz="12" w:space="0" w:color="auto"/>
              <w:bottom w:val="single" w:sz="12" w:space="0" w:color="auto"/>
            </w:tcBorders>
          </w:tcPr>
          <w:p w14:paraId="7FA7CA68"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630CF82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53" w:type="dxa"/>
            <w:tcBorders>
              <w:top w:val="single" w:sz="12" w:space="0" w:color="auto"/>
              <w:bottom w:val="single" w:sz="12" w:space="0" w:color="auto"/>
            </w:tcBorders>
          </w:tcPr>
          <w:p w14:paraId="0398100A"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7BAC016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95" w:type="dxa"/>
            <w:tcBorders>
              <w:top w:val="single" w:sz="12" w:space="0" w:color="auto"/>
              <w:bottom w:val="single" w:sz="12" w:space="0" w:color="auto"/>
            </w:tcBorders>
          </w:tcPr>
          <w:p w14:paraId="10BDFDD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1134" w:type="dxa"/>
            <w:tcBorders>
              <w:top w:val="single" w:sz="12" w:space="0" w:color="auto"/>
              <w:bottom w:val="single" w:sz="12" w:space="0" w:color="auto"/>
            </w:tcBorders>
          </w:tcPr>
          <w:p w14:paraId="63BF267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r>
      <w:tr w:rsidR="003E14B5" w:rsidRPr="00DA708B" w14:paraId="00CC58A8" w14:textId="77777777" w:rsidTr="003E14B5">
        <w:trPr>
          <w:jc w:val="center"/>
        </w:trPr>
        <w:tc>
          <w:tcPr>
            <w:tcW w:w="1245" w:type="dxa"/>
            <w:tcBorders>
              <w:top w:val="single" w:sz="12" w:space="0" w:color="auto"/>
            </w:tcBorders>
          </w:tcPr>
          <w:p w14:paraId="34562CF6"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sidRPr="00DA708B">
              <w:rPr>
                <w:rFonts w:eastAsiaTheme="minorEastAsia"/>
                <w:w w:val="100"/>
                <w:sz w:val="18"/>
                <w:szCs w:val="18"/>
              </w:rPr>
              <w:t>Sexo (Masculino vs. Femenino)</w:t>
            </w:r>
          </w:p>
        </w:tc>
        <w:tc>
          <w:tcPr>
            <w:tcW w:w="1580" w:type="dxa"/>
            <w:tcBorders>
              <w:top w:val="single" w:sz="12" w:space="0" w:color="auto"/>
            </w:tcBorders>
          </w:tcPr>
          <w:p w14:paraId="6907B347"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1.10 (0.92 – 1.29)</w:t>
            </w:r>
          </w:p>
        </w:tc>
        <w:tc>
          <w:tcPr>
            <w:tcW w:w="993" w:type="dxa"/>
            <w:tcBorders>
              <w:top w:val="single" w:sz="12" w:space="0" w:color="auto"/>
            </w:tcBorders>
          </w:tcPr>
          <w:p w14:paraId="6775A9CB"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0.3659</w:t>
            </w:r>
          </w:p>
        </w:tc>
        <w:tc>
          <w:tcPr>
            <w:tcW w:w="1753" w:type="dxa"/>
            <w:tcBorders>
              <w:top w:val="single" w:sz="12" w:space="0" w:color="auto"/>
            </w:tcBorders>
          </w:tcPr>
          <w:p w14:paraId="27FFCC61"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1.19 (0.72 – 1.99)</w:t>
            </w:r>
          </w:p>
        </w:tc>
        <w:tc>
          <w:tcPr>
            <w:tcW w:w="993" w:type="dxa"/>
            <w:tcBorders>
              <w:top w:val="single" w:sz="12" w:space="0" w:color="auto"/>
            </w:tcBorders>
          </w:tcPr>
          <w:p w14:paraId="1B5073D7"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0.4976</w:t>
            </w:r>
          </w:p>
        </w:tc>
        <w:tc>
          <w:tcPr>
            <w:tcW w:w="1795" w:type="dxa"/>
            <w:tcBorders>
              <w:top w:val="single" w:sz="12" w:space="0" w:color="auto"/>
            </w:tcBorders>
          </w:tcPr>
          <w:p w14:paraId="7878C755"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1.08 (0.90 – 1.29)</w:t>
            </w:r>
          </w:p>
        </w:tc>
        <w:tc>
          <w:tcPr>
            <w:tcW w:w="1134" w:type="dxa"/>
            <w:tcBorders>
              <w:top w:val="single" w:sz="12" w:space="0" w:color="auto"/>
            </w:tcBorders>
          </w:tcPr>
          <w:p w14:paraId="4C840BFA"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0.3924</w:t>
            </w:r>
          </w:p>
        </w:tc>
      </w:tr>
      <w:tr w:rsidR="003E14B5" w:rsidRPr="00DA708B" w14:paraId="2B2A2A36" w14:textId="77777777" w:rsidTr="003E14B5">
        <w:trPr>
          <w:jc w:val="center"/>
        </w:trPr>
        <w:tc>
          <w:tcPr>
            <w:tcW w:w="1245" w:type="dxa"/>
            <w:tcBorders>
              <w:bottom w:val="double" w:sz="4" w:space="0" w:color="auto"/>
            </w:tcBorders>
          </w:tcPr>
          <w:p w14:paraId="3A71C88C"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sidRPr="00DA708B">
              <w:rPr>
                <w:rFonts w:eastAsiaTheme="minorEastAsia"/>
                <w:w w:val="100"/>
                <w:sz w:val="18"/>
                <w:szCs w:val="18"/>
              </w:rPr>
              <w:t>Edad</w:t>
            </w:r>
            <w:r>
              <w:rPr>
                <w:rFonts w:eastAsiaTheme="minorEastAsia"/>
                <w:w w:val="100"/>
                <w:sz w:val="18"/>
                <w:szCs w:val="18"/>
              </w:rPr>
              <w:t xml:space="preserve">           </w:t>
            </w:r>
            <w:r w:rsidRPr="00DA708B">
              <w:rPr>
                <w:rFonts w:eastAsiaTheme="minorEastAsia"/>
                <w:w w:val="100"/>
                <w:sz w:val="18"/>
                <w:szCs w:val="18"/>
              </w:rPr>
              <w:t xml:space="preserve"> (≥65 vs. &lt;65)</w:t>
            </w:r>
          </w:p>
        </w:tc>
        <w:tc>
          <w:tcPr>
            <w:tcW w:w="1580" w:type="dxa"/>
            <w:tcBorders>
              <w:bottom w:val="double" w:sz="4" w:space="0" w:color="auto"/>
            </w:tcBorders>
          </w:tcPr>
          <w:p w14:paraId="3A27807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2.25 (1.89 – 2.68)</w:t>
            </w:r>
          </w:p>
        </w:tc>
        <w:tc>
          <w:tcPr>
            <w:tcW w:w="993" w:type="dxa"/>
            <w:tcBorders>
              <w:bottom w:val="double" w:sz="4" w:space="0" w:color="auto"/>
            </w:tcBorders>
          </w:tcPr>
          <w:p w14:paraId="187775B3"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53" w:type="dxa"/>
            <w:tcBorders>
              <w:bottom w:val="double" w:sz="4" w:space="0" w:color="auto"/>
            </w:tcBorders>
          </w:tcPr>
          <w:p w14:paraId="39EB172A"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3.25 (1.91 – 5.55)</w:t>
            </w:r>
          </w:p>
        </w:tc>
        <w:tc>
          <w:tcPr>
            <w:tcW w:w="993" w:type="dxa"/>
            <w:tcBorders>
              <w:bottom w:val="double" w:sz="4" w:space="0" w:color="auto"/>
            </w:tcBorders>
          </w:tcPr>
          <w:p w14:paraId="0AE47682"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95" w:type="dxa"/>
            <w:tcBorders>
              <w:bottom w:val="double" w:sz="4" w:space="0" w:color="auto"/>
            </w:tcBorders>
          </w:tcPr>
          <w:p w14:paraId="79A3214E"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2.04 (1.70 – 2.46)</w:t>
            </w:r>
          </w:p>
        </w:tc>
        <w:tc>
          <w:tcPr>
            <w:tcW w:w="1134" w:type="dxa"/>
            <w:tcBorders>
              <w:bottom w:val="double" w:sz="4" w:space="0" w:color="auto"/>
            </w:tcBorders>
          </w:tcPr>
          <w:p w14:paraId="0241A380" w14:textId="77777777" w:rsidR="003E14B5" w:rsidRPr="00DA708B" w:rsidRDefault="003E14B5"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r>
      <w:tr w:rsidR="003E14B5" w:rsidRPr="00DA708B" w14:paraId="661BF504" w14:textId="77777777" w:rsidTr="003E14B5">
        <w:trPr>
          <w:jc w:val="center"/>
        </w:trPr>
        <w:tc>
          <w:tcPr>
            <w:tcW w:w="9493" w:type="dxa"/>
            <w:gridSpan w:val="7"/>
            <w:tcBorders>
              <w:top w:val="double" w:sz="4" w:space="0" w:color="auto"/>
              <w:bottom w:val="single" w:sz="8" w:space="0" w:color="auto"/>
            </w:tcBorders>
          </w:tcPr>
          <w:p w14:paraId="0BA222C1" w14:textId="77777777" w:rsidR="003E14B5" w:rsidRPr="00DA708B" w:rsidRDefault="003E14B5" w:rsidP="003E14B5">
            <w:pPr>
              <w:pStyle w:val="Textoindependiente"/>
              <w:spacing w:before="96" w:after="160" w:line="249" w:lineRule="auto"/>
              <w:ind w:left="0" w:right="-1"/>
              <w:jc w:val="left"/>
              <w:rPr>
                <w:rFonts w:eastAsiaTheme="minorEastAsia"/>
                <w:w w:val="100"/>
                <w:sz w:val="18"/>
                <w:szCs w:val="18"/>
              </w:rPr>
            </w:pPr>
            <w:r>
              <w:rPr>
                <w:rFonts w:eastAsiaTheme="minorEastAsia"/>
                <w:w w:val="100"/>
                <w:sz w:val="18"/>
                <w:szCs w:val="18"/>
              </w:rPr>
              <w:t>HR: Razón de riesgo. 95% IC: Intervalo de confianza al 95%. CC = Pacientes críticos crónicos. No-CC = Pacientes críticos no-crónicos. Valor-p = Valor-p del estadístico de la prueba de Wald. ***valor-p &lt; 0.01, **valor-p &lt; 0.05, *valor-p &lt; 0.1</w:t>
            </w:r>
          </w:p>
        </w:tc>
      </w:tr>
    </w:tbl>
    <w:p w14:paraId="59938F6A" w14:textId="77777777" w:rsidR="003E14B5" w:rsidRDefault="003E14B5" w:rsidP="007734FE">
      <w:pPr>
        <w:pStyle w:val="Textoindependiente"/>
        <w:spacing w:before="96" w:after="160" w:line="249" w:lineRule="auto"/>
        <w:ind w:right="-1"/>
        <w:rPr>
          <w:rFonts w:eastAsiaTheme="minorEastAsia"/>
          <w:w w:val="100"/>
        </w:rPr>
        <w:sectPr w:rsidR="003E14B5" w:rsidSect="00DA708B">
          <w:type w:val="continuous"/>
          <w:pgSz w:w="11906" w:h="16838"/>
          <w:pgMar w:top="720" w:right="720" w:bottom="720" w:left="720" w:header="708" w:footer="708" w:gutter="0"/>
          <w:cols w:space="708"/>
          <w:docGrid w:linePitch="360"/>
        </w:sectPr>
      </w:pPr>
    </w:p>
    <w:p w14:paraId="43AEF07C" w14:textId="77777777" w:rsidR="003E14B5" w:rsidRPr="00F62330" w:rsidRDefault="003E14B5" w:rsidP="007734FE">
      <w:pPr>
        <w:pStyle w:val="Textoindependiente"/>
        <w:spacing w:before="96" w:after="160" w:line="249" w:lineRule="auto"/>
        <w:ind w:left="0" w:right="-1"/>
        <w:rPr>
          <w:w w:val="100"/>
        </w:rPr>
      </w:pPr>
    </w:p>
    <w:p w14:paraId="22667CC1" w14:textId="32BAEEC3" w:rsidR="0063130F" w:rsidRDefault="0063130F" w:rsidP="0063130F">
      <w:pPr>
        <w:pStyle w:val="Textoindependiente"/>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Discusión de resultados</w:t>
      </w:r>
    </w:p>
    <w:p w14:paraId="4866732D" w14:textId="42BF320A" w:rsidR="00A83CF6" w:rsidRDefault="006E54A5" w:rsidP="00A83CF6">
      <w:pPr>
        <w:pStyle w:val="Textoindependiente"/>
        <w:spacing w:before="96" w:after="160" w:line="249" w:lineRule="auto"/>
        <w:ind w:left="0" w:right="-1" w:firstLine="284"/>
        <w:rPr>
          <w:rFonts w:eastAsiaTheme="minorEastAsia"/>
          <w:w w:val="100"/>
        </w:rPr>
      </w:pPr>
      <w:r>
        <w:rPr>
          <w:rFonts w:eastAsiaTheme="minorEastAsia"/>
          <w:w w:val="100"/>
        </w:rPr>
        <w:t xml:space="preserve">El estimador no-paramétrico de Kaplan-Meier y el modelo paramétrico de </w:t>
      </w:r>
      <w:proofErr w:type="spellStart"/>
      <w:r>
        <w:rPr>
          <w:rFonts w:eastAsiaTheme="minorEastAsia"/>
          <w:w w:val="100"/>
        </w:rPr>
        <w:t>Gompertz</w:t>
      </w:r>
      <w:proofErr w:type="spellEnd"/>
      <w:r>
        <w:rPr>
          <w:rFonts w:eastAsiaTheme="minorEastAsia"/>
          <w:w w:val="100"/>
        </w:rPr>
        <w:t xml:space="preserve"> muestran una tasa de mortalidad a los 30 días relativamente alta para pacientes en UCI por COVID-19 (52.97% [95% IC: 50.01 - </w:t>
      </w:r>
      <w:r w:rsidR="00052FF7">
        <w:rPr>
          <w:rFonts w:eastAsiaTheme="minorEastAsia"/>
          <w:w w:val="100"/>
        </w:rPr>
        <w:t>56</w:t>
      </w:r>
      <w:r>
        <w:rPr>
          <w:rFonts w:eastAsiaTheme="minorEastAsia"/>
          <w:w w:val="100"/>
        </w:rPr>
        <w:t>]</w:t>
      </w:r>
      <w:r w:rsidR="00052FF7">
        <w:rPr>
          <w:rFonts w:eastAsiaTheme="minorEastAsia"/>
          <w:w w:val="100"/>
        </w:rPr>
        <w:t xml:space="preserve"> y 52.92% [95% IC: 50.06 – 55.57], respectivamente</w:t>
      </w:r>
      <w:r>
        <w:rPr>
          <w:rFonts w:eastAsiaTheme="minorEastAsia"/>
          <w:w w:val="100"/>
        </w:rPr>
        <w:t>)</w:t>
      </w:r>
      <w:r w:rsidR="00052FF7">
        <w:rPr>
          <w:rFonts w:eastAsiaTheme="minorEastAsia"/>
          <w:w w:val="100"/>
        </w:rPr>
        <w:t xml:space="preserve">. Mediante una revisión sistemática sobre 24 estudios en Asia, Europa y Norteamérica, un análisis cuantitativo evidenció una tasa de mortalidad de 41.6% (95% IC: 34 – 49.7) </w:t>
      </w:r>
      <w:r w:rsidR="00E02CA9">
        <w:rPr>
          <w:rFonts w:eastAsiaTheme="minorEastAsia"/>
          <w:w w:val="100"/>
        </w:rPr>
        <w:fldChar w:fldCharType="begin" w:fldLock="1"/>
      </w:r>
      <w:r w:rsidR="00E02CA9">
        <w:rPr>
          <w:rFonts w:eastAsiaTheme="minorEastAsia"/>
          <w:w w:val="100"/>
        </w:rPr>
        <w:instrText>ADDIN CSL_CITATION {"citationItems":[{"id":"ITEM-1","itemData":{"author":[{"dropping-particle":"","family":"Armstrong","given":"R. A.","non-dropping-particle":"","parse-names":false,"suffix":""},{"dropping-particle":"","family":"Kane","given":"A. D.","non-dropping-particle":"","parse-names":false,"suffix":""},{"dropping-particle":"","family":"Cook","given":"T. M.","non-dropping-particle":"","parse-names":false,"suffix":""}],"container-title":"Anaesthesia","id":"ITEM-1","issue":"10","issued":{"date-parts":[["2020"]]},"page":"1340-1349","title":"Outcomes from intensive care in patients with COVID-19: a systematic review and meta-analysis of observational studies","type":"article-journal","volume":"75"},"uris":["http://www.mendeley.com/documents/?uuid=d29478e9-5cfc-4a74-a34d-3436868ddb40"]}],"mendeley":{"formattedCitation":"(31)","plainTextFormattedCitation":"(31)","previouslyFormattedCitation":"(31)"},"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(31)</w:t>
      </w:r>
      <w:r w:rsidR="00E02CA9">
        <w:rPr>
          <w:rFonts w:eastAsiaTheme="minorEastAsia"/>
          <w:w w:val="100"/>
        </w:rPr>
        <w:fldChar w:fldCharType="end"/>
      </w:r>
      <w:r w:rsidR="00052FF7">
        <w:rPr>
          <w:rFonts w:eastAsiaTheme="minorEastAsia"/>
          <w:w w:val="100"/>
        </w:rPr>
        <w:t xml:space="preserve">. Para una cohorte </w:t>
      </w:r>
      <w:r w:rsidR="00E02CA9">
        <w:rPr>
          <w:rFonts w:eastAsiaTheme="minorEastAsia"/>
          <w:w w:val="100"/>
        </w:rPr>
        <w:t xml:space="preserve">de pacientes en UCI por neumonía SARS-CoV-2 en Wuhan, China, se reportó una tasa de mortalidad a los 28 días del 61.5% </w:t>
      </w:r>
      <w:r w:rsidR="00E02CA9">
        <w:rPr>
          <w:rFonts w:eastAsiaTheme="minorEastAsia"/>
          <w:w w:val="100"/>
        </w:rPr>
        <w:fldChar w:fldCharType="begin" w:fldLock="1"/>
      </w:r>
      <w:r w:rsidR="00E02CA9">
        <w:rPr>
          <w:rFonts w:eastAsiaTheme="minorEastAsia"/>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(6)</w:t>
      </w:r>
      <w:r w:rsidR="00E02CA9">
        <w:rPr>
          <w:rFonts w:eastAsiaTheme="minorEastAsia"/>
          <w:w w:val="100"/>
        </w:rPr>
        <w:fldChar w:fldCharType="end"/>
      </w:r>
      <w:r w:rsidR="00E02CA9">
        <w:rPr>
          <w:rFonts w:eastAsiaTheme="minorEastAsia"/>
          <w:w w:val="100"/>
        </w:rPr>
        <w:t xml:space="preserve">; en un estudio multicéntrico sobre pacientes admitidos de UCI en Francia, Bélgica y Suiza, se registró una tasa del 31% </w:t>
      </w:r>
      <w:r w:rsidR="00E02CA9">
        <w:rPr>
          <w:rFonts w:eastAsiaTheme="minorEastAsia"/>
          <w:w w:val="100"/>
        </w:rPr>
        <w:fldChar w:fldCharType="begin" w:fldLock="1"/>
      </w:r>
      <w:r w:rsidR="004A1D1D">
        <w:rPr>
          <w:rFonts w:eastAsiaTheme="minorEastAsia"/>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(12)</w:t>
      </w:r>
      <w:r w:rsidR="00E02CA9">
        <w:rPr>
          <w:rFonts w:eastAsiaTheme="minorEastAsia"/>
          <w:w w:val="100"/>
        </w:rPr>
        <w:fldChar w:fldCharType="end"/>
      </w:r>
      <w:r w:rsidR="00E02CA9">
        <w:rPr>
          <w:rFonts w:eastAsiaTheme="minorEastAsia"/>
          <w:w w:val="100"/>
        </w:rPr>
        <w:t>.</w:t>
      </w:r>
    </w:p>
    <w:p w14:paraId="54366271" w14:textId="5151C9EA" w:rsidR="00E02CA9" w:rsidRPr="00D015B1" w:rsidRDefault="00E02CA9" w:rsidP="00E02CA9">
      <w:pPr>
        <w:pStyle w:val="Textoindependiente"/>
        <w:numPr>
          <w:ilvl w:val="2"/>
          <w:numId w:val="6"/>
        </w:numPr>
        <w:spacing w:before="96" w:line="249" w:lineRule="auto"/>
        <w:ind w:left="0" w:right="-1" w:firstLine="0"/>
        <w:rPr>
          <w:i/>
          <w:iCs/>
          <w:w w:val="100"/>
        </w:rPr>
      </w:pPr>
      <w:r>
        <w:rPr>
          <w:rFonts w:eastAsiaTheme="minorEastAsia"/>
          <w:i/>
          <w:iCs/>
          <w:w w:val="100"/>
        </w:rPr>
        <w:t>Sexo masculino como factor de riesgo</w:t>
      </w:r>
    </w:p>
    <w:p w14:paraId="507A92EE" w14:textId="1A301182" w:rsidR="00CF5E9D" w:rsidRDefault="00D015B1" w:rsidP="00CF5E9D">
      <w:pPr>
        <w:pStyle w:val="Textoindependiente"/>
        <w:spacing w:before="96" w:line="249" w:lineRule="auto"/>
        <w:ind w:left="0" w:right="-1" w:firstLine="284"/>
        <w:rPr>
          <w:w w:val="100"/>
        </w:rPr>
      </w:pPr>
      <w:r>
        <w:rPr>
          <w:w w:val="100"/>
        </w:rPr>
        <w:t>Nuestro estudio verifica un fenómeno documentado en estudios anteriores</w:t>
      </w:r>
      <w:r w:rsidR="004A1D1D">
        <w:rPr>
          <w:w w:val="100"/>
        </w:rPr>
        <w:t xml:space="preserve"> </w:t>
      </w:r>
      <w:r w:rsidR="004A1D1D">
        <w:rPr>
          <w:w w:val="100"/>
        </w:rPr>
        <w:fldChar w:fldCharType="begin" w:fldLock="1"/>
      </w:r>
      <w:r w:rsidR="004A1D1D">
        <w:rPr>
          <w:w w:val="100"/>
        </w:rPr>
        <w:instrText>ADDIN CSL_CITATION {"citationItems":[{"id":"ITEM-1","itemData":{"DOI":"10.1186/s12871-022-01845-9","ISSN":"14712253","PMID":"36192702","abstract":"Background: During the COVID-19 first wave in France, the capacity of intensive care unit (ICU) beds almost doubled, mainly because of the opening of temporary ICUs with staff and equipment from anaesthesia. Objectives: We aim to investigate if the initial management in temporary ICU is associated with a change in ICU mortality and short-term prognosis. Design: Retrospective single-centre cohort study. Setting: Surgical ICU of the Bichat Claude Bernard University Hospital during the COVID-19 “first wave” (from 18 March to 10 April 2020). Patients: All consecutive patients older than 18 years of age with laboratory-confirmed SARS-CoV-2 infection and/or typical radiological patterns were included during their first stay in the ICU for COVID-19. Intervention: Patients were admitted to a temporary ICU if no room was available in the classical ICU and if they needed invasive mechanical ventilation but no renal replacement therapy or Extracorporeal Membrane Oxygenation (ECMO) in the short term. The temporary ICUs were managed by mixed teams (from the ICU and anaesthesiology departments) following a common protocol and staff meetings. Main outcome measure: ICU mortality Results: Among the 59 patients admitted, 37 (62.7%) patients had initial management in the temporary ICU. They had the same characteristics on admission and the same medical management as patients admitted to the classical ICU. ICU mortality was similar in the 2 groups (32.4% in temporary ICUs versus 40.9% in classical ICUs; p=0.58). SAPS-II and ECMO use were associated with mortality in multivariate analysis but not admission to the temporary ICU. Conclusion: In an overload context of the ICU of a geographical area, our temporary ICU model allowed access to intensive care for all patients requiring it without endangering them.","author":[{"dropping-particle":"","family":"Zappella","given":"Nathalie","non-dropping-particle":"","parse-names":false,"suffix":""},{"dropping-particle":"","family":"Dirani","given":"Chadi","non-dropping-particle":"","parse-names":false,"suffix":""},{"dropping-particle":"","family":"Lortat Jacob","given":"Brice","non-dropping-particle":"","parse-names":false,"suffix":""},{"dropping-particle":"","family":"Tanaka","given":"Sébastien","non-dropping-particle":"","parse-names":false,"suffix":""},{"dropping-particle":"","family":"Kantor","given":"Elie","non-dropping-particle":"","parse-names":false,"suffix":""},{"dropping-particle":"","family":"Kalai","given":"Adnan","non-dropping-particle":"El","parse-names":false,"suffix":""},{"dropping-particle":"","family":"Rkik","given":"Yassine","non-dropping-particle":"","parse-names":false,"suffix":""},{"dropping-particle":"","family":"Gouel Cheron","given":"Aurélie","non-dropping-particle":"","parse-names":false,"suffix":""},{"dropping-particle":"","family":"Tran Dinh","given":"Alexy","non-dropping-particle":"","parse-names":false,"suffix":""},{"dropping-particle":"","family":"Montravers","given":"Philippe","non-dropping-particle":"","parse-names":false,"suffix":""}],"container-title":"BMC Anesthesiology","id":"ITEM-1","issue":"1","issued":{"date-parts":[["2022"]]},"page":"1-10","publisher":"BioMed Central","title":"Temporary ICUs during the COVID-19 pandemic first wave: description of the cohort at a French centre","type":"article-journal","volume":"22"},"uris":["http://www.mendeley.com/documents/?uuid=84db4061-b800-4e6f-8740-98042222713a"]},{"id":"ITEM-2","itemData":{"author":[{"dropping-particle":"","family":"Zhan","given":"Zhu","non-dropping-particle":"","parse-names":false,"suffix":""},{"dropping-particle":"","family":"Yang","given":"Xin","non-dropping-particle":"","parse-names":false,"suffix":""},{"dropping-particle":"","family":"Du","given":"Hu","non-dropping-particle":"","parse-names":false,"suffix":""},{"dropping-particle":"","family":"Zhang","given":"Chuanlai","non-dropping-particle":"","parse-names":false,"suffix":""},{"dropping-particle":"","family":"Song","given":"Yuyan","non-dropping-particle":"","parse-names":false,"suffix":""},{"dropping-particle":"","family":"Ran","given":"Xiaoyun","non-dropping-particle":"","parse-names":false,"suffix":""},{"dropping-particle":"","family":"Zhang","given":"An","non-dropping-particle":"","parse-names":false,"suffix":""},{"dropping-particle":"","family":"Yang","given":"Mei","non-dropping-particle":"","parse-names":false,"suffix":""}],"container-title":"JMIR Public Health and Surveillance","id":"ITEM-2","issue":"3","issued":{"date-parts":[["2021"]]},"page":"1-12","title":"Early improvement of acute respiratory distress syndrome in patients with COVID-19 in the intensive care unit: retrospective analysis","type":"article-journal","volume":"7"},"uris":["http://www.mendeley.com/documents/?uuid=6701dc47-0ea7-448d-9cfb-29a783269d38"]}],"mendeley":{"formattedCitation":"(32,33)","plainTextFormattedCitation":"(32,33)","previouslyFormattedCitation":"(32,33)"},"properties":{"noteIndex":0},"schema":"https://github.com/citation-style-language/schema/raw/master/csl-citation.json"}</w:instrText>
      </w:r>
      <w:r w:rsidR="004A1D1D">
        <w:rPr>
          <w:w w:val="100"/>
        </w:rPr>
        <w:fldChar w:fldCharType="separate"/>
      </w:r>
      <w:r w:rsidR="004A1D1D" w:rsidRPr="004A1D1D">
        <w:rPr>
          <w:noProof/>
          <w:w w:val="100"/>
        </w:rPr>
        <w:t>(32,33)</w:t>
      </w:r>
      <w:r w:rsidR="004A1D1D">
        <w:rPr>
          <w:w w:val="100"/>
        </w:rPr>
        <w:fldChar w:fldCharType="end"/>
      </w:r>
      <w:r w:rsidR="004A1D1D">
        <w:rPr>
          <w:w w:val="100"/>
        </w:rPr>
        <w:t xml:space="preserve"> </w:t>
      </w:r>
      <w:r>
        <w:rPr>
          <w:w w:val="100"/>
        </w:rPr>
        <w:t xml:space="preserve">y revisiones sistemáticas </w:t>
      </w:r>
      <w:r w:rsidR="004A1D1D">
        <w:rPr>
          <w:w w:val="100"/>
        </w:rPr>
        <w:fldChar w:fldCharType="begin" w:fldLock="1"/>
      </w:r>
      <w:r w:rsidR="004A1D1D">
        <w:rPr>
          <w:w w:val="100"/>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admission","type":"article-journal","volume":"11"},"uris":["http://www.mendeley.com/documents/?uuid=17e086e2-e90b-478b-b32d-d4060e2904d9"]},{"id":"ITEM-2","itemData":{"author":[{"dropping-particle":"","family":"Armstrong","given":"R. A.","non-dropping-particle":"","parse-names":false,"suffix":""},{"dropping-particle":"","family":"Kane","given":"A. D.","non-dropping-particle":"","parse-names":false,"suffix":""},{"dropping-particle":"","family":"Cook","given":"T. M.","non-dropping-particle":"","parse-names":false,"suffix":""}],"container-title":"Anaesthesia","id":"ITEM-2","issue":"10","issued":{"date-parts":[["2020"]]},"page":"1340-1349","title":"Outcomes from intensive care in patients with COVID-19: a systematic review and meta-analysis of observational studies","type":"article-journal","volume":"75"},"uris":["http://www.mendeley.com/documents/?uuid=d29478e9-5cfc-4a74-a34d-3436868ddb40"]}],"mendeley":{"formattedCitation":"(8,31)","plainTextFormattedCitation":"(8,31)","previouslyFormattedCitation":"(8,31)"},"properties":{"noteIndex":0},"schema":"https://github.com/citation-style-language/schema/raw/master/csl-citation.json"}</w:instrText>
      </w:r>
      <w:r w:rsidR="004A1D1D">
        <w:rPr>
          <w:w w:val="100"/>
        </w:rPr>
        <w:fldChar w:fldCharType="separate"/>
      </w:r>
      <w:r w:rsidR="004A1D1D" w:rsidRPr="004A1D1D">
        <w:rPr>
          <w:noProof/>
          <w:w w:val="100"/>
        </w:rPr>
        <w:t>(8,31)</w:t>
      </w:r>
      <w:r w:rsidR="004A1D1D">
        <w:rPr>
          <w:w w:val="100"/>
        </w:rPr>
        <w:fldChar w:fldCharType="end"/>
      </w:r>
      <w:r>
        <w:rPr>
          <w:w w:val="100"/>
        </w:rPr>
        <w:t>: la relación entre el sexo masculino y el desenlace desfavorable de pacientes en UCI por COVID-19.</w:t>
      </w:r>
      <w:r w:rsidR="00671B23">
        <w:rPr>
          <w:w w:val="100"/>
        </w:rPr>
        <w:t xml:space="preserve"> Existen dos explicaciones ampliamente difundidas: primero, los pacientes de sexo femenino y masculino muestran diferencias en la susceptibilidad y respuesta a infecciones virales</w:t>
      </w:r>
      <w:r w:rsidR="004A1D1D">
        <w:rPr>
          <w:w w:val="100"/>
        </w:rPr>
        <w:t xml:space="preserve"> </w:t>
      </w:r>
      <w:r w:rsidR="004A1D1D">
        <w:rPr>
          <w:w w:val="100"/>
        </w:rPr>
        <w:fldChar w:fldCharType="begin" w:fldLock="1"/>
      </w:r>
      <w:r w:rsidR="004A1D1D">
        <w:rPr>
          <w:w w:val="100"/>
        </w:rPr>
        <w:instrText>ADDIN CSL_CITATION {"citationItems":[{"id":"ITEM-1","itemData":{"author":[{"dropping-particle":"","family":"Klein","given":"S.","non-dropping-particle":"","parse-names":false,"suffix":""},{"dropping-particle":"","family":"Huber","given":"S.","non-dropping-particle":"","parse-names":false,"suffix":""}],"container-title":"Sex Hormones and Immunity to Infection","editor":[{"dropping-particle":"","family":"Klein","given":"S.","non-dropping-particle":"","parse-names":false,"suffix":""},{"dropping-particle":"","family":"Roberts","given":"C.","non-dropping-particle":"","parse-names":false,"suffix":""}],"id":"ITEM-1","issued":{"date-parts":[["2009"]]},"page":"93 - 122","publisher":"Springer-Verlag","publisher-place":"Berlin","title":"Sex Differences in Susceptibility to Viral Infection.","type":"chapter"},"uris":["http://www.mendeley.com/documents/?uuid=8a4aaf3c-582d-42fe-b889-005b6a5c96bd"]}],"mendeley":{"formattedCitation":"(34)","plainTextFormattedCitation":"(34)","previouslyFormattedCitation":"(34)"},"properties":{"noteIndex":0},"schema":"https://github.com/citation-style-language/schema/raw/master/csl-citation.json"}</w:instrText>
      </w:r>
      <w:r w:rsidR="004A1D1D">
        <w:rPr>
          <w:w w:val="100"/>
        </w:rPr>
        <w:fldChar w:fldCharType="separate"/>
      </w:r>
      <w:r w:rsidR="004A1D1D" w:rsidRPr="004A1D1D">
        <w:rPr>
          <w:noProof/>
          <w:w w:val="100"/>
        </w:rPr>
        <w:t>(34)</w:t>
      </w:r>
      <w:r w:rsidR="004A1D1D">
        <w:rPr>
          <w:w w:val="100"/>
        </w:rPr>
        <w:fldChar w:fldCharType="end"/>
      </w:r>
      <w:r w:rsidR="00671B23">
        <w:rPr>
          <w:w w:val="100"/>
        </w:rPr>
        <w:t>, de donde se desprende la diferencia en la prevalencia, la respuesta inmune, la severidad y el desenlace de la infección</w:t>
      </w:r>
      <w:r w:rsidR="00671B23">
        <w:rPr>
          <w:rStyle w:val="Refdenotaalpie"/>
          <w:w w:val="100"/>
        </w:rPr>
        <w:footnoteReference w:id="5"/>
      </w:r>
      <w:r w:rsidR="00671B23">
        <w:rPr>
          <w:w w:val="100"/>
        </w:rPr>
        <w:t>. En segundo lugar, investigaciones tempranas arguyeron</w:t>
      </w:r>
      <w:r w:rsidR="004A1D1D">
        <w:rPr>
          <w:w w:val="100"/>
        </w:rPr>
        <w:t xml:space="preserve"> que </w:t>
      </w:r>
      <w:r w:rsidR="004A1D1D">
        <w:rPr>
          <w:w w:val="100"/>
        </w:rPr>
        <w:t xml:space="preserve">el desenlace desfavorable de los pacientes en UCI por COVID-19 está relacionado con comorbilidades —v.gr.: hipertensión, enfermedades cardiovasculares y pulmonares— u otros factores de riesgo —v.gr.: tabaquismo— cuya prevalencia es superior en hombres </w:t>
      </w:r>
      <w:r w:rsidR="004A1D1D">
        <w:rPr>
          <w:w w:val="100"/>
        </w:rPr>
        <w:fldChar w:fldCharType="begin" w:fldLock="1"/>
      </w:r>
      <w:r w:rsidR="004A1D1D">
        <w:rPr>
          <w:w w:val="100"/>
        </w:rPr>
        <w:instrText>ADDIN CSL_CITATION {"citationItems":[{"id":"ITEM-1","itemData":{"author":[{"dropping-particle":"","family":"Cai","given":"H.","non-dropping-particle":"","parse-names":false,"suffix":""}],"container-title":"Lancet Respir Med.","id":"ITEM-1","issue":"4","issued":{"date-parts":[["2020"]]},"page":"e20","title":"Sex difference and smoking predisposition in patients with COVID-19","type":"article-journal","volume":"8"},"uris":["http://www.mendeley.com/documents/?uuid=53475d8a-4efd-4362-9964-c19884756b5e"]},{"id":"ITEM-2","itemData":{"DOI":"10.1016/S0140-6736(20)30823-0","ISSN":"1474547X","PMID":"32278370","author":[{"dropping-particle":"","family":"The Lancet","given":"","non-dropping-particle":"","parse-names":false,"suffix":""}],"container-title":"The Lancet","id":"ITEM-2","issue":"10231","issued":{"date-parts":[["2020"]]},"page":"1168","publisher":"Elsevier Ltd","title":"The gendered dimensions of COVID-19","type":"article-journal","volume":"395"},"uris":["http://www.mendeley.com/documents/?uuid=4eb68ffa-f752-47ef-ae16-491a2351803b"]}],"mendeley":{"formattedCitation":"(35,36)","plainTextFormattedCitation":"(35,36)","previouslyFormattedCitation":"(35,36)"},"properties":{"noteIndex":0},"schema":"https://github.com/citation-style-language/schema/raw/master/csl-citation.json"}</w:instrText>
      </w:r>
      <w:r w:rsidR="004A1D1D">
        <w:rPr>
          <w:w w:val="100"/>
        </w:rPr>
        <w:fldChar w:fldCharType="separate"/>
      </w:r>
      <w:r w:rsidR="004A1D1D" w:rsidRPr="004A1D1D">
        <w:rPr>
          <w:noProof/>
          <w:w w:val="100"/>
        </w:rPr>
        <w:t>(35,36)</w:t>
      </w:r>
      <w:r w:rsidR="004A1D1D">
        <w:rPr>
          <w:w w:val="100"/>
        </w:rPr>
        <w:fldChar w:fldCharType="end"/>
      </w:r>
      <w:r w:rsidR="004A1D1D">
        <w:rPr>
          <w:w w:val="100"/>
        </w:rPr>
        <w:t xml:space="preserve">. Una investigación reciente proporciona, no obstante, evidencia en favor de la primera tesis </w:t>
      </w:r>
      <w:r w:rsidR="004A1D1D">
        <w:rPr>
          <w:w w:val="100"/>
        </w:rPr>
        <w:fldChar w:fldCharType="begin" w:fldLock="1"/>
      </w:r>
      <w:r w:rsidR="00AF532B">
        <w:rPr>
          <w:w w:val="100"/>
        </w:rPr>
        <w:instrText>ADDIN CSL_CITATION {"citationItems":[{"id":"ITEM-1","itemData":{"DOI":"10.1038/s41598-021-04531-x","ISBN":"0123456789","ISSN":"20452322","PMID":"35031644","abstract":"Although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strategies.","author":[{"dropping-particle":"","family":"Meijs","given":"Daniek A.M.","non-dropping-particle":"","parse-names":false,"suffix":""},{"dropping-particle":"","family":"Bussel","given":"Bas C.T.","non-dropping-particle":"van","parse-names":false,"suffix":""},{"dropping-particle":"","family":"Stessel","given":"Björn","non-dropping-particle":"","parse-names":false,"suffix":""},{"dropping-particle":"","family":"Mehagnoul-Schipper","given":"Jannet","non-dropping-particle":"","parse-names":false,"suffix":""},{"dropping-particle":"","family":"Hana","given":"Anisa","non-dropping-particle":"","parse-names":false,"suffix":""},{"dropping-particle":"","family":"Scheeren","given":"Clarissa I.E.","non-dropping-particle":"","parse-names":false,"suffix":""},{"dropping-particle":"","family":"Peters","given":"Sanne A.E.","non-dropping-particle":"","parse-names":false,"suffix":""},{"dropping-particle":"","family":"Mook","given":"Walther N.K.A.","non-dropping-particle":"van","parse-names":false,"suffix":""},{"dropping-particle":"","family":"Horst","given":"Iwan C.C.","non-dropping-particle":"van der","parse-names":false,"suffix":""},{"dropping-particle":"","family":"Marx","given":"Gernot","non-dropping-particle":"","parse-names":false,"suffix":""},{"dropping-particle":"","family":"Mesotten","given":"Dieter","non-dropping-particle":"","parse-names":false,"suffix":""},{"dropping-particle":"","family":"Ghossein-Doha","given":"Chahinda","non-dropping-particle":"","parse-names":false,"suffix":""},{"dropping-particle":"","family":"Heijnen","given":"Nanon F.L.","non-dropping-particle":"","parse-names":false,"suffix":""},{"dropping-particle":"","family":"Bickenbach","given":"Johannes","non-dropping-particle":"","parse-names":false,"suffix":""},{"dropping-particle":"","family":"Woude","given":"Meta C.E.","non-dropping-particle":"van der","parse-names":false,"suffix":""},{"dropping-particle":"","family":"Raafs","given":"Anne","non-dropping-particle":"","parse-names":false,"suffix":""},{"dropping-particle":"","family":"Kuijk","given":"Sander M.J.","non-dropping-particle":"van","parse-names":false,"suffix":""},{"dropping-particle":"","family":"Smits","given":"Luc J.M.","non-dropping-particle":"","parse-names":false,"suffix":""},{"dropping-particle":"","family":"Janssen","given":"Emma B.N.J.","non-dropping-particle":"","parse-names":false,"suffix":""},{"dropping-particle":"","family":"Pierlet","given":"Noёlla","non-dropping-particle":"","parse-names":false,"suffix":""},{"dropping-particle":"","family":"Goethuys","given":"Ben","non-dropping-particle":"","parse-names":false,"suffix":""},{"dropping-particle":"","family":"Bruggen","given":"Jonas","non-dropping-particle":"","parse-names":false,"suffix":""},{"dropping-particle":"","family":"Vermeiren","given":"Gilles","non-dropping-particle":"","parse-names":false,"suffix":""},{"dropping-particle":"","family":"Vervloessem","given":"Hendrik","non-dropping-particle":"","parse-names":false,"suffix":""},{"dropping-particle":"","family":"Mulder","given":"Mark M.G.","non-dropping-particle":"","parse-names":false,"suffix":""},{"dropping-particle":"","family":"Koelmann","given":"Marcel","non-dropping-particle":"","parse-names":false,"suffix":""},{"dropping-particle":"","family":"Bels","given":"Julia L.M.","non-dropping-particle":"","parse-names":false,"suffix":""},{"dropping-particle":"","family":"Bormans-Russell","given":"Laura","non-dropping-particle":"","parse-names":false,"suffix":""},{"dropping-particle":"","family":"Florack","given":"Micheline C.D.M.","non-dropping-particle":"","parse-names":false,"suffix":""},{"dropping-particle":"","family":"Boer","given":"Willem","non-dropping-particle":"","parse-names":false,"suffix":""},{"dropping-particle":"","family":"Laenen","given":"Margot","non-dropping-particle":"Vander","parse-names":false,"suffix":""}],"container-title":"Scientific Reports","id":"ITEM-1","issue":"1","issued":{"date-parts":[["2022"]]},"page":"1-9","title":"Better COVID-19 Intensive Care Unit survival in females, independent of age, disease severity, comorbidities, and treatment","type":"article-journal","volume":"12"},"uris":["http://www.mendeley.com/documents/?uuid=0f6b13b5-7bf8-4bfc-9eea-225c36b25532"]}],"mendeley":{"formattedCitation":"(37)","plainTextFormattedCitation":"(37)","previouslyFormattedCitation":"(37)"},"properties":{"noteIndex":0},"schema":"https://github.com/citation-style-language/schema/raw/master/csl-citation.json"}</w:instrText>
      </w:r>
      <w:r w:rsidR="004A1D1D">
        <w:rPr>
          <w:w w:val="100"/>
        </w:rPr>
        <w:fldChar w:fldCharType="separate"/>
      </w:r>
      <w:r w:rsidR="004A1D1D" w:rsidRPr="004A1D1D">
        <w:rPr>
          <w:noProof/>
          <w:w w:val="100"/>
        </w:rPr>
        <w:t>(37)</w:t>
      </w:r>
      <w:r w:rsidR="004A1D1D">
        <w:rPr>
          <w:w w:val="100"/>
        </w:rPr>
        <w:fldChar w:fldCharType="end"/>
      </w:r>
      <w:r w:rsidR="004A1D1D">
        <w:rPr>
          <w:w w:val="100"/>
        </w:rPr>
        <w:t>.</w:t>
      </w:r>
    </w:p>
    <w:p w14:paraId="46ACE98C" w14:textId="5608DFA4" w:rsidR="00AF532B" w:rsidRPr="00D015B1" w:rsidRDefault="00AF532B" w:rsidP="00917520">
      <w:pPr>
        <w:pStyle w:val="Textoindependiente"/>
        <w:spacing w:before="96" w:line="249" w:lineRule="auto"/>
        <w:ind w:left="0" w:right="-1" w:firstLine="284"/>
        <w:rPr>
          <w:w w:val="100"/>
        </w:rPr>
      </w:pPr>
      <w:r>
        <w:rPr>
          <w:w w:val="100"/>
        </w:rPr>
        <w:t>Aun cuando la diferencia no es significativa, el análisis multivariante de Cox muestra que el riesgo relativo de un paciente de sexo masculino en comparación con un paciente de sexo femenino es 1.10 (95% IC: 0.92 – 1.29). El resultado, no obstante, se puede explicar en las diferencias de la prevalencia de otros factores de riesgo que no han sido considerados (v.gr.: sistemas de clasificación de severidad de la enfermedad en UCI, tabaquismo, comorbilidades, etc.).</w:t>
      </w:r>
      <w:r w:rsidR="00917520">
        <w:rPr>
          <w:w w:val="100"/>
        </w:rPr>
        <w:t xml:space="preserve"> Para una cohorte pacientes en UCI por COVID-19 admitidos en el Hospital Universitario de Colombia, un estudio retrospectivo documentó un resultado similar (1.05 [95% IC: 0.72 – 1.53]) </w:t>
      </w:r>
      <w:r w:rsidR="00917520">
        <w:rPr>
          <w:w w:val="100"/>
        </w:rPr>
        <w:fldChar w:fldCharType="begin" w:fldLock="1"/>
      </w:r>
      <w:r w:rsidR="00761F04">
        <w:rPr>
          <w:w w:val="100"/>
        </w:rPr>
        <w:instrText>ADDIN CSL_CITATION {"citationItems":[{"id":"ITEM-1","itemData":{"DOI":"10.1016/j.infpip.2023.100283","ISSN":"25900889","abstract":"Aim: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age.","author":[{"dropping-particle":"","family":"Cortes","given":"Jorge Alberto","non-dropping-particle":"","parse-names":false,"suffix":""},{"dropping-particle":"","family":"Valderrama-Rios","given":"Martha Carolina","non-dropping-particle":"","parse-names":false,"suffix":""},{"dropping-particle":"","family":"Nocua-Báez","given":"Laura Cristina","non-dropping-particle":"","parse-names":false,"suffix":""},{"dropping-particle":"","family":"Quitián","given":"Lina María","non-dropping-particle":"","parse-names":false,"suffix":""},{"dropping-particle":"","family":"Lozada","given":"Fabio Alexander","non-dropping-particle":"","parse-names":false,"suffix":""},{"dropping-particle":"","family":"Buitrago","given":"Giancarlo","non-dropping-particle":"","parse-names":false,"suffix":""}],"container-title":"Infection Prevention in Practice","id":"ITEM-1","issue":"2","issued":{"date-parts":[["2023"]]},"page":"1-7","title":"Effect of bloodstream infection on survival in COVID-19 patients admitted to an intensive care unit in Colombia: a matched cohort analysis","type":"article-journal","volume":"5"},"uris":["http://www.mendeley.com/documents/?uuid=79a4d19f-182c-4b30-a69c-18e6bc90fb29"]}],"mendeley":{"formattedCitation":"(38)","plainTextFormattedCitation":"(38)","previouslyFormattedCitation":"(38)"},"properties":{"noteIndex":0},"schema":"https://github.com/citation-style-language/schema/raw/master/csl-citation.json"}</w:instrText>
      </w:r>
      <w:r w:rsidR="00917520">
        <w:rPr>
          <w:w w:val="100"/>
        </w:rPr>
        <w:fldChar w:fldCharType="separate"/>
      </w:r>
      <w:r w:rsidR="00917520" w:rsidRPr="00917520">
        <w:rPr>
          <w:noProof/>
          <w:w w:val="100"/>
        </w:rPr>
        <w:t>(38)</w:t>
      </w:r>
      <w:r w:rsidR="00917520">
        <w:rPr>
          <w:w w:val="100"/>
        </w:rPr>
        <w:fldChar w:fldCharType="end"/>
      </w:r>
      <w:r w:rsidR="00917520">
        <w:rPr>
          <w:w w:val="100"/>
        </w:rPr>
        <w:t xml:space="preserve">. Resultados similares fueron reportados en un estudio retrospectivo temprano en la región de Lombardía </w:t>
      </w:r>
      <w:r w:rsidR="00917520">
        <w:rPr>
          <w:w w:val="100"/>
        </w:rPr>
        <w:fldChar w:fldCharType="begin" w:fldLock="1"/>
      </w:r>
      <w:r w:rsidR="00761F04">
        <w:rPr>
          <w:w w:val="100"/>
        </w:rPr>
        <w:instrText>ADDIN CSL_CITATION {"citationItems":[{"id":"ITEM-1","itemData":{"author":[{"dropping-particle":"","family":"Grasselli","given":"Giacomo","non-dropping-particle":"","parse-names":false,"suffix":""},{"dropping-particle":"","family":"Greco","given":"Massimiliano","non-dropping-particle":"","parse-names":false,"suffix":""},{"dropping-particle":"","family":"Zanella","given":"Alberto","non-dropping-particle":"","parse-names":false,"suffix":""},{"dropping-particle":"","family":"Albano","given":"Giovanni","non-dropping-particle":"","parse-names":false,"suffix":""},{"dropping-particle":"","family":"Antonelli","given":"Massimo","non-dropping-particle":"","parse-names":false,"suffix":""},{"dropping-particle":"","family":"Bellani","given":"Giacomo","non-dropping-particle":"","parse-names":false,"suffix":""},{"dropping-particle":"","family":"Bonanomi","given":"Ezio","non-dropping-particle":"","parse-names":false,"suffix":""},{"dropping-particle":"","family":"Cabrini","given":"Luca","non-dropping-particle":"","parse-names":false,"suffix":""},{"dropping-particle":"","family":"Carlesso","given":"Eleonora","non-dropping-particle":"","parse-names":false,"suffix":""},{"dropping-particle":"","family":"Castelli","given":"Gianpaolo","non-dropping-particle":"","parse-names":false,"suffix":""},{"dropping-particle":"","family":"Cattaneo","given":"Sergio","non-dropping-particle":"","parse-names":false,"suffix":""},{"dropping-particle":"","family":"Cereda","given":"Danilo","non-dropping-particle":"","parse-names":false,"suffix":""},{"dropping-particle":"","family":"Colombo","given":"Sergio","non-dropping-particle":"","parse-names":false,"suffix":""},{"dropping-particle":"","family":"Coluccello","given":"Antonio","non-dropping-particle":"","parse-names":false,"suffix":""},{"dropping-particle":"","family":"Crescini","given":"Giuseppe","non-dropping-particle":"","parse-names":false,"suffix":""},{"dropping-particle":"","family":"Forastieri Molinari","given":"Andrea","non-dropping-particle":"","parse-names":false,"suffix":""},{"dropping-particle":"","family":"Foti","given":"Giuseppe","non-dropping-particle":"","parse-names":false,"suffix":""},{"dropping-particle":"","family":"Fumagalli","given":"Roberto","non-dropping-particle":"","parse-names":false,"suffix":""},{"dropping-particle":"","family":"Iotti","given":"Giorgio Antonio","non-dropping-particle":"","parse-names":false,"suffix":""},{"dropping-particle":"","family":"Langer","given":"Thomas","non-dropping-particle":"","parse-names":false,"suffix":""},{"dropping-particle":"","family":"Latronico","given":"Nicola","non-dropping-particle":"","parse-names":false,"suffix":""},{"dropping-particle":"","family":"Lorini","given":"Ferdinando Luca","non-dropping-particle":"","parse-names":false,"suffix":""},{"dropping-particle":"","family":"Mojoli","given":"Francesco","non-dropping-particle":"","parse-names":false,"suffix":""},{"dropping-particle":"","family":"Natalini","given":"Giuseppe","non-dropping-particle":"","parse-names":false,"suffix":""},{"dropping-particle":"","family":"Pessina","given":"Carla Maria","non-dropping-particle":"","parse-names":false,"suffix":""},{"dropping-particle":"","family":"Ranieri","given":"Vito Marco","non-dropping-particle":"","parse-names":false,"suffix":""},{"dropping-particle":"","family":"Rech","given":"Roberto","non-dropping-particle":"","parse-names":false,"suffix":""},{"dropping-particle":"","family":"Scudeller","given":"Luigia","non-dropping-particle":"","parse-names":false,"suffix":""},{"dropping-particle":"","family":"Rosano","given":"Antonio","non-dropping-particle":"","parse-names":false,"suffix":""},{"dropping-particle":"","family":"Storti","given":"Enrico","non-dropping-particle":"","parse-names":false,"suffix":""},{"dropping-particle":"","family":"Thompson","given":"B. Taylor","non-dropping-particle":"","parse-names":false,"suffix":""},{"dropping-particle":"","family":"Tirani","given":"Marcello","non-dropping-particle":"","parse-names":false,"suffix":""},{"dropping-particle":"","family":"Villani","given":"Pier Giorgio","non-dropping-particle":"","parse-names":false,"suffix":""},{"dropping-particle":"","family":"Pesenti","given":"Antonio","non-dropping-particle":"","parse-names":false,"suffix":""},{"dropping-particle":"","family":"Cecconi","given":"Maurizio","non-dropping-particle":"","parse-names":false,"suffix":""}],"container-title":"JAMA Internal Medicine","id":"ITEM-1","issue":"10","issued":{"date-parts":[["2020"]]},"page":"1345-1355","title":"Risk Factors Associated with Mortality among Patients with COVID-19 in Intensive Care Units in Lombardy, Italy","type":"article-journal","volume":"180"},"uris":["http://www.mendeley.com/documents/?uuid=5b6c59bb-38c9-4df5-9dbe-7735a903eabd"]}],"mendeley":{"formattedCitation":"(39)","plainTextFormattedCitation":"(39)","previouslyFormattedCitation":"(39)"},"properties":{"noteIndex":0},"schema":"https://github.com/citation-style-language/schema/raw/master/csl-citation.json"}</w:instrText>
      </w:r>
      <w:r w:rsidR="00917520">
        <w:rPr>
          <w:w w:val="100"/>
        </w:rPr>
        <w:fldChar w:fldCharType="separate"/>
      </w:r>
      <w:r w:rsidR="00917520" w:rsidRPr="00917520">
        <w:rPr>
          <w:noProof/>
          <w:w w:val="100"/>
        </w:rPr>
        <w:t>(39)</w:t>
      </w:r>
      <w:r w:rsidR="00917520">
        <w:rPr>
          <w:w w:val="100"/>
        </w:rPr>
        <w:fldChar w:fldCharType="end"/>
      </w:r>
      <w:r w:rsidR="00917520">
        <w:rPr>
          <w:w w:val="100"/>
        </w:rPr>
        <w:t xml:space="preserve"> y en un estudio multicéntrico en una región entre Bélgica, Holanda y Alemania </w:t>
      </w:r>
      <w:r w:rsidR="00917520">
        <w:rPr>
          <w:w w:val="100"/>
        </w:rPr>
        <w:fldChar w:fldCharType="begin" w:fldLock="1"/>
      </w:r>
      <w:r w:rsidR="00917520">
        <w:rPr>
          <w:w w:val="100"/>
        </w:rPr>
        <w:instrText>ADDIN CSL_CITATION {"citationItems":[{"id":"ITEM-1","itemData":{"DOI":"10.1038/s41598-021-04531-x","ISBN":"0123456789","ISSN":"20452322","PMID":"35031644","abstract":"Although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strategies.","author":[{"dropping-particle":"","family":"Meijs","given":"Daniek A.M.","non-dropping-particle":"","parse-names":false,"suffix":""},{"dropping-particle":"","family":"Bussel","given":"Bas C.T.","non-dropping-particle":"van","parse-names":false,"suffix":""},{"dropping-particle":"","family":"Stessel","given":"Björn","non-dropping-particle":"","parse-names":false,"suffix":""},{"dropping-particle":"","family":"Mehagnoul-Schipper","given":"Jannet","non-dropping-particle":"","parse-names":false,"suffix":""},{"dropping-particle":"","family":"Hana","given":"Anisa","non-dropping-particle":"","parse-names":false,"suffix":""},{"dropping-particle":"","family":"Scheeren","given":"Clarissa I.E.","non-dropping-particle":"","parse-names":false,"suffix":""},{"dropping-particle":"","family":"Peters","given":"Sanne A.E.","non-dropping-particle":"","parse-names":false,"suffix":""},{"dropping-particle":"","family":"Mook","given":"Walther N.K.A.","non-dropping-particle":"van","parse-names":false,"suffix":""},{"dropping-particle":"","family":"Horst","given":"Iwan C.C.","non-dropping-particle":"van der","parse-names":false,"suffix":""},{"dropping-particle":"","family":"Marx","given":"Gernot","non-dropping-particle":"","parse-names":false,"suffix":""},{"dropping-particle":"","family":"Mesotten","given":"Dieter","non-dropping-particle":"","parse-names":false,"suffix":""},{"dropping-particle":"","family":"Ghossein-Doha","given":"Chahinda","non-dropping-particle":"","parse-names":false,"suffix":""},{"dropping-particle":"","family":"Heijnen","given":"Nanon F.L.","non-dropping-particle":"","parse-names":false,"suffix":""},{"dropping-particle":"","family":"Bickenbach","given":"Johannes","non-dropping-particle":"","parse-names":false,"suffix":""},{"dropping-particle":"","family":"Woude","given":"Meta C.E.","non-dropping-particle":"van der","parse-names":false,"suffix":""},{"dropping-particle":"","family":"Raafs","given":"Anne","non-dropping-particle":"","parse-names":false,"suffix":""},{"dropping-particle":"","family":"Kuijk","given":"Sander M.J.","non-dropping-particle":"van","parse-names":false,"suffix":""},{"dropping-particle":"","family":"Smits","given":"Luc J.M.","non-dropping-particle":"","parse-names":false,"suffix":""},{"dropping-particle":"","family":"Janssen","given":"Emma B.N.J.","non-dropping-particle":"","parse-names":false,"suffix":""},{"dropping-particle":"","family":"Pierlet","given":"Noёlla","non-dropping-particle":"","parse-names":false,"suffix":""},{"dropping-particle":"","family":"Goethuys","given":"Ben","non-dropping-particle":"","parse-names":false,"suffix":""},{"dropping-particle":"","family":"Bruggen","given":"Jonas","non-dropping-particle":"","parse-names":false,"suffix":""},{"dropping-particle":"","family":"Vermeiren","given":"Gilles","non-dropping-particle":"","parse-names":false,"suffix":""},{"dropping-particle":"","family":"Vervloessem","given":"Hendrik","non-dropping-particle":"","parse-names":false,"suffix":""},{"dropping-particle":"","family":"Mulder","given":"Mark M.G.","non-dropping-particle":"","parse-names":false,"suffix":""},{"dropping-particle":"","family":"Koelmann","given":"Marcel","non-dropping-particle":"","parse-names":false,"suffix":""},{"dropping-particle":"","family":"Bels","given":"Julia L.M.","non-dropping-particle":"","parse-names":false,"suffix":""},{"dropping-particle":"","family":"Bormans-Russell","given":"Laura","non-dropping-particle":"","parse-names":false,"suffix":""},{"dropping-particle":"","family":"Florack","given":"Micheline C.D.M.","non-dropping-particle":"","parse-names":false,"suffix":""},{"dropping-particle":"","family":"Boer","given":"Willem","non-dropping-particle":"","parse-names":false,"suffix":""},{"dropping-particle":"","family":"Laenen","given":"Margot","non-dropping-particle":"Vander","parse-names":false,"suffix":""}],"container-title":"Scientific Reports","id":"ITEM-1","issue":"1","issued":{"date-parts":[["2022"]]},"page":"1-9","title":"Better COVID-19 Intensive Care Unit survival in females, independent of age, disease severity, comorbidities, and treatment","type":"article-journal","volume":"12"},"uris":["http://www.mendeley.com/documents/?uuid=0f6b13b5-7bf8-4bfc-9eea-225c36b25532"]}],"mendeley":{"formattedCitation":"(37)","plainTextFormattedCitation":"(37)","previouslyFormattedCitation":"(37)"},"properties":{"noteIndex":0},"schema":"https://github.com/citation-style-language/schema/raw/master/csl-citation.json"}</w:instrText>
      </w:r>
      <w:r w:rsidR="00917520">
        <w:rPr>
          <w:w w:val="100"/>
        </w:rPr>
        <w:fldChar w:fldCharType="separate"/>
      </w:r>
      <w:r w:rsidR="00917520" w:rsidRPr="00917520">
        <w:rPr>
          <w:noProof/>
          <w:w w:val="100"/>
        </w:rPr>
        <w:t>(37)</w:t>
      </w:r>
      <w:r w:rsidR="00917520">
        <w:rPr>
          <w:w w:val="100"/>
        </w:rPr>
        <w:fldChar w:fldCharType="end"/>
      </w:r>
      <w:r w:rsidR="00917520">
        <w:rPr>
          <w:w w:val="100"/>
        </w:rPr>
        <w:t>.</w:t>
      </w:r>
    </w:p>
    <w:p w14:paraId="51E60CD0" w14:textId="2ECECD15" w:rsidR="00E02CA9" w:rsidRPr="00917520" w:rsidRDefault="00E02CA9" w:rsidP="00E02CA9">
      <w:pPr>
        <w:pStyle w:val="Textoindependiente"/>
        <w:numPr>
          <w:ilvl w:val="2"/>
          <w:numId w:val="6"/>
        </w:numPr>
        <w:spacing w:before="96" w:line="249" w:lineRule="auto"/>
        <w:ind w:left="0" w:right="-1" w:firstLine="0"/>
        <w:rPr>
          <w:i/>
          <w:iCs/>
          <w:w w:val="100"/>
        </w:rPr>
      </w:pPr>
      <w:r>
        <w:rPr>
          <w:rFonts w:eastAsiaTheme="minorEastAsia"/>
          <w:i/>
          <w:iCs/>
          <w:w w:val="100"/>
        </w:rPr>
        <w:t>Edad avanzada como factor de riesgo</w:t>
      </w:r>
    </w:p>
    <w:p w14:paraId="4E9E78EB" w14:textId="50A38277" w:rsidR="00917520" w:rsidRDefault="00761F04" w:rsidP="00917520">
      <w:pPr>
        <w:pStyle w:val="Textoindependiente"/>
        <w:spacing w:before="96" w:line="249" w:lineRule="auto"/>
        <w:ind w:left="0" w:right="-1" w:firstLine="284"/>
        <w:rPr>
          <w:rFonts w:eastAsiaTheme="minorEastAsia"/>
          <w:w w:val="100"/>
        </w:rPr>
      </w:pPr>
      <w:r>
        <w:rPr>
          <w:rFonts w:eastAsiaTheme="minorEastAsia"/>
          <w:w w:val="100"/>
        </w:rPr>
        <w:t>Nuestro estudio documenta una tasa relativamente alta de mortalidad a los 30 días para pacientes en UCI por COVID-19 mayores de 65 años</w:t>
      </w:r>
      <w:r w:rsidR="005109F2">
        <w:rPr>
          <w:rFonts w:eastAsiaTheme="minorEastAsia"/>
          <w:w w:val="100"/>
        </w:rPr>
        <w:t xml:space="preserve"> (65.68% [95% IC: 62.07 - 69.29], según el modelo paramétrico; y 65.73% [95% IC: 60.67 - 70.74, según el método de Kaplan-Meier]</w:t>
      </w:r>
      <w:r>
        <w:rPr>
          <w:rFonts w:eastAsiaTheme="minorEastAsia"/>
          <w:w w:val="100"/>
        </w:rPr>
        <w:t xml:space="preserve">. El resultado es </w:t>
      </w:r>
      <w:r>
        <w:rPr>
          <w:rFonts w:eastAsiaTheme="minorEastAsia"/>
          <w:w w:val="100"/>
        </w:rPr>
        <w:lastRenderedPageBreak/>
        <w:t>superior a</w:t>
      </w:r>
      <w:r w:rsidR="005109F2">
        <w:rPr>
          <w:rFonts w:eastAsiaTheme="minorEastAsia"/>
          <w:w w:val="100"/>
        </w:rPr>
        <w:t xml:space="preserve"> la tasa </w:t>
      </w:r>
      <w:r>
        <w:rPr>
          <w:rFonts w:eastAsiaTheme="minorEastAsia"/>
          <w:w w:val="100"/>
        </w:rPr>
        <w:t>documentad</w:t>
      </w:r>
      <w:r w:rsidR="005109F2">
        <w:rPr>
          <w:rFonts w:eastAsiaTheme="minorEastAsia"/>
          <w:w w:val="100"/>
        </w:rPr>
        <w:t>a</w:t>
      </w:r>
      <w:r>
        <w:rPr>
          <w:rFonts w:eastAsiaTheme="minorEastAsia"/>
          <w:w w:val="100"/>
        </w:rPr>
        <w:t xml:space="preserve"> en un</w:t>
      </w:r>
      <w:r w:rsidR="00917520">
        <w:rPr>
          <w:rFonts w:eastAsiaTheme="minorEastAsia"/>
          <w:w w:val="100"/>
        </w:rPr>
        <w:t xml:space="preserve"> </w:t>
      </w:r>
      <w:r>
        <w:rPr>
          <w:rFonts w:eastAsiaTheme="minorEastAsia"/>
          <w:w w:val="100"/>
        </w:rPr>
        <w:t xml:space="preserve">amplio estudio sobre una cohorte internacional de pacientes de COVID-19 mayores de 70 años (46%) </w:t>
      </w:r>
      <w:r>
        <w:rPr>
          <w:rFonts w:eastAsiaTheme="minorEastAsia"/>
          <w:w w:val="100"/>
        </w:rPr>
        <w:fldChar w:fldCharType="begin" w:fldLock="1"/>
      </w:r>
      <w:r w:rsidR="005109F2">
        <w:rPr>
          <w:rFonts w:eastAsiaTheme="minorEastAsia"/>
          <w:w w:val="100"/>
        </w:rPr>
        <w:instrText>ADDIN CSL_CITATION {"citationItems":[{"id":"ITEM-1","itemData":{"author":[{"dropping-particle":"","family":"Dres","given":"M.","non-dropping-particle":"","parse-names":false,"suffix":""},{"dropping-particle":"","family":"Hajage","given":"D.","non-dropping-particle":"","parse-names":false,"suffix":""},{"dropping-particle":"","family":"Lebbah","given":"S.","non-dropping-particle":"","parse-names":false,"suffix":""},{"dropping-particle":"","family":"Kimmoun","given":"A.","non-dropping-particle":"","parse-names":false,"suffix":""},{"dropping-particle":"","family":"Pham","given":"T.","non-dropping-particle":"","parse-names":false,"suffix":""},{"dropping-particle":"","family":"Béduneau","given":"G.","non-dropping-particle":"","parse-names":false,"suffix":""},{"dropping-particle":"","family":"Combes","given":"A.","non-dropping-particle":"","parse-names":false,"suffix":""},{"dropping-particle":"","family":"Mercat","given":"A.","non-dropping-particle":"","parse-names":false,"suffix":""},{"dropping-particle":"","family":"Guidet","given":"B.","non-dropping-particle":"","parse-names":false,"suffix":""},{"dropping-particle":"","family":"Demoule","given":"A.","non-dropping-particle":"","parse-names":false,"suffix":""},{"dropping-particle":"","family":"Schmidt","given":"M.","non-dropping-particle":"","parse-names":false,"suffix":""},{"dropping-particle":"","family":"Investigators","given":"COVID-ICU","non-dropping-particle":"","parse-names":false,"suffix":""}],"container-title":"Ann Intensive Care","id":"ITEM-1","issue":"1","issued":{"date-parts":[["2021"]]},"page":"77","title":"Characteristics, management, and prognosis of elderly patients with COVID-19 admitted in the ICU during the first wave: insights from the COVID-ICU study : Prognosis of COVID-19 elderly critically ill patients in the ICU","type":"article-journal","volume":"11"},"uris":["http://www.mendeley.com/documents/?uuid=fe4f4a9b-fd9a-4f5d-be03-e217cb618a96"]}],"mendeley":{"formattedCitation":"(40)","plainTextFormattedCitation":"(40)","previouslyFormattedCitation":"(40)"},"properties":{"noteIndex":0},"schema":"https://github.com/citation-style-language/schema/raw/master/csl-citation.json"}</w:instrText>
      </w:r>
      <w:r>
        <w:rPr>
          <w:rFonts w:eastAsiaTheme="minorEastAsia"/>
          <w:w w:val="100"/>
        </w:rPr>
        <w:fldChar w:fldCharType="separate"/>
      </w:r>
      <w:r w:rsidRPr="00761F04">
        <w:rPr>
          <w:rFonts w:eastAsiaTheme="minorEastAsia"/>
          <w:noProof/>
          <w:w w:val="100"/>
        </w:rPr>
        <w:t>(40)</w:t>
      </w:r>
      <w:r>
        <w:rPr>
          <w:rFonts w:eastAsiaTheme="minorEastAsia"/>
          <w:w w:val="100"/>
        </w:rPr>
        <w:fldChar w:fldCharType="end"/>
      </w:r>
      <w:r>
        <w:rPr>
          <w:rFonts w:eastAsiaTheme="minorEastAsia"/>
          <w:w w:val="100"/>
        </w:rPr>
        <w:t xml:space="preserve">. Los hallazgos de nuestro estudio son, empero, cercanos a los resultados reportados en </w:t>
      </w:r>
      <w:r>
        <w:rPr>
          <w:rFonts w:eastAsiaTheme="minorEastAsia"/>
          <w:w w:val="100"/>
        </w:rPr>
        <w:t>un</w:t>
      </w:r>
      <w:r w:rsidR="005109F2">
        <w:rPr>
          <w:rFonts w:eastAsiaTheme="minorEastAsia"/>
          <w:w w:val="100"/>
        </w:rPr>
        <w:t xml:space="preserve"> estudio </w:t>
      </w:r>
      <w:r>
        <w:rPr>
          <w:rFonts w:eastAsiaTheme="minorEastAsia"/>
          <w:w w:val="100"/>
        </w:rPr>
        <w:t>retrospectiv</w:t>
      </w:r>
      <w:r w:rsidR="005109F2">
        <w:rPr>
          <w:rFonts w:eastAsiaTheme="minorEastAsia"/>
          <w:w w:val="100"/>
        </w:rPr>
        <w:t>o</w:t>
      </w:r>
      <w:r>
        <w:rPr>
          <w:rFonts w:eastAsiaTheme="minorEastAsia"/>
          <w:w w:val="100"/>
        </w:rPr>
        <w:t xml:space="preserve"> multicéntric</w:t>
      </w:r>
      <w:r w:rsidR="005109F2">
        <w:rPr>
          <w:rFonts w:eastAsiaTheme="minorEastAsia"/>
          <w:w w:val="100"/>
        </w:rPr>
        <w:t>o</w:t>
      </w:r>
      <w:r>
        <w:rPr>
          <w:rFonts w:eastAsiaTheme="minorEastAsia"/>
          <w:w w:val="100"/>
        </w:rPr>
        <w:t xml:space="preserve"> en Brasil</w:t>
      </w:r>
      <w:r w:rsidR="005109F2">
        <w:rPr>
          <w:rFonts w:eastAsiaTheme="minorEastAsia"/>
          <w:w w:val="100"/>
        </w:rPr>
        <w:t xml:space="preserve">. El estudio documenta una tasa de mortalidad a los 15 días de 55%, 63% y 71% para pacientes de 65 a 74 años, de 75 a 85 años y mayores de 85 años, respectivamente </w:t>
      </w:r>
      <w:r w:rsidR="005109F2">
        <w:rPr>
          <w:rFonts w:eastAsiaTheme="minorEastAsia"/>
          <w:w w:val="100"/>
        </w:rPr>
        <w:fldChar w:fldCharType="begin" w:fldLock="1"/>
      </w:r>
      <w:r w:rsidR="00474C7F">
        <w:rPr>
          <w:rFonts w:eastAsiaTheme="minorEastAsia"/>
          <w:w w:val="100"/>
        </w:rPr>
        <w:instrText>ADDIN CSL_CITATION {"citationItems":[{"id":"ITEM-1","itemData":{"DOI":"10.1038/s41598-022-07538-0","ISBN":"0123456789","ISSN":"20452322","PMID":"35256660","abstract":"The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times.","author":[{"dropping-particle":"","family":"Sobral","given":"Marcos Felipe Falcão","non-dropping-particle":"","parse-names":false,"suffix":""},{"dropping-particle":"","family":"Roazzi","given":"Antonio","non-dropping-particle":"","parse-names":false,"suffix":""},{"dropping-particle":"","family":"Penha Sobral","given":"Ana Iza Gomes","non-dropping-particle":"da","parse-names":false,"suffix":""},{"dropping-particle":"","family":"Oliveira","given":"Brigitte Renata Bezerra","non-dropping-particle":"de","parse-names":false,"suffix":""},{"dropping-particle":"","family":"Duarte","given":"Gisleia Benini","non-dropping-particle":"","parse-names":false,"suffix":""},{"dropping-particle":"","family":"Silva","given":"Jadson Freire","non-dropping-particle":"da","parse-names":false,"suffix":""},{"dropping-particle":"","family":"Nogueira","given":"Renata Maria Toscano Barreto Lyra","non-dropping-particle":"","parse-names":false,"suffix":""}],"container-title":"Scientific Reports","id":"ITEM-1","issue":"1","issued":{"date-parts":[["2022"]]},"note":"XXIV.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supervivencia.","page":"1-11","publisher":"Nature Publishing Group UK","title":"A retrospective cohort study of 238,000 COVID-19 hospitalizations and deaths in Brazil","type":"article-journal","volume":"12"},"uris":["http://www.mendeley.com/documents/?uuid=5dbc3862-834b-42c0-96bf-067114879ee6"]}],"mendeley":{"formattedCitation":"(41)","plainTextFormattedCitation":"(41)","previouslyFormattedCitation":"(41)"},"properties":{"noteIndex":0},"schema":"https://github.com/citation-style-language/schema/raw/master/csl-citation.json"}</w:instrText>
      </w:r>
      <w:r w:rsidR="005109F2">
        <w:rPr>
          <w:rFonts w:eastAsiaTheme="minorEastAsia"/>
          <w:w w:val="100"/>
        </w:rPr>
        <w:fldChar w:fldCharType="separate"/>
      </w:r>
      <w:r w:rsidR="005109F2" w:rsidRPr="005109F2">
        <w:rPr>
          <w:rFonts w:eastAsiaTheme="minorEastAsia"/>
          <w:noProof/>
          <w:w w:val="100"/>
        </w:rPr>
        <w:t>(41)</w:t>
      </w:r>
      <w:r w:rsidR="005109F2">
        <w:rPr>
          <w:rFonts w:eastAsiaTheme="minorEastAsia"/>
          <w:w w:val="100"/>
        </w:rPr>
        <w:fldChar w:fldCharType="end"/>
      </w:r>
      <w:r w:rsidR="005109F2">
        <w:rPr>
          <w:rFonts w:eastAsiaTheme="minorEastAsia"/>
          <w:w w:val="100"/>
        </w:rPr>
        <w:t xml:space="preserve">. </w:t>
      </w:r>
    </w:p>
    <w:p w14:paraId="09AFA396" w14:textId="77777777" w:rsidR="003E14B5" w:rsidRDefault="003E14B5" w:rsidP="00917520">
      <w:pPr>
        <w:pStyle w:val="Textoindependiente"/>
        <w:spacing w:before="96" w:line="249" w:lineRule="auto"/>
        <w:ind w:left="0" w:right="-1" w:firstLine="284"/>
        <w:rPr>
          <w:rFonts w:eastAsiaTheme="minorEastAsia"/>
          <w:w w:val="100"/>
        </w:rPr>
        <w:sectPr w:rsidR="003E14B5" w:rsidSect="00CF5E9D">
          <w:type w:val="continuous"/>
          <w:pgSz w:w="11906" w:h="16838"/>
          <w:pgMar w:top="720" w:right="720" w:bottom="720" w:left="720" w:header="708" w:footer="708" w:gutter="0"/>
          <w:cols w:num="2" w:space="708"/>
          <w:docGrid w:linePitch="360"/>
        </w:sectPr>
      </w:pPr>
    </w:p>
    <w:p w14:paraId="2D3D6765" w14:textId="77777777" w:rsidR="003E14B5" w:rsidRDefault="003E14B5" w:rsidP="003E14B5">
      <w:pPr>
        <w:pStyle w:val="Textoindependiente"/>
        <w:spacing w:before="96" w:after="160" w:line="249" w:lineRule="auto"/>
        <w:ind w:left="360" w:right="-1"/>
        <w:jc w:val="center"/>
        <w:rPr>
          <w:rFonts w:eastAsiaTheme="minorEastAsia"/>
          <w:w w:val="100"/>
          <w:sz w:val="16"/>
          <w:szCs w:val="16"/>
        </w:rPr>
      </w:pPr>
      <w:r>
        <w:rPr>
          <w:rFonts w:eastAsiaTheme="minorEastAsia"/>
          <w:noProof/>
          <w:w w:val="100"/>
        </w:rPr>
        <w:drawing>
          <wp:inline distT="0" distB="0" distL="0" distR="0" wp14:anchorId="6DB1404E" wp14:editId="37D74DAD">
            <wp:extent cx="2456446" cy="189000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446" cy="1890000"/>
                    </a:xfrm>
                    <a:prstGeom prst="rect">
                      <a:avLst/>
                    </a:prstGeom>
                    <a:noFill/>
                    <a:ln>
                      <a:noFill/>
                    </a:ln>
                  </pic:spPr>
                </pic:pic>
              </a:graphicData>
            </a:graphic>
          </wp:inline>
        </w:drawing>
      </w:r>
      <w:r>
        <w:rPr>
          <w:rFonts w:eastAsiaTheme="minorEastAsia"/>
          <w:w w:val="100"/>
        </w:rPr>
        <w:t xml:space="preserve">           </w:t>
      </w:r>
      <w:r>
        <w:rPr>
          <w:rFonts w:eastAsiaTheme="minorEastAsia"/>
          <w:noProof/>
          <w:w w:val="100"/>
        </w:rPr>
        <w:drawing>
          <wp:inline distT="0" distB="0" distL="0" distR="0" wp14:anchorId="4FAE2BE5" wp14:editId="7F1885B9">
            <wp:extent cx="2533352" cy="189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352" cy="1890000"/>
                    </a:xfrm>
                    <a:prstGeom prst="rect">
                      <a:avLst/>
                    </a:prstGeom>
                    <a:noFill/>
                    <a:ln>
                      <a:noFill/>
                    </a:ln>
                  </pic:spPr>
                </pic:pic>
              </a:graphicData>
            </a:graphic>
          </wp:inline>
        </w:drawing>
      </w:r>
      <w:r>
        <w:rPr>
          <w:rFonts w:eastAsiaTheme="minorEastAsia"/>
          <w:w w:val="100"/>
          <w:sz w:val="16"/>
          <w:szCs w:val="16"/>
        </w:rPr>
        <w:t xml:space="preserve">  </w:t>
      </w:r>
      <w:r w:rsidRPr="00632326">
        <w:rPr>
          <w:rFonts w:eastAsiaTheme="minorEastAsia"/>
          <w:w w:val="100"/>
          <w:sz w:val="16"/>
          <w:szCs w:val="16"/>
        </w:rPr>
        <w:t xml:space="preserve">            </w:t>
      </w:r>
    </w:p>
    <w:p w14:paraId="1E22451E" w14:textId="3CB0330A" w:rsidR="003E14B5" w:rsidRPr="003E14B5" w:rsidRDefault="003E14B5" w:rsidP="003E14B5">
      <w:pPr>
        <w:pStyle w:val="Textoindependiente"/>
        <w:numPr>
          <w:ilvl w:val="0"/>
          <w:numId w:val="14"/>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r w:rsidRPr="003E14B5">
        <w:rPr>
          <w:rFonts w:eastAsiaTheme="minorEastAsia"/>
          <w:w w:val="100"/>
          <w:sz w:val="16"/>
          <w:szCs w:val="16"/>
        </w:rPr>
        <w:t xml:space="preserve">                                                                                  </w:t>
      </w:r>
    </w:p>
    <w:p w14:paraId="16011D54" w14:textId="77777777" w:rsidR="003E14B5" w:rsidRDefault="003E14B5" w:rsidP="003E14B5">
      <w:pPr>
        <w:pStyle w:val="Textoindependiente"/>
        <w:spacing w:before="96" w:line="249" w:lineRule="auto"/>
        <w:ind w:left="0" w:right="-1" w:firstLine="284"/>
        <w:jc w:val="center"/>
        <w:rPr>
          <w:rFonts w:eastAsiaTheme="minorEastAsia"/>
          <w:w w:val="100"/>
        </w:rPr>
      </w:pPr>
      <w:r>
        <w:rPr>
          <w:rFonts w:eastAsiaTheme="minorEastAsia"/>
          <w:noProof/>
          <w:w w:val="100"/>
        </w:rPr>
        <w:drawing>
          <wp:inline distT="0" distB="0" distL="0" distR="0" wp14:anchorId="1EEAA8FF" wp14:editId="25561E4E">
            <wp:extent cx="2440505" cy="189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0505" cy="1890000"/>
                    </a:xfrm>
                    <a:prstGeom prst="rect">
                      <a:avLst/>
                    </a:prstGeom>
                    <a:noFill/>
                    <a:ln>
                      <a:noFill/>
                    </a:ln>
                  </pic:spPr>
                </pic:pic>
              </a:graphicData>
            </a:graphic>
          </wp:inline>
        </w:drawing>
      </w:r>
      <w:r>
        <w:rPr>
          <w:rFonts w:eastAsiaTheme="minorEastAsia"/>
          <w:w w:val="100"/>
        </w:rPr>
        <w:t xml:space="preserve">          </w:t>
      </w:r>
      <w:r>
        <w:rPr>
          <w:rFonts w:eastAsiaTheme="minorEastAsia"/>
          <w:noProof/>
          <w:w w:val="100"/>
        </w:rPr>
        <w:drawing>
          <wp:inline distT="0" distB="0" distL="0" distR="0" wp14:anchorId="07A96883" wp14:editId="713131D8">
            <wp:extent cx="2416930" cy="189000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6930" cy="1890000"/>
                    </a:xfrm>
                    <a:prstGeom prst="rect">
                      <a:avLst/>
                    </a:prstGeom>
                    <a:noFill/>
                    <a:ln>
                      <a:noFill/>
                    </a:ln>
                  </pic:spPr>
                </pic:pic>
              </a:graphicData>
            </a:graphic>
          </wp:inline>
        </w:drawing>
      </w:r>
    </w:p>
    <w:p w14:paraId="35DA1449" w14:textId="5A538A93" w:rsidR="003E14B5" w:rsidRPr="00632326" w:rsidRDefault="003E14B5" w:rsidP="003E14B5">
      <w:pPr>
        <w:pStyle w:val="Textoindependiente"/>
        <w:numPr>
          <w:ilvl w:val="0"/>
          <w:numId w:val="15"/>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p>
    <w:p w14:paraId="6563EABD" w14:textId="29C7401C" w:rsidR="003E14B5" w:rsidRPr="007734FE" w:rsidRDefault="003E14B5" w:rsidP="007734FE">
      <w:pPr>
        <w:pStyle w:val="Textoindependiente"/>
        <w:spacing w:before="96" w:after="160" w:line="249" w:lineRule="auto"/>
        <w:ind w:left="1134" w:right="1110"/>
        <w:rPr>
          <w:w w:val="100"/>
          <w:sz w:val="18"/>
          <w:szCs w:val="18"/>
        </w:rPr>
        <w:sectPr w:rsidR="003E14B5" w:rsidRPr="007734FE" w:rsidSect="0072733A">
          <w:type w:val="continuous"/>
          <w:pgSz w:w="11906" w:h="16838"/>
          <w:pgMar w:top="720" w:right="720" w:bottom="720" w:left="720" w:header="708" w:footer="708" w:gutter="0"/>
          <w:cols w:space="708"/>
          <w:docGrid w:linePitch="360"/>
        </w:sectPr>
      </w:pPr>
      <w:r w:rsidRPr="00483510">
        <w:rPr>
          <w:b/>
          <w:w w:val="100"/>
          <w:sz w:val="18"/>
          <w:szCs w:val="18"/>
        </w:rPr>
        <w:t>Figura 2</w:t>
      </w:r>
      <w:r w:rsidRPr="007734FE">
        <w:rPr>
          <w:b/>
          <w:w w:val="100"/>
          <w:sz w:val="18"/>
          <w:szCs w:val="18"/>
        </w:rPr>
        <w:t xml:space="preserve">: </w:t>
      </w:r>
      <w:r w:rsidR="007734FE" w:rsidRPr="007734FE">
        <w:rPr>
          <w:w w:val="100"/>
          <w:sz w:val="18"/>
          <w:szCs w:val="18"/>
        </w:rPr>
        <w:t xml:space="preserve">Residuos escalados de Schoenfeld vs. Tiempo transformado (modelos multivariados de Cox). Prueba del supuesto de riesgos proporcionales para factores de riesgo asociados a la mortalidad en UCI de pacientes </w:t>
      </w:r>
      <w:r w:rsidR="007734FE" w:rsidRPr="007734FE">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007734FE" w:rsidRPr="007734FE">
        <w:rPr>
          <w:rFonts w:eastAsiaTheme="minorEastAsia"/>
          <w:color w:val="000000" w:themeColor="text1"/>
          <w:w w:val="100"/>
          <w:sz w:val="18"/>
          <w:szCs w:val="18"/>
        </w:rPr>
        <w:t xml:space="preserve"> de acuerdo con (a) el sexo (</w:t>
      </w:r>
      <m:oMath>
        <m:r>
          <w:rPr>
            <w:rFonts w:ascii="Cambria Math" w:eastAsiaTheme="minorEastAsia" w:hAnsi="Cambria Math"/>
            <w:w w:val="100"/>
            <w:sz w:val="18"/>
            <w:szCs w:val="18"/>
          </w:rPr>
          <m:t>p</m:t>
        </m:r>
        <m:r>
          <w:rPr>
            <w:rFonts w:ascii="Cambria Math" w:eastAsiaTheme="minorEastAsia" w:hAnsi="Cambria Math"/>
            <w:w w:val="100"/>
            <w:sz w:val="18"/>
            <w:szCs w:val="18"/>
          </w:rPr>
          <m:t>=</m:t>
        </m:r>
        <m:r>
          <w:rPr>
            <w:rFonts w:ascii="Cambria Math" w:eastAsiaTheme="minorEastAsia" w:hAnsi="Cambria Math"/>
            <w:w w:val="100"/>
            <w:sz w:val="18"/>
            <w:szCs w:val="18"/>
          </w:rPr>
          <m:t>0.</m:t>
        </m:r>
        <m:r>
          <w:rPr>
            <w:rFonts w:ascii="Cambria Math" w:eastAsiaTheme="minorEastAsia" w:hAnsi="Cambria Math"/>
            <w:w w:val="100"/>
            <w:sz w:val="18"/>
            <w:szCs w:val="18"/>
          </w:rPr>
          <m:t>1323</m:t>
        </m:r>
      </m:oMath>
      <w:r w:rsidR="007734FE" w:rsidRPr="007734FE">
        <w:rPr>
          <w:rFonts w:eastAsiaTheme="minorEastAsia"/>
          <w:color w:val="000000" w:themeColor="text1"/>
          <w:w w:val="100"/>
          <w:sz w:val="18"/>
          <w:szCs w:val="18"/>
        </w:rPr>
        <w:t>) y (b) el grupo etario (</w:t>
      </w:r>
      <m:oMath>
        <m:r>
          <w:rPr>
            <w:rFonts w:ascii="Cambria Math" w:eastAsiaTheme="minorEastAsia" w:hAnsi="Cambria Math"/>
            <w:w w:val="100"/>
            <w:sz w:val="18"/>
            <w:szCs w:val="18"/>
          </w:rPr>
          <m:t>p</m:t>
        </m:r>
        <m:r>
          <w:rPr>
            <w:rFonts w:ascii="Cambria Math" w:eastAsiaTheme="minorEastAsia" w:hAnsi="Cambria Math"/>
            <w:w w:val="100"/>
            <w:sz w:val="18"/>
            <w:szCs w:val="18"/>
          </w:rPr>
          <m:t>=0.5812</m:t>
        </m:r>
      </m:oMath>
      <w:r w:rsidR="007734FE" w:rsidRPr="007734FE">
        <w:rPr>
          <w:rFonts w:eastAsiaTheme="minorEastAsia"/>
          <w:color w:val="000000" w:themeColor="text1"/>
          <w:w w:val="100"/>
          <w:sz w:val="18"/>
          <w:szCs w:val="18"/>
        </w:rPr>
        <w:t xml:space="preserve">) (Test global: </w:t>
      </w:r>
      <m:oMath>
        <m:r>
          <w:rPr>
            <w:rFonts w:ascii="Cambria Math" w:eastAsiaTheme="minorEastAsia" w:hAnsi="Cambria Math"/>
            <w:w w:val="100"/>
            <w:sz w:val="18"/>
            <w:szCs w:val="18"/>
          </w:rPr>
          <m:t>p</m:t>
        </m:r>
        <m:r>
          <w:rPr>
            <w:rFonts w:ascii="Cambria Math" w:eastAsiaTheme="minorEastAsia" w:hAnsi="Cambria Math"/>
            <w:w w:val="100"/>
            <w:sz w:val="18"/>
            <w:szCs w:val="18"/>
          </w:rPr>
          <m:t>=0.2758</m:t>
        </m:r>
      </m:oMath>
      <w:r w:rsidR="007734FE" w:rsidRPr="007734FE">
        <w:rPr>
          <w:rFonts w:eastAsiaTheme="minorEastAsia"/>
          <w:color w:val="000000" w:themeColor="text1"/>
          <w:w w:val="100"/>
          <w:sz w:val="18"/>
          <w:szCs w:val="18"/>
        </w:rPr>
        <w:t xml:space="preserve">). </w:t>
      </w:r>
      <w:r w:rsidR="007734FE" w:rsidRPr="007734FE">
        <w:rPr>
          <w:w w:val="100"/>
          <w:sz w:val="18"/>
          <w:szCs w:val="18"/>
        </w:rPr>
        <w:t xml:space="preserve">Prueba del supuesto de riesgos proporcionales para factores de riesgo asociados a la mortalidad en UCI de pacientes </w:t>
      </w:r>
      <w:r w:rsidR="007734FE" w:rsidRPr="007734FE">
        <w:rPr>
          <w:bCs/>
          <w:color w:val="000000" w:themeColor="text1"/>
          <w:w w:val="100"/>
          <w:sz w:val="18"/>
          <w:szCs w:val="18"/>
        </w:rPr>
        <w:t>CC (</w:t>
      </w:r>
      <m:oMath>
        <m:r>
          <w:rPr>
            <w:rFonts w:ascii="Cambria Math" w:hAnsi="Cambria Math"/>
            <w:color w:val="000000" w:themeColor="text1"/>
            <w:w w:val="100"/>
            <w:sz w:val="18"/>
            <w:szCs w:val="18"/>
          </w:rPr>
          <m:t>T≥21</m:t>
        </m:r>
      </m:oMath>
      <w:r w:rsidR="007734FE" w:rsidRPr="007734FE">
        <w:rPr>
          <w:bCs/>
          <w:color w:val="000000" w:themeColor="text1"/>
          <w:w w:val="100"/>
          <w:sz w:val="18"/>
          <w:szCs w:val="18"/>
        </w:rPr>
        <w:t>)</w:t>
      </w:r>
      <w:r w:rsidR="007734FE" w:rsidRPr="007734FE">
        <w:rPr>
          <w:w w:val="100"/>
          <w:sz w:val="18"/>
          <w:szCs w:val="18"/>
        </w:rPr>
        <w:t xml:space="preserve"> </w:t>
      </w:r>
      <w:r w:rsidR="007734FE" w:rsidRPr="007734FE">
        <w:rPr>
          <w:rFonts w:eastAsiaTheme="minorEastAsia"/>
          <w:color w:val="000000" w:themeColor="text1"/>
          <w:w w:val="100"/>
          <w:sz w:val="18"/>
          <w:szCs w:val="18"/>
        </w:rPr>
        <w:t>de acuerdo con (</w:t>
      </w:r>
      <w:r w:rsidR="007734FE" w:rsidRPr="007734FE">
        <w:rPr>
          <w:rFonts w:eastAsiaTheme="minorEastAsia"/>
          <w:color w:val="000000" w:themeColor="text1"/>
          <w:w w:val="100"/>
          <w:sz w:val="18"/>
          <w:szCs w:val="18"/>
        </w:rPr>
        <w:t>c</w:t>
      </w:r>
      <w:r w:rsidR="007734FE" w:rsidRPr="007734FE">
        <w:rPr>
          <w:rFonts w:eastAsiaTheme="minorEastAsia"/>
          <w:color w:val="000000" w:themeColor="text1"/>
          <w:w w:val="100"/>
          <w:sz w:val="18"/>
          <w:szCs w:val="18"/>
        </w:rPr>
        <w:t>) el sexo (</w:t>
      </w:r>
      <m:oMath>
        <m:r>
          <w:rPr>
            <w:rFonts w:ascii="Cambria Math" w:eastAsiaTheme="minorEastAsia" w:hAnsi="Cambria Math"/>
            <w:w w:val="100"/>
            <w:sz w:val="18"/>
            <w:szCs w:val="18"/>
          </w:rPr>
          <m:t>p</m:t>
        </m:r>
        <m:r>
          <w:rPr>
            <w:rFonts w:ascii="Cambria Math" w:eastAsiaTheme="minorEastAsia" w:hAnsi="Cambria Math"/>
            <w:w w:val="100"/>
            <w:sz w:val="18"/>
            <w:szCs w:val="18"/>
          </w:rPr>
          <m:t>=</m:t>
        </m:r>
        <m:r>
          <w:rPr>
            <w:rFonts w:ascii="Cambria Math" w:eastAsiaTheme="minorEastAsia" w:hAnsi="Cambria Math"/>
            <w:w w:val="100"/>
            <w:sz w:val="18"/>
            <w:szCs w:val="18"/>
          </w:rPr>
          <m:t>0.</m:t>
        </m:r>
        <m:r>
          <w:rPr>
            <w:rFonts w:ascii="Cambria Math" w:eastAsiaTheme="minorEastAsia" w:hAnsi="Cambria Math"/>
            <w:w w:val="100"/>
            <w:sz w:val="18"/>
            <w:szCs w:val="18"/>
          </w:rPr>
          <m:t>7013</m:t>
        </m:r>
      </m:oMath>
      <w:r w:rsidR="007734FE" w:rsidRPr="007734FE">
        <w:rPr>
          <w:rFonts w:eastAsiaTheme="minorEastAsia"/>
          <w:color w:val="000000" w:themeColor="text1"/>
          <w:w w:val="100"/>
          <w:sz w:val="18"/>
          <w:szCs w:val="18"/>
        </w:rPr>
        <w:t>) y (</w:t>
      </w:r>
      <w:r w:rsidR="007734FE" w:rsidRPr="007734FE">
        <w:rPr>
          <w:rFonts w:eastAsiaTheme="minorEastAsia"/>
          <w:color w:val="000000" w:themeColor="text1"/>
          <w:w w:val="100"/>
          <w:sz w:val="18"/>
          <w:szCs w:val="18"/>
        </w:rPr>
        <w:t>d</w:t>
      </w:r>
      <w:r w:rsidR="007734FE" w:rsidRPr="007734FE">
        <w:rPr>
          <w:rFonts w:eastAsiaTheme="minorEastAsia"/>
          <w:color w:val="000000" w:themeColor="text1"/>
          <w:w w:val="100"/>
          <w:sz w:val="18"/>
          <w:szCs w:val="18"/>
        </w:rPr>
        <w:t>) el grupo etario (</w:t>
      </w:r>
      <m:oMath>
        <m:r>
          <w:rPr>
            <w:rFonts w:ascii="Cambria Math" w:eastAsiaTheme="minorEastAsia" w:hAnsi="Cambria Math"/>
            <w:w w:val="100"/>
            <w:sz w:val="18"/>
            <w:szCs w:val="18"/>
          </w:rPr>
          <m:t>p</m:t>
        </m:r>
        <m:r>
          <w:rPr>
            <w:rFonts w:ascii="Cambria Math" w:eastAsiaTheme="minorEastAsia" w:hAnsi="Cambria Math"/>
            <w:w w:val="100"/>
            <w:sz w:val="18"/>
            <w:szCs w:val="18"/>
          </w:rPr>
          <m:t>=0.4266</m:t>
        </m:r>
      </m:oMath>
      <w:r w:rsidR="007734FE" w:rsidRPr="007734FE">
        <w:rPr>
          <w:rFonts w:eastAsiaTheme="minorEastAsia"/>
          <w:color w:val="000000" w:themeColor="text1"/>
          <w:w w:val="100"/>
          <w:sz w:val="18"/>
          <w:szCs w:val="18"/>
        </w:rPr>
        <w:t xml:space="preserve">) (Test global: </w:t>
      </w:r>
      <m:oMath>
        <m:r>
          <w:rPr>
            <w:rFonts w:ascii="Cambria Math" w:eastAsiaTheme="minorEastAsia" w:hAnsi="Cambria Math"/>
            <w:w w:val="100"/>
            <w:sz w:val="18"/>
            <w:szCs w:val="18"/>
          </w:rPr>
          <m:t>p</m:t>
        </m:r>
        <m:r>
          <w:rPr>
            <w:rFonts w:ascii="Cambria Math" w:eastAsiaTheme="minorEastAsia" w:hAnsi="Cambria Math"/>
            <w:w w:val="100"/>
            <w:sz w:val="18"/>
            <w:szCs w:val="18"/>
          </w:rPr>
          <m:t>=0.6883</m:t>
        </m:r>
      </m:oMath>
      <w:r w:rsidR="007734FE" w:rsidRPr="007734FE">
        <w:rPr>
          <w:rFonts w:eastAsiaTheme="minorEastAsia"/>
          <w:color w:val="000000" w:themeColor="text1"/>
          <w:w w:val="100"/>
          <w:sz w:val="18"/>
          <w:szCs w:val="18"/>
        </w:rPr>
        <w:t>).</w:t>
      </w:r>
      <w:r w:rsidR="007734FE">
        <w:rPr>
          <w:rFonts w:eastAsiaTheme="minorEastAsia"/>
          <w:color w:val="000000" w:themeColor="text1"/>
          <w:w w:val="100"/>
          <w:sz w:val="16"/>
          <w:szCs w:val="16"/>
        </w:rPr>
        <w:t xml:space="preserve"> </w:t>
      </w:r>
    </w:p>
    <w:p w14:paraId="120519DB" w14:textId="5504BE99" w:rsidR="003E14B5" w:rsidRDefault="003E14B5" w:rsidP="003E14B5">
      <w:pPr>
        <w:pStyle w:val="Textoindependiente"/>
        <w:spacing w:before="96" w:line="249" w:lineRule="auto"/>
        <w:ind w:left="0" w:right="-1"/>
        <w:rPr>
          <w:rFonts w:eastAsiaTheme="minorEastAsia"/>
          <w:w w:val="100"/>
        </w:rPr>
        <w:sectPr w:rsidR="003E14B5" w:rsidSect="003E14B5">
          <w:type w:val="continuous"/>
          <w:pgSz w:w="11906" w:h="16838"/>
          <w:pgMar w:top="720" w:right="720" w:bottom="720" w:left="720" w:header="708" w:footer="708" w:gutter="0"/>
          <w:cols w:space="708"/>
          <w:docGrid w:linePitch="360"/>
        </w:sectPr>
      </w:pPr>
    </w:p>
    <w:p w14:paraId="4EF1D275" w14:textId="2BD4402D" w:rsidR="00474C7F" w:rsidRDefault="00474C7F" w:rsidP="007734FE">
      <w:pPr>
        <w:pStyle w:val="Textoindependiente"/>
        <w:spacing w:before="96" w:line="249" w:lineRule="auto"/>
        <w:ind w:left="0" w:right="-1" w:firstLine="284"/>
        <w:rPr>
          <w:rFonts w:eastAsiaTheme="minorEastAsia"/>
          <w:w w:val="100"/>
        </w:rPr>
      </w:pPr>
      <w:r>
        <w:rPr>
          <w:rFonts w:eastAsiaTheme="minorEastAsia"/>
          <w:w w:val="100"/>
        </w:rPr>
        <w:t xml:space="preserve">Cuando la edad es incorporada como variable continua, los resultados del análisis multivariante de Cox (HR: 1.03 [95% IC: 1.03 - 1.04]) coinciden con los resultados del estudio multicéntrico sobre pacientes críticos en Francia, Bélgica y Suiza (HR: 1.05 [95% IC: 1.04 - 1.05]) </w:t>
      </w:r>
      <w:r>
        <w:rPr>
          <w:rFonts w:eastAsiaTheme="minorEastAsia"/>
          <w:w w:val="100"/>
        </w:rPr>
        <w:fldChar w:fldCharType="begin" w:fldLock="1"/>
      </w:r>
      <w:r>
        <w:rPr>
          <w:rFonts w:eastAsiaTheme="minorEastAsia"/>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(12)</w:t>
      </w:r>
      <w:r>
        <w:rPr>
          <w:rFonts w:eastAsiaTheme="minorEastAsia"/>
          <w:w w:val="100"/>
        </w:rPr>
        <w:fldChar w:fldCharType="end"/>
      </w:r>
      <w:r>
        <w:rPr>
          <w:rFonts w:eastAsiaTheme="minorEastAsia"/>
          <w:w w:val="100"/>
        </w:rPr>
        <w:t xml:space="preserve">. Resultados similares han sido documentados en países de la región. Para el caso de Argentina, se reporta un riesgo relativo de 1.02 (95% IC: 1.01 – 1.03) </w:t>
      </w:r>
      <w:r>
        <w:rPr>
          <w:rFonts w:eastAsiaTheme="minorEastAsia"/>
          <w:w w:val="100"/>
        </w:rPr>
        <w:fldChar w:fldCharType="begin" w:fldLock="1"/>
      </w:r>
      <w:r>
        <w:rPr>
          <w:rFonts w:eastAsiaTheme="minorEastAsia"/>
          <w:w w:val="100"/>
        </w:rPr>
        <w:instrText>ADDIN CSL_CITATION {"citationItems":[{"id":"ITEM-1","itemData":{"DOI":"10.1016/S2213-2600(21)00229-0","author":[{"dropping-particle":"","family":"Estenssoro","given":"Elisa","non-dropping-particle":"","parse-names":false,"suffix":""},{"dropping-particle":"","family":"Loudet","given":"Cecilia I","non-dropping-particle":"","parse-names":false,"suffix":""},{"dropping-particle":"","family":"Ríos","given":"Fernando G","non-dropping-particle":"","parse-names":false,"suffix":""},{"dropping-particle":"","family":"Edul","given":"Vanina S Kanoore","non-dropping-particle":"","parse-names":false,"suffix":""},{"dropping-particle":"","family":"Plotnikow","given":"Gustavo","non-dropping-particle":"","parse-names":false,"suffix":""},{"dropping-particle":"","family":"Andrian","given":"Macarena","non-dropping-particle":"","parse-names":false,"suffix":""},{"dropping-particle":"","family":"Romero","given":"Ignacio","non-dropping-particle":"","parse-names":false,"suffix":""}],"id":"ITEM-1","issue":"September","issued":{"date-parts":[["2021"]]},"page":"989-998","title":"Clinical characteristics and outcomes of invasively ventilated patients with COVID-19 in Argentina ( SATICOVID ): a prospective , multicentre cohort study","type":"article-journal","volume":"9"},"uris":["http://www.mendeley.com/documents/?uuid=d253987a-4678-4661-a045-a370a40cec66"]}],"mendeley":{"formattedCitation":"(42)","plainTextFormattedCitation":"(42)","previouslyFormattedCitation":"(42)"},"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(42)</w:t>
      </w:r>
      <w:r>
        <w:rPr>
          <w:rFonts w:eastAsiaTheme="minorEastAsia"/>
          <w:w w:val="100"/>
        </w:rPr>
        <w:fldChar w:fldCharType="end"/>
      </w:r>
      <w:r>
        <w:rPr>
          <w:rFonts w:eastAsiaTheme="minorEastAsia"/>
          <w:w w:val="100"/>
        </w:rPr>
        <w:t xml:space="preserve">; para el caso colombiano, de 1.04 (95% CI: 1.01 – 1.08) </w:t>
      </w:r>
      <w:r>
        <w:rPr>
          <w:rFonts w:eastAsiaTheme="minorEastAsia"/>
          <w:w w:val="100"/>
        </w:rPr>
        <w:fldChar w:fldCharType="begin" w:fldLock="1"/>
      </w:r>
      <w:r w:rsidR="00420505">
        <w:rPr>
          <w:rFonts w:eastAsiaTheme="minorEastAsia"/>
          <w:w w:val="100"/>
        </w:rPr>
        <w:instrText>ADDIN CSL_CITATION {"citationItems":[{"id":"ITEM-1","itemData":{"DOI":"10.1016/j.infpip.2023.100283","ISSN":"25900889","abstract":"Aim: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age.","author":[{"dropping-particle":"","family":"Cortes","given":"Jorge Alberto","non-dropping-particle":"","parse-names":false,"suffix":""},{"dropping-particle":"","family":"Valderrama-Rios","given":"Martha Carolina","non-dropping-particle":"","parse-names":false,"suffix":""},{"dropping-particle":"","family":"Nocua-Báez","given":"Laura Cristina","non-dropping-particle":"","parse-names":false,"suffix":""},{"dropping-particle":"","family":"Quitián","given":"Lina María","non-dropping-particle":"","parse-names":false,"suffix":""},{"dropping-particle":"","family":"Lozada","given":"Fabio Alexander","non-dropping-particle":"","parse-names":false,"suffix":""},{"dropping-particle":"","family":"Buitrago","given":"Giancarlo","non-dropping-particle":"","parse-names":false,"suffix":""}],"container-title":"Infection Prevention in Practice","id":"ITEM-1","issue":"2","issued":{"date-parts":[["2023"]]},"page":"1-7","title":"Effect of bloodstream infection on survival in COVID-19 patients admitted to an intensive care unit in Colombia: a matched cohort analysis","type":"article-journal","volume":"5"},"uris":["http://www.mendeley.com/documents/?uuid=79a4d19f-182c-4b30-a69c-18e6bc90fb29"]}],"mendeley":{"formattedCitation":"(38)","plainTextFormattedCitation":"(38)","previouslyFormattedCitation":"(38)"},"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(38)</w:t>
      </w:r>
      <w:r>
        <w:rPr>
          <w:rFonts w:eastAsiaTheme="minorEastAsia"/>
          <w:w w:val="100"/>
        </w:rPr>
        <w:fldChar w:fldCharType="end"/>
      </w:r>
      <w:r>
        <w:rPr>
          <w:rFonts w:eastAsiaTheme="minorEastAsia"/>
          <w:w w:val="100"/>
        </w:rPr>
        <w:t>.</w:t>
      </w:r>
    </w:p>
    <w:p w14:paraId="711BD014" w14:textId="77777777" w:rsidR="005109F2" w:rsidRPr="00917520" w:rsidRDefault="005109F2" w:rsidP="00917520">
      <w:pPr>
        <w:pStyle w:val="Textoindependiente"/>
        <w:spacing w:before="96" w:line="249" w:lineRule="auto"/>
        <w:ind w:left="0" w:right="-1" w:firstLine="284"/>
        <w:rPr>
          <w:w w:val="100"/>
        </w:rPr>
      </w:pPr>
    </w:p>
    <w:p w14:paraId="271F2DE3" w14:textId="2AABD282" w:rsidR="00E02CA9" w:rsidRPr="00E25718" w:rsidRDefault="00D015B1" w:rsidP="00E02CA9">
      <w:pPr>
        <w:pStyle w:val="Textoindependiente"/>
        <w:numPr>
          <w:ilvl w:val="2"/>
          <w:numId w:val="6"/>
        </w:numPr>
        <w:spacing w:before="96" w:line="249" w:lineRule="auto"/>
        <w:ind w:left="0" w:right="-1" w:firstLine="0"/>
        <w:rPr>
          <w:i/>
          <w:iCs/>
          <w:w w:val="100"/>
        </w:rPr>
      </w:pPr>
      <w:r>
        <w:rPr>
          <w:i/>
          <w:iCs/>
          <w:w w:val="100"/>
        </w:rPr>
        <w:t>Estancia prolongada en UCI por COVID-19</w:t>
      </w:r>
    </w:p>
    <w:p w14:paraId="2A6E2DAF" w14:textId="1EABB907" w:rsidR="0085489D" w:rsidRDefault="00420505" w:rsidP="00E02CA9">
      <w:pPr>
        <w:pStyle w:val="Textoindependiente"/>
        <w:spacing w:before="96" w:after="160" w:line="249" w:lineRule="auto"/>
        <w:ind w:left="0" w:right="-1" w:firstLine="284"/>
        <w:rPr>
          <w:rFonts w:eastAsiaTheme="minorEastAsia"/>
          <w:w w:val="100"/>
        </w:rPr>
      </w:pPr>
      <w:r>
        <w:rPr>
          <w:rFonts w:eastAsiaTheme="minorEastAsia"/>
          <w:w w:val="100"/>
        </w:rPr>
        <w:t xml:space="preserve">Nuestro estudio contradice la observación según la cual los pacientes con estancia prolongada representan una proporción pequeña de las admisiones en UCI —entre 3% </w:t>
      </w:r>
      <w:r>
        <w:rPr>
          <w:rFonts w:eastAsiaTheme="minorEastAsia"/>
          <w:w w:val="100"/>
        </w:rPr>
        <w:fldChar w:fldCharType="begin" w:fldLock="1"/>
      </w:r>
      <w:r w:rsidR="00E43CCB">
        <w:rPr>
          <w:rFonts w:eastAsiaTheme="minorEastAsia"/>
          <w:w w:val="100"/>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Pr>
          <w:rFonts w:eastAsiaTheme="minorEastAsia"/>
          <w:w w:val="100"/>
        </w:rPr>
        <w:fldChar w:fldCharType="separate"/>
      </w:r>
      <w:r w:rsidRPr="00420505">
        <w:rPr>
          <w:rFonts w:eastAsiaTheme="minorEastAsia"/>
          <w:noProof/>
          <w:w w:val="100"/>
        </w:rPr>
        <w:t>(25)</w:t>
      </w:r>
      <w:r>
        <w:rPr>
          <w:rFonts w:eastAsiaTheme="minorEastAsia"/>
          <w:w w:val="100"/>
        </w:rPr>
        <w:fldChar w:fldCharType="end"/>
      </w:r>
      <w:r>
        <w:rPr>
          <w:rFonts w:eastAsiaTheme="minorEastAsia"/>
          <w:w w:val="100"/>
        </w:rPr>
        <w:t xml:space="preserve"> y 11% </w:t>
      </w:r>
      <w:r>
        <w:rPr>
          <w:rFonts w:eastAsiaTheme="minorEastAsia"/>
          <w:w w:val="100"/>
        </w:rPr>
        <w:fldChar w:fldCharType="begin" w:fldLock="1"/>
      </w:r>
      <w:r>
        <w:rPr>
          <w:rFonts w:eastAsiaTheme="minorEastAsia"/>
          <w:w w:val="100"/>
        </w:rPr>
        <w:instrText>ADDIN CSL_CITATION {"citationItems":[{"id":"ITEM-1","itemData":{"DOI":"10.1093/intqhc/14.5.403","ISSN":"13534505","PMID":"12389806","abstract":"Objective.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author":[{"dropping-particle":"","family":"Arabi","given":"Yaseen","non-dropping-particle":"","parse-names":false,"suffix":""},{"dropping-particle":"","family":"Venkatesh","given":"S.","non-dropping-particle":"","parse-names":false,"suffix":""},{"dropping-particle":"","family":"Haddad","given":"Samir","non-dropping-particle":"","parse-names":false,"suffix":""},{"dropping-particle":"","family":"Shimemeri","given":"Abdullah","non-dropping-particle":"Al","parse-names":false,"suffix":""},{"dropping-particle":"","family":"Malik","given":"Salim","non-dropping-particle":"Al","parse-names":false,"suffix":""}],"container-title":"International Journal for Quality in Health Care","id":"ITEM-1","issue":"5","issued":{"date-parts":[["2002"]]},"page":"403-410","title":"A prospective study of prolonged stay in the intensive care unit: Predictors and impact on resource utilization","type":"article-journal","volume":"14"},"uris":["http://www.mendeley.com/documents/?uuid=88265d99-b322-4d7a-9c1e-ff3530a28280"]}],"mendeley":{"formattedCitation":"(43)","plainTextFormattedCitation":"(43)","previouslyFormattedCitation":"(43)"},"properties":{"noteIndex":0},"schema":"https://github.com/citation-style-language/schema/raw/master/csl-citation.json"}</w:instrText>
      </w:r>
      <w:r>
        <w:rPr>
          <w:rFonts w:eastAsiaTheme="minorEastAsia"/>
          <w:w w:val="100"/>
        </w:rPr>
        <w:fldChar w:fldCharType="separate"/>
      </w:r>
      <w:r w:rsidRPr="00420505">
        <w:rPr>
          <w:rFonts w:eastAsiaTheme="minorEastAsia"/>
          <w:noProof/>
          <w:w w:val="100"/>
        </w:rPr>
        <w:t>(43)</w:t>
      </w:r>
      <w:r>
        <w:rPr>
          <w:rFonts w:eastAsiaTheme="minorEastAsia"/>
          <w:w w:val="100"/>
        </w:rPr>
        <w:fldChar w:fldCharType="end"/>
      </w:r>
      <w:r>
        <w:rPr>
          <w:rFonts w:eastAsiaTheme="minorEastAsia"/>
          <w:w w:val="100"/>
        </w:rPr>
        <w:t xml:space="preserve">—. </w:t>
      </w:r>
      <w:r w:rsidR="00FE7FB3">
        <w:rPr>
          <w:rFonts w:eastAsiaTheme="minorEastAsia"/>
          <w:w w:val="100"/>
        </w:rPr>
        <w:t>El estudio verifica que el 49.20% de los pacientes corresponden a pacientes de estancia prolongada con edad mediana de 61 años (49.5 – 71). Una distribución similar es documentada en una cohorte de pacientes en UCI por COVID-19 en Hamburgo, Alemania: el 55% de los pacientes corresponde a pacientes de estancia prolo</w:t>
      </w:r>
      <w:r w:rsidR="00E43CCB">
        <w:rPr>
          <w:rFonts w:eastAsiaTheme="minorEastAsia"/>
          <w:w w:val="100"/>
        </w:rPr>
        <w:t xml:space="preserve">ngada con edad mediana de 61 años (52 – 69.5) </w:t>
      </w:r>
      <w:r w:rsidR="00E43CCB">
        <w:rPr>
          <w:rFonts w:eastAsiaTheme="minorEastAsia"/>
          <w:w w:val="100"/>
        </w:rPr>
        <w:fldChar w:fldCharType="begin" w:fldLock="1"/>
      </w:r>
      <w:r w:rsidR="00256F50">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E43CCB">
        <w:rPr>
          <w:rFonts w:eastAsiaTheme="minorEastAsia"/>
          <w:w w:val="100"/>
        </w:rPr>
        <w:fldChar w:fldCharType="separate"/>
      </w:r>
      <w:r w:rsidR="00E43CCB" w:rsidRPr="00E43CCB">
        <w:rPr>
          <w:rFonts w:eastAsiaTheme="minorEastAsia"/>
          <w:noProof/>
          <w:w w:val="100"/>
        </w:rPr>
        <w:t>(23)</w:t>
      </w:r>
      <w:r w:rsidR="00E43CCB">
        <w:rPr>
          <w:rFonts w:eastAsiaTheme="minorEastAsia"/>
          <w:w w:val="100"/>
        </w:rPr>
        <w:fldChar w:fldCharType="end"/>
      </w:r>
    </w:p>
    <w:p w14:paraId="39D77FC2" w14:textId="42C36F42" w:rsidR="00AF532B" w:rsidRDefault="00E43CCB" w:rsidP="002504B0">
      <w:pPr>
        <w:pStyle w:val="Textoindependiente"/>
        <w:spacing w:before="96" w:after="160" w:line="249" w:lineRule="auto"/>
        <w:ind w:left="0" w:right="-1" w:firstLine="284"/>
        <w:rPr>
          <w:rFonts w:eastAsiaTheme="minorEastAsia"/>
          <w:w w:val="100"/>
        </w:rPr>
      </w:pPr>
      <w:r>
        <w:rPr>
          <w:rFonts w:eastAsiaTheme="minorEastAsia"/>
          <w:w w:val="100"/>
        </w:rPr>
        <w:t>Para una extensa cohorte en Brasil de pacientes con COVID-19 admitidos en UCI</w:t>
      </w:r>
      <w:r w:rsidR="00256F50">
        <w:rPr>
          <w:rFonts w:eastAsiaTheme="minorEastAsia"/>
          <w:w w:val="100"/>
        </w:rPr>
        <w:t xml:space="preserve">, se </w:t>
      </w:r>
      <w:r w:rsidR="002504B0">
        <w:rPr>
          <w:rFonts w:eastAsiaTheme="minorEastAsia"/>
          <w:w w:val="100"/>
        </w:rPr>
        <w:t>muestra</w:t>
      </w:r>
      <w:r w:rsidR="00256F50">
        <w:rPr>
          <w:rFonts w:eastAsiaTheme="minorEastAsia"/>
          <w:w w:val="100"/>
        </w:rPr>
        <w:t xml:space="preserve"> que los pacientes con una estancia superior a 14 días tienen menos del 50% de probabilidad de sobrevivir </w:t>
      </w:r>
      <w:r w:rsidR="00256F50">
        <w:rPr>
          <w:rFonts w:eastAsiaTheme="minorEastAsia"/>
          <w:w w:val="100"/>
        </w:rPr>
        <w:fldChar w:fldCharType="begin" w:fldLock="1"/>
      </w:r>
      <w:r w:rsidR="002504B0">
        <w:rPr>
          <w:rFonts w:eastAsiaTheme="minorEastAsia"/>
          <w:w w:val="100"/>
        </w:rPr>
        <w:instrText>ADDIN CSL_CITATION {"citationItems":[{"id":"ITEM-1","itemData":{"DOI":"10.1038/s41598-022-07538-0","ISBN":"0123456789","ISSN":"20452322","PMID":"35256660","abstract":"The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times.","author":[{"dropping-particle":"","family":"Sobral","given":"Marcos Felipe Falcão","non-dropping-particle":"","parse-names":false,"suffix":""},{"dropping-particle":"","family":"Roazzi","given":"Antonio","non-dropping-particle":"","parse-names":false,"suffix":""},{"dropping-particle":"","family":"Penha Sobral","given":"Ana Iza Gomes","non-dropping-particle":"da","parse-names":false,"suffix":""},{"dropping-particle":"","family":"Oliveira","given":"Brigitte Renata Bezerra","non-dropping-particle":"de","parse-names":false,"suffix":""},{"dropping-particle":"","family":"Duarte","given":"Gisleia Benini","non-dropping-particle":"","parse-names":false,"suffix":""},{"dropping-particle":"","family":"Silva","given":"Jadson Freire","non-dropping-particle":"da","parse-names":false,"suffix":""},{"dropping-particle":"","family":"Nogueira","given":"Renata Maria Toscano Barreto Lyra","non-dropping-particle":"","parse-names":false,"suffix":""}],"container-title":"Scientific Reports","id":"ITEM-1","issue":"1","issued":{"date-parts":[["2022"]]},"note":"XXIV.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supervivencia.","page":"1-11","publisher":"Nature Publishing Group UK","title":"A retrospective cohort study of 238,000 COVID-19 hospitalizations and deaths in Brazil","type":"article-journal","volume":"12"},"uris":["http://www.mendeley.com/documents/?uuid=5dbc3862-834b-42c0-96bf-067114879ee6"]}],"mendeley":{"formattedCitation":"(41)","plainTextFormattedCitation":"(41)","previouslyFormattedCitation":"(41)"},"properties":{"noteIndex":0},"schema":"https://github.com/citation-style-language/schema/raw/master/csl-citation.json"}</w:instrText>
      </w:r>
      <w:r w:rsidR="00256F50">
        <w:rPr>
          <w:rFonts w:eastAsiaTheme="minorEastAsia"/>
          <w:w w:val="100"/>
        </w:rPr>
        <w:fldChar w:fldCharType="separate"/>
      </w:r>
      <w:r w:rsidR="00256F50" w:rsidRPr="00256F50">
        <w:rPr>
          <w:rFonts w:eastAsiaTheme="minorEastAsia"/>
          <w:noProof/>
          <w:w w:val="100"/>
        </w:rPr>
        <w:t>(41)</w:t>
      </w:r>
      <w:r w:rsidR="00256F50">
        <w:rPr>
          <w:rFonts w:eastAsiaTheme="minorEastAsia"/>
          <w:w w:val="100"/>
        </w:rPr>
        <w:fldChar w:fldCharType="end"/>
      </w:r>
      <w:r w:rsidR="00256F50">
        <w:rPr>
          <w:rFonts w:eastAsiaTheme="minorEastAsia"/>
          <w:w w:val="100"/>
        </w:rPr>
        <w:t>. Nuestro resultado contradice la observación anterior: la tasa de mortalidad en UCI a los 30 días es, de hecho, menor en pacientes con estancia prolongada en UCI (15.74% vs. 65.79%). El resultado coincide con</w:t>
      </w:r>
      <w:r w:rsidR="002504B0">
        <w:rPr>
          <w:rFonts w:eastAsiaTheme="minorEastAsia"/>
          <w:w w:val="100"/>
        </w:rPr>
        <w:t xml:space="preserve"> los hallazgos de</w:t>
      </w:r>
      <w:r w:rsidR="00256F50">
        <w:rPr>
          <w:rFonts w:eastAsiaTheme="minorEastAsia"/>
          <w:w w:val="100"/>
        </w:rPr>
        <w:t xml:space="preserve"> un estudio retrospectivo </w:t>
      </w:r>
      <w:r w:rsidR="002504B0">
        <w:rPr>
          <w:rFonts w:eastAsiaTheme="minorEastAsia"/>
          <w:w w:val="100"/>
        </w:rPr>
        <w:t>en</w:t>
      </w:r>
      <w:r w:rsidR="00256F50">
        <w:rPr>
          <w:rFonts w:eastAsiaTheme="minorEastAsia"/>
          <w:w w:val="100"/>
        </w:rPr>
        <w:t xml:space="preserve"> Wuhan, China, sobre pacientes con neumonía SARS-CoV-2 en UCI</w:t>
      </w:r>
      <w:r w:rsidR="002504B0">
        <w:rPr>
          <w:rFonts w:eastAsiaTheme="minorEastAsia"/>
          <w:w w:val="100"/>
        </w:rPr>
        <w:t xml:space="preserve">. El estudio muestra que el tiempo de supervivencia de los pacientes muertos es registrado, con mayor probabilidad, en la primera y segunda semana después de la admisión en UCI </w:t>
      </w:r>
      <w:r w:rsidR="002504B0">
        <w:rPr>
          <w:rFonts w:eastAsiaTheme="minorEastAsia"/>
          <w:w w:val="100"/>
        </w:rPr>
        <w:fldChar w:fldCharType="begin" w:fldLock="1"/>
      </w:r>
      <w:r w:rsidR="002504B0">
        <w:rPr>
          <w:rFonts w:eastAsiaTheme="minorEastAsia"/>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2504B0">
        <w:rPr>
          <w:rFonts w:eastAsiaTheme="minorEastAsia"/>
          <w:w w:val="100"/>
        </w:rPr>
        <w:fldChar w:fldCharType="separate"/>
      </w:r>
      <w:r w:rsidR="002504B0" w:rsidRPr="002504B0">
        <w:rPr>
          <w:rFonts w:eastAsiaTheme="minorEastAsia"/>
          <w:noProof/>
          <w:w w:val="100"/>
        </w:rPr>
        <w:t>(6)</w:t>
      </w:r>
      <w:r w:rsidR="002504B0">
        <w:rPr>
          <w:rFonts w:eastAsiaTheme="minorEastAsia"/>
          <w:w w:val="100"/>
        </w:rPr>
        <w:fldChar w:fldCharType="end"/>
      </w:r>
      <w:r w:rsidR="002504B0">
        <w:rPr>
          <w:rFonts w:eastAsiaTheme="minorEastAsia"/>
          <w:w w:val="100"/>
        </w:rPr>
        <w:t xml:space="preserve">. </w:t>
      </w:r>
      <w:proofErr w:type="spellStart"/>
      <w:r w:rsidR="002504B0">
        <w:rPr>
          <w:rFonts w:eastAsiaTheme="minorEastAsia"/>
          <w:w w:val="100"/>
        </w:rPr>
        <w:t>Roedl</w:t>
      </w:r>
      <w:proofErr w:type="spellEnd"/>
      <w:r w:rsidR="002504B0">
        <w:rPr>
          <w:rFonts w:eastAsiaTheme="minorEastAsia"/>
          <w:w w:val="100"/>
        </w:rPr>
        <w:t xml:space="preserve"> et al. </w:t>
      </w:r>
      <w:r w:rsidR="002504B0">
        <w:rPr>
          <w:rFonts w:eastAsiaTheme="minorEastAsia"/>
          <w:w w:val="100"/>
        </w:rPr>
        <w:fldChar w:fldCharType="begin" w:fldLock="1"/>
      </w:r>
      <w:r w:rsidR="002504B0">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504B0">
        <w:rPr>
          <w:rFonts w:eastAsiaTheme="minorEastAsia"/>
          <w:w w:val="100"/>
        </w:rPr>
        <w:fldChar w:fldCharType="separate"/>
      </w:r>
      <w:r w:rsidR="002504B0" w:rsidRPr="002504B0">
        <w:rPr>
          <w:rFonts w:eastAsiaTheme="minorEastAsia"/>
          <w:noProof/>
          <w:w w:val="100"/>
        </w:rPr>
        <w:t>(23)</w:t>
      </w:r>
      <w:r w:rsidR="002504B0">
        <w:rPr>
          <w:rFonts w:eastAsiaTheme="minorEastAsia"/>
          <w:w w:val="100"/>
        </w:rPr>
        <w:fldChar w:fldCharType="end"/>
      </w:r>
      <w:r w:rsidR="002504B0">
        <w:rPr>
          <w:rFonts w:eastAsiaTheme="minorEastAsia"/>
          <w:w w:val="100"/>
        </w:rPr>
        <w:t xml:space="preserve">, en la misma línea, verifican que la mortalidad en UCI a los 90 días es inferior en pacientes de COVID-19 con estancia prolongada (28% vs. 50%, </w:t>
      </w:r>
      <m:oMath>
        <m:r>
          <w:rPr>
            <w:rFonts w:ascii="Cambria Math" w:eastAsiaTheme="minorEastAsia" w:hAnsi="Cambria Math"/>
            <w:w w:val="100"/>
          </w:rPr>
          <m:t>p&lt;0.01</m:t>
        </m:r>
      </m:oMath>
      <w:r w:rsidR="002504B0">
        <w:rPr>
          <w:rFonts w:eastAsiaTheme="minorEastAsia"/>
          <w:w w:val="100"/>
        </w:rPr>
        <w:t>)</w:t>
      </w:r>
    </w:p>
    <w:p w14:paraId="77DBEF6B" w14:textId="63EF2208" w:rsidR="00E02CA9" w:rsidRPr="006E54A5" w:rsidRDefault="00E02CA9" w:rsidP="00420505">
      <w:pPr>
        <w:pStyle w:val="Textoindependiente"/>
        <w:spacing w:before="96" w:after="160" w:line="249" w:lineRule="auto"/>
        <w:ind w:left="0" w:right="-1" w:firstLine="284"/>
        <w:rPr>
          <w:rFonts w:eastAsiaTheme="minorEastAsia"/>
          <w:w w:val="100"/>
        </w:rPr>
      </w:pPr>
      <w:r>
        <w:rPr>
          <w:rFonts w:eastAsiaTheme="minorEastAsia"/>
          <w:w w:val="100"/>
        </w:rPr>
        <w:t xml:space="preserve">En </w:t>
      </w:r>
      <w:r w:rsidR="00420505">
        <w:rPr>
          <w:rFonts w:eastAsiaTheme="minorEastAsia"/>
          <w:w w:val="100"/>
        </w:rPr>
        <w:t>general</w:t>
      </w:r>
      <w:r>
        <w:rPr>
          <w:rFonts w:eastAsiaTheme="minorEastAsia"/>
          <w:w w:val="100"/>
        </w:rPr>
        <w:t xml:space="preserve">, los tres métodos considerados </w:t>
      </w:r>
      <w:r w:rsidR="00420505">
        <w:rPr>
          <w:rFonts w:eastAsiaTheme="minorEastAsia"/>
          <w:w w:val="100"/>
        </w:rPr>
        <w:t>—i.e.:</w:t>
      </w:r>
      <w:r>
        <w:rPr>
          <w:rFonts w:eastAsiaTheme="minorEastAsia"/>
          <w:w w:val="100"/>
        </w:rPr>
        <w:t xml:space="preserve"> el estimador no-paramétrico de Kaplan-Meier, el modelo paramétrico de </w:t>
      </w:r>
      <w:proofErr w:type="spellStart"/>
      <w:r>
        <w:rPr>
          <w:rFonts w:eastAsiaTheme="minorEastAsia"/>
          <w:w w:val="100"/>
        </w:rPr>
        <w:t>Gompertz</w:t>
      </w:r>
      <w:proofErr w:type="spellEnd"/>
      <w:r>
        <w:rPr>
          <w:rFonts w:eastAsiaTheme="minorEastAsia"/>
          <w:w w:val="100"/>
        </w:rPr>
        <w:t xml:space="preserve"> y el modelo de riesgos proporcionales de Cox— coinciden en los siguientes resultados</w:t>
      </w:r>
      <w:r w:rsidR="0085489D">
        <w:rPr>
          <w:rFonts w:eastAsiaTheme="minorEastAsia"/>
          <w:w w:val="100"/>
        </w:rPr>
        <w:t xml:space="preserve"> señalados</w:t>
      </w:r>
      <w:r>
        <w:rPr>
          <w:rFonts w:eastAsiaTheme="minorEastAsia"/>
          <w:w w:val="100"/>
        </w:rPr>
        <w:t xml:space="preserve">: (1) si bien la tasa de mortalidad en UCI es superior en pacientes de sexo masculino, no se verificó una diferencia significativa según el sexo; (2) la edad avanzada es </w:t>
      </w:r>
      <w:r>
        <w:rPr>
          <w:rFonts w:eastAsiaTheme="minorEastAsia"/>
          <w:w w:val="100"/>
        </w:rPr>
        <w:lastRenderedPageBreak/>
        <w:t>un factor de riesgo en el sentido en que se registró una tasa de mortalidad en UCI superior en pacientes mayores de 65 años; y (3) los pacientes</w:t>
      </w:r>
      <w:r w:rsidR="0085489D">
        <w:rPr>
          <w:rFonts w:eastAsiaTheme="minorEastAsia"/>
          <w:w w:val="100"/>
        </w:rPr>
        <w:t>.</w:t>
      </w:r>
      <w:r w:rsidR="00420505">
        <w:rPr>
          <w:rFonts w:eastAsiaTheme="minorEastAsia"/>
          <w:w w:val="100"/>
        </w:rPr>
        <w:t xml:space="preserve"> La limitación principal del análisis radica, sin embargo, en la omisión de otros factores de riesgo asociados a la estancia prolongada en UCI: sistemas de </w:t>
      </w:r>
      <w:r w:rsidR="00420505">
        <w:rPr>
          <w:rFonts w:eastAsiaTheme="minorEastAsia"/>
          <w:w w:val="100"/>
        </w:rPr>
        <w:t xml:space="preserve">clasificación de severidad en UCI tales como SAPS II, APACHE II y SOFA </w:t>
      </w:r>
      <w:r w:rsidR="00420505">
        <w:rPr>
          <w:rFonts w:eastAsiaTheme="minorEastAsia"/>
          <w:w w:val="100"/>
        </w:rPr>
        <w:fldChar w:fldCharType="begin" w:fldLock="1"/>
      </w:r>
      <w:r w:rsidR="00420505">
        <w:rPr>
          <w:rFonts w:eastAsiaTheme="minorEastAsia"/>
          <w:w w:val="100"/>
        </w:rPr>
        <w:instrText>ADDIN CSL_CITATION {"citationItems":[{"id":"ITEM-1","itemData":{"DOI":"10.1093/intqhc/14.5.403","ISSN":"13534505","PMID":"12389806","abstract":"Objective.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author":[{"dropping-particle":"","family":"Arabi","given":"Yaseen","non-dropping-particle":"","parse-names":false,"suffix":""},{"dropping-particle":"","family":"Venkatesh","given":"S.","non-dropping-particle":"","parse-names":false,"suffix":""},{"dropping-particle":"","family":"Haddad","given":"Samir","non-dropping-particle":"","parse-names":false,"suffix":""},{"dropping-particle":"","family":"Shimemeri","given":"Abdullah","non-dropping-particle":"Al","parse-names":false,"suffix":""},{"dropping-particle":"","family":"Malik","given":"Salim","non-dropping-particle":"Al","parse-names":false,"suffix":""}],"container-title":"International Journal for Quality in Health Care","id":"ITEM-1","issue":"5","issued":{"date-parts":[["2002"]]},"page":"403-410","title":"A prospective study of prolonged stay in the intensive care unit: Predictors and impact on resource utilization","type":"article-journal","volume":"14"},"uris":["http://www.mendeley.com/documents/?uuid=88265d99-b322-4d7a-9c1e-ff3530a28280"]}],"mendeley":{"formattedCitation":"(43)","plainTextFormattedCitation":"(43)","previouslyFormattedCitation":"(43)"},"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(43)</w:t>
      </w:r>
      <w:r w:rsidR="00420505">
        <w:rPr>
          <w:rFonts w:eastAsiaTheme="minorEastAsia"/>
          <w:w w:val="100"/>
        </w:rPr>
        <w:fldChar w:fldCharType="end"/>
      </w:r>
      <w:r w:rsidR="00420505">
        <w:rPr>
          <w:rFonts w:eastAsiaTheme="minorEastAsia"/>
          <w:w w:val="100"/>
        </w:rPr>
        <w:t xml:space="preserve">; la categoría del síndrome de dificultad respiratoria aguda (leve, medio o grave) </w:t>
      </w:r>
      <w:r w:rsidR="00420505">
        <w:rPr>
          <w:rFonts w:eastAsiaTheme="minorEastAsia"/>
          <w:w w:val="100"/>
        </w:rPr>
        <w:fldChar w:fldCharType="begin" w:fldLock="1"/>
      </w:r>
      <w:r w:rsidR="00420505">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(23)</w:t>
      </w:r>
      <w:r w:rsidR="00420505">
        <w:rPr>
          <w:rFonts w:eastAsiaTheme="minorEastAsia"/>
          <w:w w:val="100"/>
        </w:rPr>
        <w:fldChar w:fldCharType="end"/>
      </w:r>
      <w:r w:rsidR="00420505">
        <w:rPr>
          <w:rFonts w:eastAsiaTheme="minorEastAsia"/>
          <w:w w:val="100"/>
        </w:rPr>
        <w:t xml:space="preserve">; y la implementación de ventilación mecánica y terapia de oxigenación por membrana extracorpórea </w:t>
      </w:r>
      <w:r w:rsidR="00420505">
        <w:rPr>
          <w:rFonts w:eastAsiaTheme="minorEastAsia"/>
          <w:w w:val="100"/>
        </w:rPr>
        <w:fldChar w:fldCharType="begin" w:fldLock="1"/>
      </w:r>
      <w:r w:rsidR="00420505">
        <w:rPr>
          <w:rFonts w:eastAsiaTheme="minorEastAsia"/>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(21)</w:t>
      </w:r>
      <w:r w:rsidR="00420505">
        <w:rPr>
          <w:rFonts w:eastAsiaTheme="minorEastAsia"/>
          <w:w w:val="100"/>
        </w:rPr>
        <w:fldChar w:fldCharType="end"/>
      </w:r>
      <w:r w:rsidR="00420505">
        <w:rPr>
          <w:rFonts w:eastAsiaTheme="minorEastAsia"/>
          <w:w w:val="100"/>
        </w:rPr>
        <w:t>.</w:t>
      </w:r>
    </w:p>
    <w:p w14:paraId="4429FD6D" w14:textId="0BE66B97" w:rsidR="003E14B5" w:rsidRDefault="003E14B5" w:rsidP="003E14B5">
      <w:pPr>
        <w:pStyle w:val="Textoindependiente"/>
        <w:spacing w:before="96" w:after="160" w:line="249" w:lineRule="auto"/>
        <w:ind w:left="0" w:right="-1"/>
        <w:rPr>
          <w:rFonts w:eastAsiaTheme="minorEastAsia"/>
          <w:w w:val="100"/>
        </w:rPr>
        <w:sectPr w:rsidR="003E14B5" w:rsidSect="00CF5E9D">
          <w:type w:val="continuous"/>
          <w:pgSz w:w="11906" w:h="16838"/>
          <w:pgMar w:top="720" w:right="720" w:bottom="720" w:left="720" w:header="708" w:footer="708" w:gutter="0"/>
          <w:cols w:num="2" w:space="708"/>
          <w:docGrid w:linePitch="360"/>
        </w:sectPr>
      </w:pPr>
    </w:p>
    <w:p w14:paraId="102BFF86" w14:textId="77777777" w:rsidR="003E14B5" w:rsidRDefault="003E14B5" w:rsidP="00A83CF6">
      <w:pPr>
        <w:pStyle w:val="Textoindependiente"/>
        <w:spacing w:before="96" w:after="160" w:line="249" w:lineRule="auto"/>
        <w:ind w:left="0" w:right="-1" w:firstLine="284"/>
        <w:rPr>
          <w:rFonts w:eastAsiaTheme="minorEastAsia"/>
          <w:w w:val="100"/>
        </w:rPr>
      </w:pPr>
    </w:p>
    <w:p w14:paraId="41A34EDD" w14:textId="669F946C" w:rsidR="0056602F" w:rsidRDefault="0056602F" w:rsidP="00A77991">
      <w:pPr>
        <w:pStyle w:val="Textoindependiente"/>
        <w:spacing w:before="96" w:after="160" w:line="249" w:lineRule="auto"/>
        <w:ind w:left="0" w:right="-1"/>
        <w:rPr>
          <w:rFonts w:eastAsiaTheme="minorEastAsia"/>
          <w:b/>
          <w:bCs/>
          <w:w w:val="100"/>
          <w:sz w:val="22"/>
          <w:szCs w:val="22"/>
        </w:rPr>
      </w:pPr>
      <w:r>
        <w:rPr>
          <w:rFonts w:eastAsiaTheme="minorEastAsia"/>
          <w:b/>
          <w:bCs/>
          <w:w w:val="100"/>
          <w:sz w:val="22"/>
          <w:szCs w:val="22"/>
        </w:rPr>
        <w:t>Referencias</w:t>
      </w:r>
    </w:p>
    <w:p w14:paraId="2D10F45A" w14:textId="3E872B28" w:rsidR="002504B0" w:rsidRPr="00A77991" w:rsidRDefault="002504B0" w:rsidP="00A77991">
      <w:pPr>
        <w:adjustRightInd w:val="0"/>
        <w:spacing w:before="100" w:after="160"/>
        <w:ind w:left="640" w:hanging="640"/>
        <w:rPr>
          <w:noProof/>
          <w:sz w:val="16"/>
          <w:szCs w:val="16"/>
          <w:lang w:val="en-US"/>
        </w:rPr>
      </w:pPr>
      <w:r w:rsidRPr="00A77991">
        <w:rPr>
          <w:rFonts w:eastAsiaTheme="minorEastAsia"/>
          <w:b/>
          <w:bCs/>
          <w:w w:val="100"/>
          <w:sz w:val="16"/>
          <w:szCs w:val="16"/>
        </w:rPr>
        <w:fldChar w:fldCharType="begin" w:fldLock="1"/>
      </w:r>
      <w:r w:rsidRPr="00A77991">
        <w:rPr>
          <w:rFonts w:eastAsiaTheme="minorEastAsia"/>
          <w:b/>
          <w:bCs/>
          <w:w w:val="100"/>
          <w:sz w:val="16"/>
          <w:szCs w:val="16"/>
          <w:lang w:val="en-US"/>
        </w:rPr>
        <w:instrText xml:space="preserve">ADDIN Mendeley Bibliography CSL_BIBLIOGRAPHY </w:instrText>
      </w:r>
      <w:r w:rsidRPr="00A77991">
        <w:rPr>
          <w:rFonts w:eastAsiaTheme="minorEastAsia"/>
          <w:b/>
          <w:bCs/>
          <w:w w:val="100"/>
          <w:sz w:val="16"/>
          <w:szCs w:val="16"/>
        </w:rPr>
        <w:fldChar w:fldCharType="separate"/>
      </w:r>
      <w:r w:rsidRPr="00A77991">
        <w:rPr>
          <w:noProof/>
          <w:sz w:val="16"/>
          <w:szCs w:val="16"/>
          <w:lang w:val="en-US"/>
        </w:rPr>
        <w:t xml:space="preserve">1. </w:t>
      </w:r>
      <w:r w:rsidRPr="00A77991">
        <w:rPr>
          <w:noProof/>
          <w:sz w:val="16"/>
          <w:szCs w:val="16"/>
          <w:lang w:val="en-US"/>
        </w:rPr>
        <w:tab/>
        <w:t xml:space="preserve">Siow WT, Liew MF, Shrestha BR, Muchtar F, See KC. Managing COVID-19 in resource-limited settings: Critical care considerations. Vol. 24, Critical Care. BioMed Central Ltd.; 2020. p. 167. </w:t>
      </w:r>
    </w:p>
    <w:p w14:paraId="7E7AEA92"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 </w:t>
      </w:r>
      <w:r w:rsidRPr="00A77991">
        <w:rPr>
          <w:noProof/>
          <w:sz w:val="16"/>
          <w:szCs w:val="16"/>
          <w:lang w:val="en-US"/>
        </w:rPr>
        <w:tab/>
        <w:t xml:space="preserve">Vergano M, Bertolini G, Giannini A, Gristina GR, Livigni S, Mistraletti G, et al. Clinical ethics recommendations for the allocation of intensive care treatments in exceptional, resource-limited circumstances: The Italian perspective during the COVID-19 epidemic. Vol. 24, Critical Care. BioMed Central Ltd.; 2020. p. 165. </w:t>
      </w:r>
    </w:p>
    <w:p w14:paraId="4C85E6FD"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 </w:t>
      </w:r>
      <w:r w:rsidRPr="00A77991">
        <w:rPr>
          <w:noProof/>
          <w:sz w:val="16"/>
          <w:szCs w:val="16"/>
          <w:lang w:val="en-US"/>
        </w:rPr>
        <w:tab/>
        <w:t>Bagshaw SM, Abbott A, Beesoon S, Zuege DJ, Wasylak T, Manns B, et al. Avoidable intensive care unit resource use and costs of unvaccinated patients with COVID-19: a historical population-based cohort study. Can J Anesth Can d’anesthésie [Internet]. 2022;69:1399–404. Available from: https://doi.org/10.1007/s12630-022-02299-w</w:t>
      </w:r>
    </w:p>
    <w:p w14:paraId="47FB4CCE"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 </w:t>
      </w:r>
      <w:r w:rsidRPr="00A77991">
        <w:rPr>
          <w:noProof/>
          <w:sz w:val="16"/>
          <w:szCs w:val="16"/>
          <w:lang w:val="en-US"/>
        </w:rPr>
        <w:tab/>
        <w:t xml:space="preserve">Verelst F, Kuylen E, Beutels P. Indications for healthcare surge capacity in European countries facing an exponential increase in coronavirus disease (COVID-19) cases, March 2020. Eurosurveillance. 2020 Apr 2;25(13). </w:t>
      </w:r>
    </w:p>
    <w:p w14:paraId="0EBE4CF6"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5. </w:t>
      </w:r>
      <w:r w:rsidRPr="00A77991">
        <w:rPr>
          <w:noProof/>
          <w:sz w:val="16"/>
          <w:szCs w:val="16"/>
          <w:lang w:val="en-US"/>
        </w:rPr>
        <w:tab/>
        <w:t xml:space="preserve">Emanuel EJ, Upshur R, Thome B, Parker M, Glickman A, Zhang C, et al. Fair Allocation of Scarce Medical Resources in the Time of Covid-19. N Engl J Med. 2020;382(21):2049–53. </w:t>
      </w:r>
    </w:p>
    <w:p w14:paraId="359B2FD7"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6. </w:t>
      </w:r>
      <w:r w:rsidRPr="00A77991">
        <w:rPr>
          <w:noProof/>
          <w:sz w:val="16"/>
          <w:szCs w:val="16"/>
          <w:lang w:val="en-US"/>
        </w:rPr>
        <w:tab/>
        <w:t xml:space="preserve">Yang X, Yu Y, Xu J, Shu H, Xia J, Liu H, et al. Clinical course and outcomes of critically ill patients with SARS-CoV-2 pneumonia in Wuhan, China: a single-centered, retrospective, observational study. Lancet Respir Med. 2020;8:475–81. </w:t>
      </w:r>
    </w:p>
    <w:p w14:paraId="1D8726F8"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7. </w:t>
      </w:r>
      <w:r w:rsidRPr="00A77991">
        <w:rPr>
          <w:noProof/>
          <w:sz w:val="16"/>
          <w:szCs w:val="16"/>
          <w:lang w:val="en-US"/>
        </w:rPr>
        <w:tab/>
        <w:t xml:space="preserve">Penna C, Mercurio V, Tocchetti CG, Pagliaro P. Sex-related differences in COVID-19 lethality. Br J Pharmacol. 2020;177(19):4375–85. </w:t>
      </w:r>
    </w:p>
    <w:p w14:paraId="64EEC618"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8. </w:t>
      </w:r>
      <w:r w:rsidRPr="00A77991">
        <w:rPr>
          <w:noProof/>
          <w:sz w:val="16"/>
          <w:szCs w:val="16"/>
          <w:lang w:val="en-US"/>
        </w:rPr>
        <w:tab/>
        <w:t>Peckham H, de Gruijter NM, Raine C, Radziszewska A, Ciurtin C, Wedderburn LR, et al. Male sex identified by global COVID-19 meta-analysis as a risk factor for death and ITU admission. Nat Commun [Internet]. 2020;11:6317. Available from: http://dx.doi.org/10.1038/s41467-020-19741-6</w:t>
      </w:r>
    </w:p>
    <w:p w14:paraId="373263EE"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9. </w:t>
      </w:r>
      <w:r w:rsidRPr="00A77991">
        <w:rPr>
          <w:noProof/>
          <w:sz w:val="16"/>
          <w:szCs w:val="16"/>
          <w:lang w:val="en-US"/>
        </w:rPr>
        <w:tab/>
        <w:t xml:space="preserve">Richardson S, Hirsch JS, Narasimhan M, Crawford JM, McGinn T, Davidson KW, et al. Presenting Characteristics, Comorbidities, and Outcomes among 5700 Patients Hospitalized with COVID-19 in the New York City Area. JAMA - J Am Med Assoc. 2020;323(20):2052–9. </w:t>
      </w:r>
    </w:p>
    <w:p w14:paraId="233079CE"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10. </w:t>
      </w:r>
      <w:r w:rsidRPr="00A77991">
        <w:rPr>
          <w:noProof/>
          <w:sz w:val="16"/>
          <w:szCs w:val="16"/>
          <w:lang w:val="en-US"/>
        </w:rPr>
        <w:tab/>
        <w:t>Cummings MJ, Baldwin MR, Abrams D, Jacobson SD, Meyer BJ, Balough EM, et al. Epidemiology, clinical course, and outcomes of critically ill adults with COVID-19 in New York City: a prospective cohort study. Lancet [Internet]. 2020;395:1763–70. Available from: http://dx.doi.org/10.1016/S0140-6736(20)31189-2</w:t>
      </w:r>
    </w:p>
    <w:p w14:paraId="15BD8D3C"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11. </w:t>
      </w:r>
      <w:r w:rsidRPr="00A77991">
        <w:rPr>
          <w:noProof/>
          <w:sz w:val="16"/>
          <w:szCs w:val="16"/>
          <w:lang w:val="en-US"/>
        </w:rPr>
        <w:tab/>
        <w:t xml:space="preserve">Zhou S, Yang Y, Zhang X, Li Z, Liu X, Hu C, et al. Clinical Course of 195 Critically Ill COVID-19 Patients: A Retrospective Multicenter Study. Shock. 2020;54(5):644–51. </w:t>
      </w:r>
    </w:p>
    <w:p w14:paraId="23DFEF85"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12. </w:t>
      </w:r>
      <w:r w:rsidRPr="00A77991">
        <w:rPr>
          <w:noProof/>
          <w:sz w:val="16"/>
          <w:szCs w:val="16"/>
          <w:lang w:val="en-US"/>
        </w:rPr>
        <w:tab/>
        <w:t xml:space="preserve">Schmidt M, Investigators C-IG on behalf of the RN and the C-I. Clinical characteristics and day-90 outcomes of 4244 critically ill adults with COVID-19: a prospective cohort study. Intensive Care Med. 2021;47:60–73. </w:t>
      </w:r>
    </w:p>
    <w:p w14:paraId="60F4880C"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13. </w:t>
      </w:r>
      <w:r w:rsidRPr="00A77991">
        <w:rPr>
          <w:noProof/>
          <w:sz w:val="16"/>
          <w:szCs w:val="16"/>
          <w:lang w:val="en-US"/>
        </w:rPr>
        <w:tab/>
        <w:t xml:space="preserve">Marazzi A, Paccaud F, Ruffieux C, Beguin C. Fitting the distributions of length of stay by parametric models. Med Care. 1998;36(6):915–27. </w:t>
      </w:r>
    </w:p>
    <w:p w14:paraId="2014202F"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14. </w:t>
      </w:r>
      <w:r w:rsidRPr="00A77991">
        <w:rPr>
          <w:noProof/>
          <w:sz w:val="16"/>
          <w:szCs w:val="16"/>
          <w:lang w:val="en-US"/>
        </w:rPr>
        <w:tab/>
        <w:t xml:space="preserve">Rees EM, Nightingale ES, Jafari Y, Waterlow NR, Clifford S, Carl CA, et al. COVID-19 length of hospital stay: A systematic review and data synthesis. BMC Med. 2020 Sep 3;18:270. </w:t>
      </w:r>
    </w:p>
    <w:p w14:paraId="3F236D29"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15. </w:t>
      </w:r>
      <w:r w:rsidRPr="00A77991">
        <w:rPr>
          <w:noProof/>
          <w:sz w:val="16"/>
          <w:szCs w:val="16"/>
          <w:lang w:val="en-US"/>
        </w:rPr>
        <w:tab/>
        <w:t xml:space="preserve">Zhang J, Litvinova M, Wang W, Wang Y, Deng X, Chen X, et al. Evolving epidemiology and transmission dynamics of coronavirus disease 2019 outside Hubei province, China: a descriptive and modelling study. Lancet Infect Dis. 2020 Jul 1;20:793–802. </w:t>
      </w:r>
    </w:p>
    <w:p w14:paraId="4D1F9FAD"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16. </w:t>
      </w:r>
      <w:r w:rsidRPr="00A77991">
        <w:rPr>
          <w:noProof/>
          <w:sz w:val="16"/>
          <w:szCs w:val="16"/>
          <w:lang w:val="en-US"/>
        </w:rPr>
        <w:tab/>
        <w:t xml:space="preserve">Kaplan EL, Meier P. Nonparametric Estimation from Incomplete Observations NONPARAMETRIC ESTIMATION FROM INCOMPLETE OBSERVATIONS*. Vol. 53, Source: Journal of the American Statistical Association. 1958. </w:t>
      </w:r>
    </w:p>
    <w:p w14:paraId="513D8B42"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17. </w:t>
      </w:r>
      <w:r w:rsidRPr="00A77991">
        <w:rPr>
          <w:noProof/>
          <w:sz w:val="16"/>
          <w:szCs w:val="16"/>
          <w:lang w:val="en-US"/>
        </w:rPr>
        <w:tab/>
        <w:t>Peñuelas O, del Campo-Albendea L, de Aledo ALG, Añón JM, Rodríguez-Solís C, Mancebo J, et al. Long-term survival of mechanically ventilated patients with severe COVID-19: an observational cohort study. Ann Intensive Care [Internet]. 2021;11:143. Available from: https://doi.org/10.1186/s13613-021-00929-y</w:t>
      </w:r>
    </w:p>
    <w:p w14:paraId="411453E5"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18. </w:t>
      </w:r>
      <w:r w:rsidRPr="00A77991">
        <w:rPr>
          <w:noProof/>
          <w:sz w:val="16"/>
          <w:szCs w:val="16"/>
          <w:lang w:val="en-US"/>
        </w:rPr>
        <w:tab/>
        <w:t xml:space="preserve">Cox DR. Regression Models and Life-Tables. J R Stat Soc Ser B. 1972;34(2):187–202. </w:t>
      </w:r>
    </w:p>
    <w:p w14:paraId="43E347C4"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19. </w:t>
      </w:r>
      <w:r w:rsidRPr="00A77991">
        <w:rPr>
          <w:noProof/>
          <w:sz w:val="16"/>
          <w:szCs w:val="16"/>
          <w:lang w:val="en-US"/>
        </w:rPr>
        <w:tab/>
        <w:t xml:space="preserve">Haase N, Plovsing R, Christensen S, Poulsen LM, Brøchner AC, Rasmussen BS, et al. Characteristics, interventions, and longer term outcomes of COVID-19 ICU patients in Denmark—A nationwide, observational study. Acta Anaesthesiol Scand. 2021;65(1):68–75. </w:t>
      </w:r>
    </w:p>
    <w:p w14:paraId="0145004D"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20. </w:t>
      </w:r>
      <w:r w:rsidRPr="00A77991">
        <w:rPr>
          <w:noProof/>
          <w:sz w:val="16"/>
          <w:szCs w:val="16"/>
          <w:lang w:val="en-US"/>
        </w:rPr>
        <w:tab/>
        <w:t>Socolovithc RL, Fumis RRL, Tomazini BM, Pastore L, Galas FRBG, de Azevedo LCP, et al. Epidemiology, outcomes, and the use of intensive care unit resources of critically ill patients diagnosed with COVID-19 in Sao Paulo, Brazil: A cohort study. PLoS One [Internet]. 2020;15(12):e0243269. Available from: http://dx.doi.org/10.1371/journal.pone.0243269</w:t>
      </w:r>
    </w:p>
    <w:p w14:paraId="4F293222"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s-CO"/>
        </w:rPr>
        <w:t xml:space="preserve">21. </w:t>
      </w:r>
      <w:r w:rsidRPr="00A77991">
        <w:rPr>
          <w:noProof/>
          <w:sz w:val="16"/>
          <w:szCs w:val="16"/>
          <w:lang w:val="es-CO"/>
        </w:rPr>
        <w:tab/>
        <w:t xml:space="preserve">Han WH, Lee JH, Chun JY, Choi YJ, Kim Y, Han M, et al. </w:t>
      </w:r>
      <w:r w:rsidRPr="00A77991">
        <w:rPr>
          <w:noProof/>
          <w:sz w:val="16"/>
          <w:szCs w:val="16"/>
          <w:lang w:val="en-US"/>
        </w:rPr>
        <w:t xml:space="preserve">Predicting factors associated with prolonged intensive care unit stay of patients with COVID-19. Acute Crit Care. 2023;38(1):41–8. </w:t>
      </w:r>
    </w:p>
    <w:p w14:paraId="7A7529FA"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22. </w:t>
      </w:r>
      <w:r w:rsidRPr="00A77991">
        <w:rPr>
          <w:noProof/>
          <w:sz w:val="16"/>
          <w:szCs w:val="16"/>
          <w:lang w:val="en-US"/>
        </w:rPr>
        <w:tab/>
        <w:t xml:space="preserve">Zampieri FG, Ladeira JP, Park M, Haib D, Pastore CL, Santoro CM, et al. Admission factors associated with prolonged (&gt;14 days) intensive care unit stay. J Crit Care. 2014 Feb;29:60–5. </w:t>
      </w:r>
    </w:p>
    <w:p w14:paraId="7BD84923"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23. </w:t>
      </w:r>
      <w:r w:rsidRPr="00A77991">
        <w:rPr>
          <w:noProof/>
          <w:sz w:val="16"/>
          <w:szCs w:val="16"/>
          <w:lang w:val="en-US"/>
        </w:rPr>
        <w:tab/>
        <w:t xml:space="preserve">Roedl K, Jarczak D, Boenisch O, de Heer G, Burdelski C, Frings D, et al. Chronic Critical Illness in Patients with COVID-19: Characteristics and Outcome of Prolonged Intensive Care Therapy. J Clin Med. 2022 Feb 1;11:1049. </w:t>
      </w:r>
    </w:p>
    <w:p w14:paraId="337AC485"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24. </w:t>
      </w:r>
      <w:r w:rsidRPr="00A77991">
        <w:rPr>
          <w:noProof/>
          <w:sz w:val="16"/>
          <w:szCs w:val="16"/>
          <w:lang w:val="en-US"/>
        </w:rPr>
        <w:tab/>
        <w:t xml:space="preserve">Maguire JM, Carson SS. Strategies to combat chronic critical illness. Curr Opin Crit Care. 2013;19(5):480–7. </w:t>
      </w:r>
    </w:p>
    <w:p w14:paraId="07D1DF16"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25. </w:t>
      </w:r>
      <w:r w:rsidRPr="00A77991">
        <w:rPr>
          <w:noProof/>
          <w:sz w:val="16"/>
          <w:szCs w:val="16"/>
          <w:lang w:val="en-US"/>
        </w:rPr>
        <w:tab/>
        <w:t xml:space="preserve">Becker GJ, Strauch GO, Saranchak HJ. Outcome and Cost of Prolonged Stay in the Surgical Intensive Care Unit. Arch Surg. 1984;119(11):1338–42. </w:t>
      </w:r>
    </w:p>
    <w:p w14:paraId="19680E62"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26. </w:t>
      </w:r>
      <w:r w:rsidRPr="00A77991">
        <w:rPr>
          <w:noProof/>
          <w:sz w:val="16"/>
          <w:szCs w:val="16"/>
          <w:lang w:val="en-US"/>
        </w:rPr>
        <w:tab/>
        <w:t xml:space="preserve">(INS) IN de S. Coronavirus (covid-19) en Colombia. 2022. </w:t>
      </w:r>
    </w:p>
    <w:p w14:paraId="47FC92B4"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27. </w:t>
      </w:r>
      <w:r w:rsidRPr="00A77991">
        <w:rPr>
          <w:noProof/>
          <w:sz w:val="16"/>
          <w:szCs w:val="16"/>
          <w:lang w:val="en-US"/>
        </w:rPr>
        <w:tab/>
        <w:t xml:space="preserve">Aalen O. Nonparametric Inference for a Family of Counting Processes. Ann Stat. 1978;6(4):701–26. </w:t>
      </w:r>
    </w:p>
    <w:p w14:paraId="3F94D9B5"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28. </w:t>
      </w:r>
      <w:r w:rsidRPr="00A77991">
        <w:rPr>
          <w:noProof/>
          <w:sz w:val="16"/>
          <w:szCs w:val="16"/>
          <w:lang w:val="en-US"/>
        </w:rPr>
        <w:tab/>
        <w:t xml:space="preserve">Harrell Jr. FE. Regression Modeling Strategies: With Applications to Linear Models, Logistic and Ordinal Regression, and Survival Analysis (Second Edition). New York: Springer; 2015. </w:t>
      </w:r>
    </w:p>
    <w:p w14:paraId="4C70D82F"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29. </w:t>
      </w:r>
      <w:r w:rsidRPr="00A77991">
        <w:rPr>
          <w:noProof/>
          <w:sz w:val="16"/>
          <w:szCs w:val="16"/>
          <w:lang w:val="en-US"/>
        </w:rPr>
        <w:tab/>
        <w:t xml:space="preserve">Stacy EW. A generalization of the gamma distribution. Ann Math Stat. 1962;33:1187–92. </w:t>
      </w:r>
    </w:p>
    <w:p w14:paraId="20225E57"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lastRenderedPageBreak/>
        <w:t xml:space="preserve">30. </w:t>
      </w:r>
      <w:r w:rsidRPr="00A77991">
        <w:rPr>
          <w:noProof/>
          <w:sz w:val="16"/>
          <w:szCs w:val="16"/>
          <w:lang w:val="en-US"/>
        </w:rPr>
        <w:tab/>
        <w:t xml:space="preserve">Grambsch PM, Therneau TM. Proportional hazard tests and diagnostics based on weighted residuals. Biometrika. 1994;81(3):515–26. </w:t>
      </w:r>
    </w:p>
    <w:p w14:paraId="6189EC39" w14:textId="77777777" w:rsidR="002504B0" w:rsidRPr="00A77991" w:rsidRDefault="002504B0" w:rsidP="00A77991">
      <w:pPr>
        <w:adjustRightInd w:val="0"/>
        <w:spacing w:before="100" w:after="160"/>
        <w:ind w:left="640" w:hanging="640"/>
        <w:rPr>
          <w:noProof/>
          <w:sz w:val="16"/>
          <w:szCs w:val="16"/>
          <w:lang w:val="es-CO"/>
        </w:rPr>
      </w:pPr>
      <w:r w:rsidRPr="00A77991">
        <w:rPr>
          <w:noProof/>
          <w:sz w:val="16"/>
          <w:szCs w:val="16"/>
          <w:lang w:val="en-US"/>
        </w:rPr>
        <w:t xml:space="preserve">31. </w:t>
      </w:r>
      <w:r w:rsidRPr="00A77991">
        <w:rPr>
          <w:noProof/>
          <w:sz w:val="16"/>
          <w:szCs w:val="16"/>
          <w:lang w:val="en-US"/>
        </w:rPr>
        <w:tab/>
        <w:t xml:space="preserve">Armstrong RA, Kane AD, Cook TM. Outcomes from intensive care in patients with COVID-19: a systematic review and meta-analysis of observational studies. </w:t>
      </w:r>
      <w:r w:rsidRPr="00A77991">
        <w:rPr>
          <w:noProof/>
          <w:sz w:val="16"/>
          <w:szCs w:val="16"/>
          <w:lang w:val="es-CO"/>
        </w:rPr>
        <w:t xml:space="preserve">Anaesthesia. 2020;75(10):1340–9. </w:t>
      </w:r>
    </w:p>
    <w:p w14:paraId="03381E87"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s-CO"/>
        </w:rPr>
        <w:t xml:space="preserve">32. </w:t>
      </w:r>
      <w:r w:rsidRPr="00A77991">
        <w:rPr>
          <w:noProof/>
          <w:sz w:val="16"/>
          <w:szCs w:val="16"/>
          <w:lang w:val="es-CO"/>
        </w:rPr>
        <w:tab/>
        <w:t xml:space="preserve">Zappella N, Dirani C, Lortat Jacob B, Tanaka S, Kantor E, El Kalai A, et al. </w:t>
      </w:r>
      <w:r w:rsidRPr="00A77991">
        <w:rPr>
          <w:noProof/>
          <w:sz w:val="16"/>
          <w:szCs w:val="16"/>
          <w:lang w:val="en-US"/>
        </w:rPr>
        <w:t>Temporary ICUs during the COVID-19 pandemic first wave: description of the cohort at a French centre. BMC Anesthesiol [Internet]. 2022;22(1):1–10. Available from: https://doi.org/10.1186/s12871-022-01845-9</w:t>
      </w:r>
    </w:p>
    <w:p w14:paraId="1AF7D007"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33. </w:t>
      </w:r>
      <w:r w:rsidRPr="00A77991">
        <w:rPr>
          <w:noProof/>
          <w:sz w:val="16"/>
          <w:szCs w:val="16"/>
          <w:lang w:val="en-US"/>
        </w:rPr>
        <w:tab/>
        <w:t xml:space="preserve">Zhan Z, Yang X, Du H, Zhang C, Song Y, Ran X, et al. Early improvement of acute respiratory distress syndrome in patients with COVID-19 in the intensive care unit: retrospective analysis. JMIR Public Heal Surveill. 2021;7(3):1–12. </w:t>
      </w:r>
    </w:p>
    <w:p w14:paraId="2FF44BC0"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34. </w:t>
      </w:r>
      <w:r w:rsidRPr="00A77991">
        <w:rPr>
          <w:noProof/>
          <w:sz w:val="16"/>
          <w:szCs w:val="16"/>
          <w:lang w:val="en-US"/>
        </w:rPr>
        <w:tab/>
        <w:t xml:space="preserve">Klein S, Huber S. Sex Differences in Susceptibility to Viral Infection. In: Klein S, Roberts C, editors. Sex Hormones and Immunity to Infection. Berlin: Springer-Verlag; 2009. p. 93–122. </w:t>
      </w:r>
    </w:p>
    <w:p w14:paraId="4A0ADFDD"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35. </w:t>
      </w:r>
      <w:r w:rsidRPr="00A77991">
        <w:rPr>
          <w:noProof/>
          <w:sz w:val="16"/>
          <w:szCs w:val="16"/>
          <w:lang w:val="en-US"/>
        </w:rPr>
        <w:tab/>
        <w:t xml:space="preserve">Cai H. Sex difference and smoking predisposition in patients with COVID-19. Lancet Respir Med. 2020;8(4):e20. </w:t>
      </w:r>
    </w:p>
    <w:p w14:paraId="1E3AF655"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36. </w:t>
      </w:r>
      <w:r w:rsidRPr="00A77991">
        <w:rPr>
          <w:noProof/>
          <w:sz w:val="16"/>
          <w:szCs w:val="16"/>
          <w:lang w:val="en-US"/>
        </w:rPr>
        <w:tab/>
        <w:t>The Lancet. The gendered dimensions of COVID-19. Lancet [Internet]. 2020;395(10231):1168. Available from: http://dx.doi.org/10.1016/S0140-6736(20)30823-0</w:t>
      </w:r>
    </w:p>
    <w:p w14:paraId="5708D493"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37. </w:t>
      </w:r>
      <w:r w:rsidRPr="00A77991">
        <w:rPr>
          <w:noProof/>
          <w:sz w:val="16"/>
          <w:szCs w:val="16"/>
          <w:lang w:val="en-US"/>
        </w:rPr>
        <w:tab/>
        <w:t xml:space="preserve">Meijs DAM, van Bussel BCT, Stessel B, Mehagnoul-Schipper J, Hana A, Scheeren CIE, et al. Better COVID-19 Intensive Care Unit survival in females, independent of age, disease severity, comorbidities, and treatment. Sci Rep. 2022;12(1):1–9. </w:t>
      </w:r>
    </w:p>
    <w:p w14:paraId="08CFE000"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38. </w:t>
      </w:r>
      <w:r w:rsidRPr="00A77991">
        <w:rPr>
          <w:noProof/>
          <w:sz w:val="16"/>
          <w:szCs w:val="16"/>
          <w:lang w:val="en-US"/>
        </w:rPr>
        <w:tab/>
        <w:t xml:space="preserve">Cortes JA, Valderrama-Rios MC, Nocua-Báez LC, Quitián LM, Lozada FA, Buitrago G. Effect of bloodstream infection on survival in COVID-19 patients admitted to an intensive care unit in Colombia: a matched cohort analysis. Infect Prev Pract. 2023;5(2):1–7. </w:t>
      </w:r>
    </w:p>
    <w:p w14:paraId="29D11640"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39. </w:t>
      </w:r>
      <w:r w:rsidRPr="00A77991">
        <w:rPr>
          <w:noProof/>
          <w:sz w:val="16"/>
          <w:szCs w:val="16"/>
          <w:lang w:val="en-US"/>
        </w:rPr>
        <w:tab/>
        <w:t xml:space="preserve">Grasselli G, Greco M, Zanella A, Albano G, Antonelli M, Bellani G, et al. Risk Factors Associated with Mortality among Patients with COVID-19 in Intensive Care Units in Lombardy, Italy. JAMA Intern Med. 2020;180(10):1345–55. </w:t>
      </w:r>
    </w:p>
    <w:p w14:paraId="554F5C35" w14:textId="77777777" w:rsidR="002504B0" w:rsidRPr="00A77991" w:rsidRDefault="002504B0" w:rsidP="00A77991">
      <w:pPr>
        <w:adjustRightInd w:val="0"/>
        <w:spacing w:before="100" w:after="160"/>
        <w:ind w:left="640" w:hanging="640"/>
        <w:rPr>
          <w:noProof/>
          <w:sz w:val="16"/>
          <w:szCs w:val="16"/>
          <w:lang w:val="es-CO"/>
        </w:rPr>
      </w:pPr>
      <w:r w:rsidRPr="00A77991">
        <w:rPr>
          <w:noProof/>
          <w:sz w:val="16"/>
          <w:szCs w:val="16"/>
          <w:lang w:val="en-US"/>
        </w:rPr>
        <w:t xml:space="preserve">40. </w:t>
      </w:r>
      <w:r w:rsidRPr="00A77991">
        <w:rPr>
          <w:noProof/>
          <w:sz w:val="16"/>
          <w:szCs w:val="16"/>
          <w:lang w:val="en-US"/>
        </w:rPr>
        <w:tab/>
        <w:t xml:space="preserve">Dres M, Hajage D, Lebbah S, Kimmoun A, Pham T, Béduneau G, et al. Characteristics, management, and prognosis of elderly patients with COVID-19 admitted in the ICU during the first wave: insights from the COVID-ICU study : Prognosis of COVID-19 elderly critically ill patients in the ICU. </w:t>
      </w:r>
      <w:r w:rsidRPr="00A77991">
        <w:rPr>
          <w:noProof/>
          <w:sz w:val="16"/>
          <w:szCs w:val="16"/>
          <w:lang w:val="es-CO"/>
        </w:rPr>
        <w:t xml:space="preserve">Ann Intensive Care. 2021;11(1):77. </w:t>
      </w:r>
    </w:p>
    <w:p w14:paraId="6091379E"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s-CO"/>
        </w:rPr>
        <w:t xml:space="preserve">41. </w:t>
      </w:r>
      <w:r w:rsidRPr="00A77991">
        <w:rPr>
          <w:noProof/>
          <w:sz w:val="16"/>
          <w:szCs w:val="16"/>
          <w:lang w:val="es-CO"/>
        </w:rPr>
        <w:tab/>
        <w:t xml:space="preserve">Sobral MFF, Roazzi A, da Penha Sobral AIG, de Oliveira BRB, Duarte GB, da Silva JF, et al. </w:t>
      </w:r>
      <w:r w:rsidRPr="00A77991">
        <w:rPr>
          <w:noProof/>
          <w:sz w:val="16"/>
          <w:szCs w:val="16"/>
          <w:lang w:val="en-US"/>
        </w:rPr>
        <w:t>A retrospective cohort study of 238,000 COVID-19 hospitalizations and deaths in Brazil. Sci Rep [Internet]. 2022;12(1):1–11. Available from: https://doi.org/10.1038/s41598-022-07538-0</w:t>
      </w:r>
    </w:p>
    <w:p w14:paraId="3E0F847C"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42. </w:t>
      </w:r>
      <w:r w:rsidRPr="00A77991">
        <w:rPr>
          <w:noProof/>
          <w:sz w:val="16"/>
          <w:szCs w:val="16"/>
          <w:lang w:val="en-US"/>
        </w:rPr>
        <w:tab/>
        <w:t xml:space="preserve">Estenssoro E, Loudet CI, Ríos FG, Edul VSK, Plotnikow G, Andrian M, et al. Clinical characteristics and outcomes of invasively ventilated patients with COVID-19 in Argentina ( SATICOVID ): a prospective , multicentre cohort study. 2021;9(September):989–98. </w:t>
      </w:r>
    </w:p>
    <w:p w14:paraId="745A6BF3"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43. </w:t>
      </w:r>
      <w:r w:rsidRPr="00A77991">
        <w:rPr>
          <w:noProof/>
          <w:sz w:val="16"/>
          <w:szCs w:val="16"/>
          <w:lang w:val="en-US"/>
        </w:rPr>
        <w:tab/>
        <w:t xml:space="preserve">Arabi Y, Venkatesh S, Haddad S, Al Shimemeri A, Al Malik S. A prospective study of prolonged stay in the intensive care unit: Predictors and impact on resource utilization. Int J Qual Heal Care. 2002;14(5):403–10. </w:t>
      </w:r>
    </w:p>
    <w:p w14:paraId="4BEC407D"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44. </w:t>
      </w:r>
      <w:r w:rsidRPr="00A77991">
        <w:rPr>
          <w:noProof/>
          <w:sz w:val="16"/>
          <w:szCs w:val="16"/>
          <w:lang w:val="en-US"/>
        </w:rPr>
        <w:tab/>
        <w:t xml:space="preserve">Vekaria B, Overton C, Wiśniowski A, Ahmad S, Aparicio-Castro A, Curran-Sebastian J, et al. Hospital length of stay for COVID-19 patients: Data-driven methods for forward planning. BMC Infect Dis. 2021 Dec 1;21:700. </w:t>
      </w:r>
    </w:p>
    <w:p w14:paraId="4172D4F3"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45. </w:t>
      </w:r>
      <w:r w:rsidRPr="00A77991">
        <w:rPr>
          <w:noProof/>
          <w:sz w:val="16"/>
          <w:szCs w:val="16"/>
          <w:lang w:val="en-US"/>
        </w:rPr>
        <w:tab/>
        <w:t xml:space="preserve">Gebhard C, Regitz-Zagrosek V, Neuhauser HK, Morgan R, Klein SL. Impact of sex and gender on COVID-19 </w:t>
      </w:r>
      <w:r w:rsidRPr="00A77991">
        <w:rPr>
          <w:noProof/>
          <w:sz w:val="16"/>
          <w:szCs w:val="16"/>
          <w:lang w:val="en-US"/>
        </w:rPr>
        <w:t xml:space="preserve">outcomes in Europe. Biol Sex Differ. 2020;11(1):1–13. </w:t>
      </w:r>
    </w:p>
    <w:p w14:paraId="6D604A70"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46. </w:t>
      </w:r>
      <w:r w:rsidRPr="00A77991">
        <w:rPr>
          <w:noProof/>
          <w:sz w:val="16"/>
          <w:szCs w:val="16"/>
          <w:lang w:val="en-US"/>
        </w:rPr>
        <w:tab/>
        <w:t>Schiffer VMMM, Janssen EBNJ, van Bussel BCT, Jorissen LLM, Tas J, Sels JWEM, et al. The “sex gap” in COVID-19 trials: a scoping review. EClinicalMedicine [Internet]. 2020;29–30:100652. Available from: https://doi.org/10.1016/j.eclinm.2020.100652</w:t>
      </w:r>
    </w:p>
    <w:p w14:paraId="22149490"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47. </w:t>
      </w:r>
      <w:r w:rsidRPr="00A77991">
        <w:rPr>
          <w:noProof/>
          <w:sz w:val="16"/>
          <w:szCs w:val="16"/>
          <w:lang w:val="en-US"/>
        </w:rPr>
        <w:tab/>
        <w:t xml:space="preserve">Pivonello R, Auriemma RS, Pivonello C, Isidori AM, Corona G, Colao A, et al. Sex Disparities in COVID-19 Severity and Outcome: Are Men Weaker or Women Stronger? Neuroendocrinology. 2021;111(11):1066–85. </w:t>
      </w:r>
    </w:p>
    <w:p w14:paraId="0A94251E"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48. </w:t>
      </w:r>
      <w:r w:rsidRPr="00A77991">
        <w:rPr>
          <w:noProof/>
          <w:sz w:val="16"/>
          <w:szCs w:val="16"/>
          <w:lang w:val="en-US"/>
        </w:rPr>
        <w:tab/>
        <w:t xml:space="preserve">Pradhan A, Olsson PE. Sex differences in severity and mortality from COVID-19: are males more vulnerable? Biol Sex Differ. 2020;11(1):1–11. </w:t>
      </w:r>
    </w:p>
    <w:p w14:paraId="7060AA57" w14:textId="77777777" w:rsidR="002504B0" w:rsidRPr="00A77991" w:rsidRDefault="002504B0" w:rsidP="00A77991">
      <w:pPr>
        <w:adjustRightInd w:val="0"/>
        <w:spacing w:before="100" w:after="160"/>
        <w:ind w:left="640" w:hanging="640"/>
        <w:rPr>
          <w:noProof/>
          <w:sz w:val="16"/>
          <w:szCs w:val="16"/>
          <w:lang w:val="en-US"/>
        </w:rPr>
      </w:pPr>
      <w:r w:rsidRPr="00A77991">
        <w:rPr>
          <w:noProof/>
          <w:sz w:val="16"/>
          <w:szCs w:val="16"/>
          <w:lang w:val="en-US"/>
        </w:rPr>
        <w:t xml:space="preserve">49. </w:t>
      </w:r>
      <w:r w:rsidRPr="00A77991">
        <w:rPr>
          <w:noProof/>
          <w:sz w:val="16"/>
          <w:szCs w:val="16"/>
          <w:lang w:val="en-US"/>
        </w:rPr>
        <w:tab/>
        <w:t>Scully EP, Haverfield J, Ursin RL, Tannenbaum C, Klein SL. Considering how biological sex impacts immune responses and COVID-19 outcomes. Nat Rev Immunol [Internet]. 2020;20(7):442–7. Available from: http://dx.doi.org/10.1038/s41577-020-0348-8</w:t>
      </w:r>
    </w:p>
    <w:p w14:paraId="130DD638" w14:textId="4773BF85" w:rsidR="002504B0" w:rsidRPr="00A77991" w:rsidRDefault="002504B0" w:rsidP="00A77991">
      <w:pPr>
        <w:pStyle w:val="Textoindependiente"/>
        <w:spacing w:before="96" w:after="160" w:line="249" w:lineRule="auto"/>
        <w:ind w:left="0" w:right="-1"/>
        <w:rPr>
          <w:rFonts w:eastAsiaTheme="minorEastAsia"/>
          <w:b/>
          <w:bCs/>
          <w:w w:val="100"/>
          <w:sz w:val="22"/>
          <w:szCs w:val="22"/>
          <w:lang w:val="en-US"/>
        </w:rPr>
      </w:pPr>
      <w:r w:rsidRPr="00A77991">
        <w:rPr>
          <w:rFonts w:eastAsiaTheme="minorEastAsia"/>
          <w:b/>
          <w:bCs/>
          <w:w w:val="100"/>
          <w:sz w:val="16"/>
          <w:szCs w:val="16"/>
        </w:rPr>
        <w:fldChar w:fldCharType="end"/>
      </w:r>
    </w:p>
    <w:p w14:paraId="0ABB5DDD" w14:textId="77777777" w:rsidR="00627FD3" w:rsidRPr="00A77991" w:rsidRDefault="00627FD3" w:rsidP="006A4737">
      <w:pPr>
        <w:pStyle w:val="Textoindependiente"/>
        <w:spacing w:before="96" w:after="160" w:line="249" w:lineRule="auto"/>
        <w:ind w:left="0" w:right="-1" w:firstLine="284"/>
        <w:rPr>
          <w:w w:val="100"/>
          <w:sz w:val="22"/>
          <w:szCs w:val="22"/>
          <w:lang w:val="en-US"/>
        </w:rPr>
      </w:pPr>
    </w:p>
    <w:p w14:paraId="113907B3" w14:textId="53E9177F" w:rsidR="003D1905" w:rsidRPr="00A77991" w:rsidRDefault="003D1905" w:rsidP="00492565">
      <w:pPr>
        <w:pStyle w:val="Textoindependiente"/>
        <w:spacing w:before="96" w:line="249" w:lineRule="auto"/>
        <w:ind w:left="0" w:right="-1"/>
        <w:rPr>
          <w:b/>
          <w:bCs/>
          <w:w w:val="100"/>
          <w:sz w:val="22"/>
          <w:szCs w:val="22"/>
          <w:lang w:val="en-US"/>
        </w:rPr>
      </w:pPr>
    </w:p>
    <w:p w14:paraId="3037578F" w14:textId="5626CEA2" w:rsidR="003D1905" w:rsidRPr="00A77991" w:rsidRDefault="003D1905" w:rsidP="00492565">
      <w:pPr>
        <w:pStyle w:val="Textoindependiente"/>
        <w:spacing w:before="96" w:line="249" w:lineRule="auto"/>
        <w:ind w:left="0" w:right="-1"/>
        <w:rPr>
          <w:b/>
          <w:bCs/>
          <w:w w:val="100"/>
          <w:sz w:val="22"/>
          <w:szCs w:val="22"/>
          <w:lang w:val="en-US"/>
        </w:rPr>
      </w:pPr>
    </w:p>
    <w:p w14:paraId="29D1F3D8" w14:textId="76847AE2" w:rsidR="003D1905" w:rsidRPr="00A77991" w:rsidRDefault="003D1905" w:rsidP="00492565">
      <w:pPr>
        <w:pStyle w:val="Textoindependiente"/>
        <w:spacing w:before="96" w:line="249" w:lineRule="auto"/>
        <w:ind w:left="0" w:right="-1"/>
        <w:rPr>
          <w:b/>
          <w:bCs/>
          <w:w w:val="100"/>
          <w:sz w:val="22"/>
          <w:szCs w:val="22"/>
          <w:lang w:val="en-US"/>
        </w:rPr>
      </w:pPr>
    </w:p>
    <w:p w14:paraId="536B3300" w14:textId="52906D6D" w:rsidR="003D1905" w:rsidRPr="00A77991" w:rsidRDefault="003D1905" w:rsidP="00492565">
      <w:pPr>
        <w:pStyle w:val="Textoindependiente"/>
        <w:spacing w:before="96" w:line="249" w:lineRule="auto"/>
        <w:ind w:left="0" w:right="-1"/>
        <w:rPr>
          <w:b/>
          <w:bCs/>
          <w:w w:val="100"/>
          <w:sz w:val="22"/>
          <w:szCs w:val="22"/>
          <w:lang w:val="en-US"/>
        </w:rPr>
      </w:pPr>
    </w:p>
    <w:p w14:paraId="09C2D40E" w14:textId="124DCE51" w:rsidR="003D1905" w:rsidRPr="00A77991" w:rsidRDefault="003D1905" w:rsidP="00492565">
      <w:pPr>
        <w:pStyle w:val="Textoindependiente"/>
        <w:spacing w:before="96" w:line="249" w:lineRule="auto"/>
        <w:ind w:left="0" w:right="-1"/>
        <w:rPr>
          <w:b/>
          <w:bCs/>
          <w:w w:val="100"/>
          <w:sz w:val="22"/>
          <w:szCs w:val="22"/>
          <w:lang w:val="en-US"/>
        </w:rPr>
      </w:pPr>
    </w:p>
    <w:p w14:paraId="4DF0B9DD" w14:textId="27173538" w:rsidR="003D1905" w:rsidRPr="00A77991" w:rsidRDefault="003D1905" w:rsidP="00492565">
      <w:pPr>
        <w:pStyle w:val="Textoindependiente"/>
        <w:spacing w:before="96" w:line="249" w:lineRule="auto"/>
        <w:ind w:left="0" w:right="-1"/>
        <w:rPr>
          <w:b/>
          <w:bCs/>
          <w:w w:val="100"/>
          <w:sz w:val="22"/>
          <w:szCs w:val="22"/>
          <w:lang w:val="en-US"/>
        </w:rPr>
      </w:pPr>
    </w:p>
    <w:p w14:paraId="40616854" w14:textId="73EC4730" w:rsidR="003D1905" w:rsidRPr="00A77991" w:rsidRDefault="003D1905" w:rsidP="00492565">
      <w:pPr>
        <w:pStyle w:val="Textoindependiente"/>
        <w:spacing w:before="96" w:line="249" w:lineRule="auto"/>
        <w:ind w:left="0" w:right="-1"/>
        <w:rPr>
          <w:b/>
          <w:bCs/>
          <w:w w:val="100"/>
          <w:sz w:val="22"/>
          <w:szCs w:val="22"/>
          <w:lang w:val="en-US"/>
        </w:rPr>
      </w:pPr>
    </w:p>
    <w:p w14:paraId="4A73F320" w14:textId="348A120F" w:rsidR="003D1905" w:rsidRPr="00A77991" w:rsidRDefault="003D1905" w:rsidP="00492565">
      <w:pPr>
        <w:pStyle w:val="Textoindependiente"/>
        <w:spacing w:before="96" w:line="249" w:lineRule="auto"/>
        <w:ind w:left="0" w:right="-1"/>
        <w:rPr>
          <w:b/>
          <w:bCs/>
          <w:w w:val="100"/>
          <w:sz w:val="22"/>
          <w:szCs w:val="22"/>
          <w:lang w:val="en-US"/>
        </w:rPr>
      </w:pPr>
    </w:p>
    <w:p w14:paraId="2FE3ABD5" w14:textId="4C43D0D0" w:rsidR="006A4737" w:rsidRPr="00A77991" w:rsidRDefault="006A4737" w:rsidP="00492565">
      <w:pPr>
        <w:pStyle w:val="Textoindependiente"/>
        <w:spacing w:before="96" w:line="249" w:lineRule="auto"/>
        <w:ind w:left="0" w:right="-1"/>
        <w:rPr>
          <w:b/>
          <w:bCs/>
          <w:w w:val="100"/>
          <w:sz w:val="22"/>
          <w:szCs w:val="22"/>
          <w:lang w:val="en-US"/>
        </w:rPr>
      </w:pPr>
    </w:p>
    <w:p w14:paraId="60AE8B82" w14:textId="232AF32A" w:rsidR="006A4737" w:rsidRPr="00A77991" w:rsidRDefault="006A4737" w:rsidP="00492565">
      <w:pPr>
        <w:pStyle w:val="Textoindependiente"/>
        <w:spacing w:before="96" w:line="249" w:lineRule="auto"/>
        <w:ind w:left="0" w:right="-1"/>
        <w:rPr>
          <w:b/>
          <w:bCs/>
          <w:w w:val="100"/>
          <w:sz w:val="22"/>
          <w:szCs w:val="22"/>
          <w:lang w:val="en-US"/>
        </w:rPr>
      </w:pPr>
    </w:p>
    <w:p w14:paraId="41BF4C2D" w14:textId="62DA43D8" w:rsidR="006A4737" w:rsidRPr="00A77991" w:rsidRDefault="006A4737" w:rsidP="00492565">
      <w:pPr>
        <w:pStyle w:val="Textoindependiente"/>
        <w:spacing w:before="96" w:line="249" w:lineRule="auto"/>
        <w:ind w:left="0" w:right="-1"/>
        <w:rPr>
          <w:b/>
          <w:bCs/>
          <w:w w:val="100"/>
          <w:sz w:val="22"/>
          <w:szCs w:val="22"/>
          <w:lang w:val="en-US"/>
        </w:rPr>
      </w:pPr>
    </w:p>
    <w:p w14:paraId="6A69AC14" w14:textId="72FB69B5" w:rsidR="006A4737" w:rsidRPr="00A77991" w:rsidRDefault="006A4737" w:rsidP="00492565">
      <w:pPr>
        <w:pStyle w:val="Textoindependiente"/>
        <w:spacing w:before="96" w:line="249" w:lineRule="auto"/>
        <w:ind w:left="0" w:right="-1"/>
        <w:rPr>
          <w:b/>
          <w:bCs/>
          <w:w w:val="100"/>
          <w:sz w:val="22"/>
          <w:szCs w:val="22"/>
          <w:lang w:val="en-US"/>
        </w:rPr>
      </w:pPr>
    </w:p>
    <w:p w14:paraId="32133AEB" w14:textId="26C80E15" w:rsidR="006A4737" w:rsidRPr="00A77991" w:rsidRDefault="006A4737" w:rsidP="00492565">
      <w:pPr>
        <w:pStyle w:val="Textoindependiente"/>
        <w:spacing w:before="96" w:line="249" w:lineRule="auto"/>
        <w:ind w:left="0" w:right="-1"/>
        <w:rPr>
          <w:b/>
          <w:bCs/>
          <w:w w:val="100"/>
          <w:sz w:val="22"/>
          <w:szCs w:val="22"/>
          <w:lang w:val="en-US"/>
        </w:rPr>
      </w:pPr>
    </w:p>
    <w:p w14:paraId="63D104C2" w14:textId="64B06B1A" w:rsidR="006A4737" w:rsidRPr="00A77991" w:rsidRDefault="006A4737" w:rsidP="00492565">
      <w:pPr>
        <w:pStyle w:val="Textoindependiente"/>
        <w:spacing w:before="96" w:line="249" w:lineRule="auto"/>
        <w:ind w:left="0" w:right="-1"/>
        <w:rPr>
          <w:b/>
          <w:bCs/>
          <w:w w:val="100"/>
          <w:sz w:val="22"/>
          <w:szCs w:val="22"/>
          <w:lang w:val="en-US"/>
        </w:rPr>
      </w:pPr>
    </w:p>
    <w:p w14:paraId="5F09C279" w14:textId="147689BB" w:rsidR="006A4737" w:rsidRPr="00A77991" w:rsidRDefault="006A4737" w:rsidP="00492565">
      <w:pPr>
        <w:pStyle w:val="Textoindependiente"/>
        <w:spacing w:before="96" w:line="249" w:lineRule="auto"/>
        <w:ind w:left="0" w:right="-1"/>
        <w:rPr>
          <w:b/>
          <w:bCs/>
          <w:w w:val="100"/>
          <w:sz w:val="22"/>
          <w:szCs w:val="22"/>
          <w:lang w:val="en-US"/>
        </w:rPr>
      </w:pPr>
    </w:p>
    <w:p w14:paraId="228E8262" w14:textId="502CACF6" w:rsidR="006A4737" w:rsidRPr="00A77991" w:rsidRDefault="006A4737" w:rsidP="00492565">
      <w:pPr>
        <w:pStyle w:val="Textoindependiente"/>
        <w:spacing w:before="96" w:line="249" w:lineRule="auto"/>
        <w:ind w:left="0" w:right="-1"/>
        <w:rPr>
          <w:b/>
          <w:bCs/>
          <w:w w:val="100"/>
          <w:sz w:val="22"/>
          <w:szCs w:val="22"/>
          <w:lang w:val="en-US"/>
        </w:rPr>
      </w:pPr>
    </w:p>
    <w:p w14:paraId="5CF43E85" w14:textId="210F5666" w:rsidR="006A4737" w:rsidRPr="00A77991" w:rsidRDefault="006A4737" w:rsidP="00492565">
      <w:pPr>
        <w:pStyle w:val="Textoindependiente"/>
        <w:spacing w:before="96" w:line="249" w:lineRule="auto"/>
        <w:ind w:left="0" w:right="-1"/>
        <w:rPr>
          <w:b/>
          <w:bCs/>
          <w:w w:val="100"/>
          <w:sz w:val="22"/>
          <w:szCs w:val="22"/>
          <w:lang w:val="en-US"/>
        </w:rPr>
      </w:pPr>
    </w:p>
    <w:p w14:paraId="647257FA" w14:textId="2139C61B" w:rsidR="006A4737" w:rsidRPr="00A77991" w:rsidRDefault="006A4737" w:rsidP="00492565">
      <w:pPr>
        <w:pStyle w:val="Textoindependiente"/>
        <w:spacing w:before="96" w:line="249" w:lineRule="auto"/>
        <w:ind w:left="0" w:right="-1"/>
        <w:rPr>
          <w:b/>
          <w:bCs/>
          <w:w w:val="100"/>
          <w:sz w:val="22"/>
          <w:szCs w:val="22"/>
          <w:lang w:val="en-US"/>
        </w:rPr>
      </w:pPr>
    </w:p>
    <w:p w14:paraId="4071C184" w14:textId="6719B845" w:rsidR="00BD0AEE" w:rsidRPr="00A77991" w:rsidRDefault="00BD0AEE" w:rsidP="00492565">
      <w:pPr>
        <w:pStyle w:val="Textoindependiente"/>
        <w:spacing w:before="96" w:line="249" w:lineRule="auto"/>
        <w:ind w:left="0" w:right="-1"/>
        <w:rPr>
          <w:b/>
          <w:bCs/>
          <w:w w:val="100"/>
          <w:sz w:val="22"/>
          <w:szCs w:val="22"/>
          <w:lang w:val="en-US"/>
        </w:rPr>
      </w:pPr>
    </w:p>
    <w:p w14:paraId="60BF2EAB" w14:textId="216E3CC6" w:rsidR="00BD0AEE" w:rsidRPr="00A77991" w:rsidRDefault="00BD0AEE" w:rsidP="00492565">
      <w:pPr>
        <w:pStyle w:val="Textoindependiente"/>
        <w:spacing w:before="96" w:line="249" w:lineRule="auto"/>
        <w:ind w:left="0" w:right="-1"/>
        <w:rPr>
          <w:b/>
          <w:bCs/>
          <w:w w:val="100"/>
          <w:sz w:val="22"/>
          <w:szCs w:val="22"/>
          <w:lang w:val="en-US"/>
        </w:rPr>
      </w:pPr>
    </w:p>
    <w:p w14:paraId="1D1E4BED" w14:textId="2E538E54" w:rsidR="00BD0AEE" w:rsidRPr="00A77991" w:rsidRDefault="00BD0AEE" w:rsidP="00492565">
      <w:pPr>
        <w:pStyle w:val="Textoindependiente"/>
        <w:spacing w:before="96" w:line="249" w:lineRule="auto"/>
        <w:ind w:left="0" w:right="-1"/>
        <w:rPr>
          <w:b/>
          <w:bCs/>
          <w:w w:val="100"/>
          <w:sz w:val="22"/>
          <w:szCs w:val="22"/>
          <w:lang w:val="en-US"/>
        </w:rPr>
      </w:pPr>
    </w:p>
    <w:p w14:paraId="5687EE14" w14:textId="37C54CA2" w:rsidR="00BD0AEE" w:rsidRPr="00A77991" w:rsidRDefault="00BD0AEE" w:rsidP="00492565">
      <w:pPr>
        <w:pStyle w:val="Textoindependiente"/>
        <w:spacing w:before="96" w:line="249" w:lineRule="auto"/>
        <w:ind w:left="0" w:right="-1"/>
        <w:rPr>
          <w:b/>
          <w:bCs/>
          <w:w w:val="100"/>
          <w:sz w:val="22"/>
          <w:szCs w:val="22"/>
          <w:lang w:val="en-US"/>
        </w:rPr>
      </w:pPr>
    </w:p>
    <w:p w14:paraId="2719B4C0" w14:textId="2037F1AF" w:rsidR="00BD0AEE" w:rsidRPr="00A77991" w:rsidRDefault="00BD0AEE" w:rsidP="00492565">
      <w:pPr>
        <w:pStyle w:val="Textoindependiente"/>
        <w:spacing w:before="96" w:line="249" w:lineRule="auto"/>
        <w:ind w:left="0" w:right="-1"/>
        <w:rPr>
          <w:b/>
          <w:bCs/>
          <w:w w:val="100"/>
          <w:sz w:val="22"/>
          <w:szCs w:val="22"/>
          <w:lang w:val="en-US"/>
        </w:rPr>
      </w:pPr>
    </w:p>
    <w:p w14:paraId="1D3F8870" w14:textId="2961FD91" w:rsidR="00BD0AEE" w:rsidRPr="00A77991" w:rsidRDefault="00BD0AEE" w:rsidP="00492565">
      <w:pPr>
        <w:pStyle w:val="Textoindependiente"/>
        <w:spacing w:before="96" w:line="249" w:lineRule="auto"/>
        <w:ind w:left="0" w:right="-1"/>
        <w:rPr>
          <w:b/>
          <w:bCs/>
          <w:w w:val="100"/>
          <w:sz w:val="22"/>
          <w:szCs w:val="22"/>
          <w:lang w:val="en-US"/>
        </w:rPr>
      </w:pPr>
    </w:p>
    <w:p w14:paraId="2F496517" w14:textId="2DB7ECC9" w:rsidR="00BD0AEE" w:rsidRPr="00A77991" w:rsidRDefault="00BD0AEE" w:rsidP="00492565">
      <w:pPr>
        <w:pStyle w:val="Textoindependiente"/>
        <w:spacing w:before="96" w:line="249" w:lineRule="auto"/>
        <w:ind w:left="0" w:right="-1"/>
        <w:rPr>
          <w:b/>
          <w:bCs/>
          <w:w w:val="100"/>
          <w:sz w:val="22"/>
          <w:szCs w:val="22"/>
          <w:lang w:val="en-US"/>
        </w:rPr>
      </w:pPr>
    </w:p>
    <w:p w14:paraId="0403B52A" w14:textId="1D49AD14" w:rsidR="00BD0AEE" w:rsidRPr="00A77991" w:rsidRDefault="00BD0AEE" w:rsidP="00492565">
      <w:pPr>
        <w:pStyle w:val="Textoindependiente"/>
        <w:spacing w:before="96" w:line="249" w:lineRule="auto"/>
        <w:ind w:left="0" w:right="-1"/>
        <w:rPr>
          <w:b/>
          <w:bCs/>
          <w:w w:val="100"/>
          <w:sz w:val="22"/>
          <w:szCs w:val="22"/>
          <w:lang w:val="en-US"/>
        </w:rPr>
      </w:pPr>
    </w:p>
    <w:p w14:paraId="2E81A12C" w14:textId="3E10E4B5" w:rsidR="00BD0AEE" w:rsidRPr="00A77991" w:rsidRDefault="00BD0AEE" w:rsidP="00492565">
      <w:pPr>
        <w:pStyle w:val="Textoindependiente"/>
        <w:spacing w:before="96" w:line="249" w:lineRule="auto"/>
        <w:ind w:left="0" w:right="-1"/>
        <w:rPr>
          <w:b/>
          <w:bCs/>
          <w:w w:val="100"/>
          <w:sz w:val="22"/>
          <w:szCs w:val="22"/>
          <w:lang w:val="en-US"/>
        </w:rPr>
      </w:pPr>
    </w:p>
    <w:p w14:paraId="2922D7C9" w14:textId="38BD004E" w:rsidR="00BD0AEE" w:rsidRPr="00A77991" w:rsidRDefault="00BD0AEE" w:rsidP="00492565">
      <w:pPr>
        <w:pStyle w:val="Textoindependiente"/>
        <w:spacing w:before="96" w:line="249" w:lineRule="auto"/>
        <w:ind w:left="0" w:right="-1"/>
        <w:rPr>
          <w:b/>
          <w:bCs/>
          <w:w w:val="100"/>
          <w:sz w:val="22"/>
          <w:szCs w:val="22"/>
          <w:lang w:val="en-US"/>
        </w:rPr>
      </w:pPr>
    </w:p>
    <w:p w14:paraId="45C17259" w14:textId="294C9B26" w:rsidR="00BD0AEE" w:rsidRPr="00A77991" w:rsidRDefault="00BD0AEE" w:rsidP="00492565">
      <w:pPr>
        <w:pStyle w:val="Textoindependiente"/>
        <w:spacing w:before="96" w:line="249" w:lineRule="auto"/>
        <w:ind w:left="0" w:right="-1"/>
        <w:rPr>
          <w:b/>
          <w:bCs/>
          <w:w w:val="100"/>
          <w:sz w:val="22"/>
          <w:szCs w:val="22"/>
          <w:lang w:val="en-US"/>
        </w:rPr>
      </w:pPr>
    </w:p>
    <w:p w14:paraId="7AE8B9F9" w14:textId="4D337600" w:rsidR="00BD0AEE" w:rsidRPr="00A77991" w:rsidRDefault="00BD0AEE" w:rsidP="00492565">
      <w:pPr>
        <w:pStyle w:val="Textoindependiente"/>
        <w:spacing w:before="96" w:line="249" w:lineRule="auto"/>
        <w:ind w:left="0" w:right="-1"/>
        <w:rPr>
          <w:b/>
          <w:bCs/>
          <w:w w:val="100"/>
          <w:sz w:val="22"/>
          <w:szCs w:val="22"/>
          <w:lang w:val="en-US"/>
        </w:rPr>
      </w:pPr>
    </w:p>
    <w:p w14:paraId="4A42B13F" w14:textId="7B969028" w:rsidR="00BD0AEE" w:rsidRPr="00A77991" w:rsidRDefault="00BD0AEE" w:rsidP="00492565">
      <w:pPr>
        <w:pStyle w:val="Textoindependiente"/>
        <w:spacing w:before="96" w:line="249" w:lineRule="auto"/>
        <w:ind w:left="0" w:right="-1"/>
        <w:rPr>
          <w:b/>
          <w:bCs/>
          <w:w w:val="100"/>
          <w:sz w:val="22"/>
          <w:szCs w:val="22"/>
          <w:lang w:val="en-US"/>
        </w:rPr>
      </w:pPr>
    </w:p>
    <w:p w14:paraId="5A25394E" w14:textId="61143907" w:rsidR="00BD0AEE" w:rsidRPr="00A77991" w:rsidRDefault="00BD0AEE" w:rsidP="00492565">
      <w:pPr>
        <w:pStyle w:val="Textoindependiente"/>
        <w:spacing w:before="96" w:line="249" w:lineRule="auto"/>
        <w:ind w:left="0" w:right="-1"/>
        <w:rPr>
          <w:b/>
          <w:bCs/>
          <w:w w:val="100"/>
          <w:sz w:val="22"/>
          <w:szCs w:val="22"/>
          <w:lang w:val="en-US"/>
        </w:rPr>
      </w:pPr>
    </w:p>
    <w:p w14:paraId="5FDCBD9F" w14:textId="3263752C" w:rsidR="00BD0AEE" w:rsidRPr="00A77991" w:rsidRDefault="00BD0AEE" w:rsidP="00492565">
      <w:pPr>
        <w:pStyle w:val="Textoindependiente"/>
        <w:spacing w:before="96" w:line="249" w:lineRule="auto"/>
        <w:ind w:left="0" w:right="-1"/>
        <w:rPr>
          <w:b/>
          <w:bCs/>
          <w:w w:val="100"/>
          <w:sz w:val="22"/>
          <w:szCs w:val="22"/>
          <w:lang w:val="en-US"/>
        </w:rPr>
      </w:pPr>
    </w:p>
    <w:p w14:paraId="2C92EEDB" w14:textId="1BE2012E" w:rsidR="00BD0AEE" w:rsidRPr="00A77991" w:rsidRDefault="00BD0AEE" w:rsidP="00492565">
      <w:pPr>
        <w:pStyle w:val="Textoindependiente"/>
        <w:spacing w:before="96" w:line="249" w:lineRule="auto"/>
        <w:ind w:left="0" w:right="-1"/>
        <w:rPr>
          <w:b/>
          <w:bCs/>
          <w:w w:val="100"/>
          <w:sz w:val="22"/>
          <w:szCs w:val="22"/>
          <w:lang w:val="en-US"/>
        </w:rPr>
      </w:pPr>
    </w:p>
    <w:p w14:paraId="48540F56" w14:textId="5BDD36F9" w:rsidR="00BD0AEE" w:rsidRPr="00A77991" w:rsidRDefault="00BD0AEE" w:rsidP="00492565">
      <w:pPr>
        <w:pStyle w:val="Textoindependiente"/>
        <w:spacing w:before="96" w:line="249" w:lineRule="auto"/>
        <w:ind w:left="0" w:right="-1"/>
        <w:rPr>
          <w:b/>
          <w:bCs/>
          <w:w w:val="100"/>
          <w:sz w:val="22"/>
          <w:szCs w:val="22"/>
          <w:lang w:val="en-US"/>
        </w:rPr>
      </w:pPr>
    </w:p>
    <w:p w14:paraId="5092DB67" w14:textId="2CF7DC4E" w:rsidR="00BD0AEE" w:rsidRPr="00A77991" w:rsidRDefault="00BD0AEE" w:rsidP="00492565">
      <w:pPr>
        <w:pStyle w:val="Textoindependiente"/>
        <w:spacing w:before="96" w:line="249" w:lineRule="auto"/>
        <w:ind w:left="0" w:right="-1"/>
        <w:rPr>
          <w:b/>
          <w:bCs/>
          <w:w w:val="100"/>
          <w:sz w:val="22"/>
          <w:szCs w:val="22"/>
          <w:lang w:val="en-US"/>
        </w:rPr>
      </w:pPr>
    </w:p>
    <w:p w14:paraId="3BCB66AA" w14:textId="052E68CB" w:rsidR="00BD0AEE" w:rsidRPr="00A77991" w:rsidRDefault="00BD0AEE" w:rsidP="00492565">
      <w:pPr>
        <w:pStyle w:val="Textoindependiente"/>
        <w:spacing w:before="96" w:line="249" w:lineRule="auto"/>
        <w:ind w:left="0" w:right="-1"/>
        <w:rPr>
          <w:b/>
          <w:bCs/>
          <w:w w:val="100"/>
          <w:sz w:val="22"/>
          <w:szCs w:val="22"/>
          <w:lang w:val="en-US"/>
        </w:rPr>
      </w:pPr>
    </w:p>
    <w:p w14:paraId="6076EFD6" w14:textId="4DDBD882" w:rsidR="00BD0AEE" w:rsidRPr="00A77991" w:rsidRDefault="00BD0AEE" w:rsidP="00492565">
      <w:pPr>
        <w:pStyle w:val="Textoindependiente"/>
        <w:spacing w:before="96" w:line="249" w:lineRule="auto"/>
        <w:ind w:left="0" w:right="-1"/>
        <w:rPr>
          <w:b/>
          <w:bCs/>
          <w:w w:val="100"/>
          <w:sz w:val="22"/>
          <w:szCs w:val="22"/>
          <w:lang w:val="en-US"/>
        </w:rPr>
      </w:pPr>
    </w:p>
    <w:p w14:paraId="060DBF0F" w14:textId="58674F08" w:rsidR="00BD0AEE" w:rsidRPr="00A77991" w:rsidRDefault="00BD0AEE" w:rsidP="00492565">
      <w:pPr>
        <w:pStyle w:val="Textoindependiente"/>
        <w:spacing w:before="96" w:line="249" w:lineRule="auto"/>
        <w:ind w:left="0" w:right="-1"/>
        <w:rPr>
          <w:b/>
          <w:bCs/>
          <w:w w:val="100"/>
          <w:sz w:val="22"/>
          <w:szCs w:val="22"/>
          <w:lang w:val="en-US"/>
        </w:rPr>
      </w:pPr>
    </w:p>
    <w:p w14:paraId="0E4FC2AC" w14:textId="24EBEF04" w:rsidR="00BD0AEE" w:rsidRPr="00A77991" w:rsidRDefault="00BD0AEE" w:rsidP="00492565">
      <w:pPr>
        <w:pStyle w:val="Textoindependiente"/>
        <w:spacing w:before="96" w:line="249" w:lineRule="auto"/>
        <w:ind w:left="0" w:right="-1"/>
        <w:rPr>
          <w:b/>
          <w:bCs/>
          <w:w w:val="100"/>
          <w:sz w:val="22"/>
          <w:szCs w:val="22"/>
          <w:lang w:val="en-US"/>
        </w:rPr>
      </w:pPr>
    </w:p>
    <w:p w14:paraId="0A3D3E94" w14:textId="6A966A3C" w:rsidR="00BD0AEE" w:rsidRPr="00A77991" w:rsidRDefault="00BD0AEE" w:rsidP="00492565">
      <w:pPr>
        <w:pStyle w:val="Textoindependiente"/>
        <w:spacing w:before="96" w:line="249" w:lineRule="auto"/>
        <w:ind w:left="0" w:right="-1"/>
        <w:rPr>
          <w:b/>
          <w:bCs/>
          <w:w w:val="100"/>
          <w:sz w:val="22"/>
          <w:szCs w:val="22"/>
          <w:lang w:val="en-US"/>
        </w:rPr>
      </w:pPr>
    </w:p>
    <w:p w14:paraId="27768206" w14:textId="0866EE2F" w:rsidR="00BD0AEE" w:rsidRPr="00A77991" w:rsidRDefault="00BD0AEE" w:rsidP="00492565">
      <w:pPr>
        <w:pStyle w:val="Textoindependiente"/>
        <w:spacing w:before="96" w:line="249" w:lineRule="auto"/>
        <w:ind w:left="0" w:right="-1"/>
        <w:rPr>
          <w:b/>
          <w:bCs/>
          <w:w w:val="100"/>
          <w:sz w:val="22"/>
          <w:szCs w:val="22"/>
          <w:lang w:val="en-US"/>
        </w:rPr>
      </w:pPr>
    </w:p>
    <w:p w14:paraId="6FCC37EB" w14:textId="088A3114" w:rsidR="00BD0AEE" w:rsidRPr="00A77991" w:rsidRDefault="00BD0AEE" w:rsidP="00492565">
      <w:pPr>
        <w:pStyle w:val="Textoindependiente"/>
        <w:spacing w:before="96" w:line="249" w:lineRule="auto"/>
        <w:ind w:left="0" w:right="-1"/>
        <w:rPr>
          <w:b/>
          <w:bCs/>
          <w:w w:val="100"/>
          <w:sz w:val="22"/>
          <w:szCs w:val="22"/>
          <w:lang w:val="en-US"/>
        </w:rPr>
      </w:pPr>
    </w:p>
    <w:p w14:paraId="388985BD" w14:textId="0EDC635A" w:rsidR="00BD0AEE" w:rsidRPr="00A77991" w:rsidRDefault="00BD0AEE" w:rsidP="00492565">
      <w:pPr>
        <w:pStyle w:val="Textoindependiente"/>
        <w:spacing w:before="96" w:line="249" w:lineRule="auto"/>
        <w:ind w:left="0" w:right="-1"/>
        <w:rPr>
          <w:b/>
          <w:bCs/>
          <w:w w:val="100"/>
          <w:sz w:val="22"/>
          <w:szCs w:val="22"/>
          <w:lang w:val="en-US"/>
        </w:rPr>
      </w:pPr>
    </w:p>
    <w:p w14:paraId="37DC364F" w14:textId="161C3A89" w:rsidR="00BD0AEE" w:rsidRPr="00A77991" w:rsidRDefault="00BD0AEE" w:rsidP="00492565">
      <w:pPr>
        <w:pStyle w:val="Textoindependiente"/>
        <w:spacing w:before="96" w:line="249" w:lineRule="auto"/>
        <w:ind w:left="0" w:right="-1"/>
        <w:rPr>
          <w:b/>
          <w:bCs/>
          <w:w w:val="100"/>
          <w:sz w:val="22"/>
          <w:szCs w:val="22"/>
          <w:lang w:val="en-US"/>
        </w:rPr>
      </w:pPr>
    </w:p>
    <w:p w14:paraId="53FE5855" w14:textId="5F8FA86B" w:rsidR="00BD0AEE" w:rsidRPr="00A77991" w:rsidRDefault="00BD0AEE" w:rsidP="00492565">
      <w:pPr>
        <w:pStyle w:val="Textoindependiente"/>
        <w:spacing w:before="96" w:line="249" w:lineRule="auto"/>
        <w:ind w:left="0" w:right="-1"/>
        <w:rPr>
          <w:b/>
          <w:bCs/>
          <w:w w:val="100"/>
          <w:sz w:val="22"/>
          <w:szCs w:val="22"/>
          <w:lang w:val="en-US"/>
        </w:rPr>
      </w:pPr>
    </w:p>
    <w:p w14:paraId="253CEE29" w14:textId="2D8953D7" w:rsidR="00BD0AEE" w:rsidRPr="00A77991" w:rsidRDefault="00BD0AEE" w:rsidP="00492565">
      <w:pPr>
        <w:pStyle w:val="Textoindependiente"/>
        <w:spacing w:before="96" w:line="249" w:lineRule="auto"/>
        <w:ind w:left="0" w:right="-1"/>
        <w:rPr>
          <w:b/>
          <w:bCs/>
          <w:w w:val="100"/>
          <w:sz w:val="22"/>
          <w:szCs w:val="22"/>
          <w:lang w:val="en-US"/>
        </w:rPr>
      </w:pPr>
    </w:p>
    <w:p w14:paraId="08623ABF" w14:textId="3B746A7C" w:rsidR="00BD0AEE" w:rsidRPr="00A77991" w:rsidRDefault="00BD0AEE" w:rsidP="00492565">
      <w:pPr>
        <w:pStyle w:val="Textoindependiente"/>
        <w:spacing w:before="96" w:line="249" w:lineRule="auto"/>
        <w:ind w:left="0" w:right="-1"/>
        <w:rPr>
          <w:b/>
          <w:bCs/>
          <w:w w:val="100"/>
          <w:sz w:val="22"/>
          <w:szCs w:val="22"/>
          <w:lang w:val="en-US"/>
        </w:rPr>
      </w:pPr>
    </w:p>
    <w:p w14:paraId="7C25DA41" w14:textId="5332ED31" w:rsidR="00BD0AEE" w:rsidRPr="00A77991" w:rsidRDefault="00BD0AEE" w:rsidP="00492565">
      <w:pPr>
        <w:pStyle w:val="Textoindependiente"/>
        <w:spacing w:before="96" w:line="249" w:lineRule="auto"/>
        <w:ind w:left="0" w:right="-1"/>
        <w:rPr>
          <w:b/>
          <w:bCs/>
          <w:w w:val="100"/>
          <w:sz w:val="22"/>
          <w:szCs w:val="22"/>
          <w:lang w:val="en-US"/>
        </w:rPr>
      </w:pPr>
    </w:p>
    <w:p w14:paraId="63C25B1F" w14:textId="322EAACD" w:rsidR="00BD0AEE" w:rsidRPr="00A77991" w:rsidRDefault="00BD0AEE" w:rsidP="00492565">
      <w:pPr>
        <w:pStyle w:val="Textoindependiente"/>
        <w:spacing w:before="96" w:line="249" w:lineRule="auto"/>
        <w:ind w:left="0" w:right="-1"/>
        <w:rPr>
          <w:b/>
          <w:bCs/>
          <w:w w:val="100"/>
          <w:sz w:val="22"/>
          <w:szCs w:val="22"/>
          <w:lang w:val="en-US"/>
        </w:rPr>
      </w:pPr>
    </w:p>
    <w:p w14:paraId="435B3B96" w14:textId="1E09BD6A" w:rsidR="00BD0AEE" w:rsidRPr="00A77991" w:rsidRDefault="00BD0AEE" w:rsidP="00492565">
      <w:pPr>
        <w:pStyle w:val="Textoindependiente"/>
        <w:spacing w:before="96" w:line="249" w:lineRule="auto"/>
        <w:ind w:left="0" w:right="-1"/>
        <w:rPr>
          <w:b/>
          <w:bCs/>
          <w:w w:val="100"/>
          <w:sz w:val="22"/>
          <w:szCs w:val="22"/>
          <w:lang w:val="en-US"/>
        </w:rPr>
      </w:pPr>
    </w:p>
    <w:p w14:paraId="6BFA6CCF" w14:textId="77777777" w:rsidR="00D6209E" w:rsidRPr="00A77991" w:rsidRDefault="00D6209E" w:rsidP="00873135">
      <w:pPr>
        <w:pStyle w:val="Textoindependiente"/>
        <w:spacing w:line="251" w:lineRule="exact"/>
        <w:ind w:left="142"/>
        <w:rPr>
          <w:b/>
          <w:bCs/>
          <w:sz w:val="24"/>
          <w:szCs w:val="24"/>
          <w:lang w:val="en-US"/>
        </w:rPr>
      </w:pPr>
    </w:p>
    <w:p w14:paraId="3BAC7235" w14:textId="77777777" w:rsidR="00D6209E" w:rsidRPr="00A77991" w:rsidRDefault="00D6209E" w:rsidP="00873135">
      <w:pPr>
        <w:pStyle w:val="Textoindependiente"/>
        <w:spacing w:line="251" w:lineRule="exact"/>
        <w:ind w:left="142"/>
        <w:rPr>
          <w:b/>
          <w:bCs/>
          <w:sz w:val="24"/>
          <w:szCs w:val="24"/>
          <w:lang w:val="en-US"/>
        </w:rPr>
      </w:pPr>
    </w:p>
    <w:p w14:paraId="41EAC45C" w14:textId="77777777" w:rsidR="00D6209E" w:rsidRPr="00A77991" w:rsidRDefault="00D6209E" w:rsidP="00873135">
      <w:pPr>
        <w:pStyle w:val="Textoindependiente"/>
        <w:spacing w:line="251" w:lineRule="exact"/>
        <w:ind w:left="142"/>
        <w:rPr>
          <w:b/>
          <w:bCs/>
          <w:sz w:val="24"/>
          <w:szCs w:val="24"/>
          <w:lang w:val="en-US"/>
        </w:rPr>
      </w:pPr>
    </w:p>
    <w:p w14:paraId="3A651B56" w14:textId="77777777" w:rsidR="00D6209E" w:rsidRPr="00A77991" w:rsidRDefault="00D6209E" w:rsidP="00873135">
      <w:pPr>
        <w:pStyle w:val="Textoindependiente"/>
        <w:spacing w:line="251" w:lineRule="exact"/>
        <w:ind w:left="142"/>
        <w:rPr>
          <w:b/>
          <w:bCs/>
          <w:sz w:val="24"/>
          <w:szCs w:val="24"/>
          <w:lang w:val="en-US"/>
        </w:rPr>
      </w:pPr>
    </w:p>
    <w:p w14:paraId="079D236C" w14:textId="77777777" w:rsidR="00AD1BFC" w:rsidRPr="00A77991" w:rsidRDefault="00AD1BFC" w:rsidP="00873135">
      <w:pPr>
        <w:pStyle w:val="Textoindependiente"/>
        <w:spacing w:line="251" w:lineRule="exact"/>
        <w:ind w:left="142"/>
        <w:rPr>
          <w:b/>
          <w:bCs/>
          <w:sz w:val="24"/>
          <w:szCs w:val="24"/>
          <w:lang w:val="en-US"/>
        </w:rPr>
      </w:pPr>
    </w:p>
    <w:p w14:paraId="57D71362" w14:textId="77777777" w:rsidR="00AD1BFC" w:rsidRPr="00A77991" w:rsidRDefault="00AD1BFC" w:rsidP="00873135">
      <w:pPr>
        <w:pStyle w:val="Textoindependiente"/>
        <w:spacing w:line="251" w:lineRule="exact"/>
        <w:ind w:left="142"/>
        <w:rPr>
          <w:b/>
          <w:bCs/>
          <w:sz w:val="24"/>
          <w:szCs w:val="24"/>
          <w:lang w:val="en-US"/>
        </w:rPr>
      </w:pPr>
    </w:p>
    <w:p w14:paraId="7B0871CF" w14:textId="77777777" w:rsidR="00AD1BFC" w:rsidRPr="00A77991" w:rsidRDefault="00AD1BFC" w:rsidP="00873135">
      <w:pPr>
        <w:pStyle w:val="Textoindependiente"/>
        <w:spacing w:line="251" w:lineRule="exact"/>
        <w:ind w:left="142"/>
        <w:rPr>
          <w:b/>
          <w:bCs/>
          <w:sz w:val="24"/>
          <w:szCs w:val="24"/>
          <w:lang w:val="en-US"/>
        </w:rPr>
      </w:pPr>
    </w:p>
    <w:p w14:paraId="28B77637" w14:textId="77777777" w:rsidR="00AD1BFC" w:rsidRPr="00A77991" w:rsidRDefault="00AD1BFC" w:rsidP="00873135">
      <w:pPr>
        <w:pStyle w:val="Textoindependiente"/>
        <w:spacing w:line="251" w:lineRule="exact"/>
        <w:ind w:left="142"/>
        <w:rPr>
          <w:b/>
          <w:bCs/>
          <w:sz w:val="24"/>
          <w:szCs w:val="24"/>
          <w:lang w:val="en-US"/>
        </w:rPr>
      </w:pPr>
    </w:p>
    <w:p w14:paraId="06133A5B" w14:textId="77777777" w:rsidR="00AD1BFC" w:rsidRPr="00A77991" w:rsidRDefault="00AD1BFC" w:rsidP="00873135">
      <w:pPr>
        <w:pStyle w:val="Textoindependiente"/>
        <w:spacing w:line="251" w:lineRule="exact"/>
        <w:ind w:left="142"/>
        <w:rPr>
          <w:b/>
          <w:bCs/>
          <w:sz w:val="24"/>
          <w:szCs w:val="24"/>
          <w:lang w:val="en-US"/>
        </w:rPr>
      </w:pPr>
    </w:p>
    <w:p w14:paraId="1810D093" w14:textId="77777777" w:rsidR="00AD1BFC" w:rsidRPr="00A77991" w:rsidRDefault="00AD1BFC" w:rsidP="00873135">
      <w:pPr>
        <w:pStyle w:val="Textoindependiente"/>
        <w:spacing w:line="251" w:lineRule="exact"/>
        <w:ind w:left="142"/>
        <w:rPr>
          <w:b/>
          <w:bCs/>
          <w:sz w:val="24"/>
          <w:szCs w:val="24"/>
          <w:lang w:val="en-US"/>
        </w:rPr>
      </w:pPr>
    </w:p>
    <w:p w14:paraId="205EA68E" w14:textId="77777777" w:rsidR="00AD1BFC" w:rsidRPr="00A77991" w:rsidRDefault="00AD1BFC" w:rsidP="00873135">
      <w:pPr>
        <w:pStyle w:val="Textoindependiente"/>
        <w:spacing w:line="251" w:lineRule="exact"/>
        <w:ind w:left="142"/>
        <w:rPr>
          <w:b/>
          <w:bCs/>
          <w:sz w:val="24"/>
          <w:szCs w:val="24"/>
          <w:lang w:val="en-US"/>
        </w:rPr>
      </w:pPr>
    </w:p>
    <w:p w14:paraId="28ACC3C9" w14:textId="77777777" w:rsidR="00AD1BFC" w:rsidRPr="00A77991" w:rsidRDefault="00AD1BFC" w:rsidP="00873135">
      <w:pPr>
        <w:pStyle w:val="Textoindependiente"/>
        <w:spacing w:line="251" w:lineRule="exact"/>
        <w:ind w:left="142"/>
        <w:rPr>
          <w:b/>
          <w:bCs/>
          <w:sz w:val="24"/>
          <w:szCs w:val="24"/>
          <w:lang w:val="en-US"/>
        </w:rPr>
      </w:pPr>
    </w:p>
    <w:p w14:paraId="502AFFA4" w14:textId="77777777" w:rsidR="00AD1BFC" w:rsidRPr="00A77991" w:rsidRDefault="00AD1BFC" w:rsidP="00873135">
      <w:pPr>
        <w:pStyle w:val="Textoindependiente"/>
        <w:spacing w:line="251" w:lineRule="exact"/>
        <w:ind w:left="142"/>
        <w:rPr>
          <w:b/>
          <w:bCs/>
          <w:sz w:val="24"/>
          <w:szCs w:val="24"/>
          <w:lang w:val="en-US"/>
        </w:rPr>
      </w:pPr>
    </w:p>
    <w:p w14:paraId="1FEC8747" w14:textId="77777777" w:rsidR="00873135" w:rsidRPr="00A77991" w:rsidRDefault="00873135" w:rsidP="00873135">
      <w:pPr>
        <w:pStyle w:val="Textoindependiente"/>
        <w:spacing w:line="251" w:lineRule="exact"/>
        <w:ind w:left="0"/>
        <w:rPr>
          <w:b/>
          <w:bCs/>
          <w:sz w:val="24"/>
          <w:szCs w:val="24"/>
          <w:lang w:val="en-US"/>
        </w:rPr>
      </w:pPr>
    </w:p>
    <w:p w14:paraId="307F9F55" w14:textId="0A802654" w:rsidR="00873135" w:rsidRPr="00A77991" w:rsidRDefault="00873135" w:rsidP="0063130F">
      <w:pPr>
        <w:pStyle w:val="Textoindependiente"/>
        <w:spacing w:line="251" w:lineRule="exact"/>
        <w:ind w:left="888"/>
        <w:rPr>
          <w:b/>
          <w:bCs/>
          <w:sz w:val="24"/>
          <w:szCs w:val="24"/>
          <w:lang w:val="en-US"/>
        </w:rPr>
      </w:pPr>
    </w:p>
    <w:p w14:paraId="2E56749E" w14:textId="77777777" w:rsidR="00873135" w:rsidRPr="00A77991" w:rsidRDefault="00873135" w:rsidP="00873135">
      <w:pPr>
        <w:pStyle w:val="Textoindependiente"/>
        <w:spacing w:line="251" w:lineRule="exact"/>
        <w:ind w:left="862"/>
        <w:jc w:val="left"/>
        <w:rPr>
          <w:sz w:val="24"/>
          <w:szCs w:val="24"/>
          <w:lang w:val="en-US"/>
        </w:rPr>
      </w:pPr>
    </w:p>
    <w:bookmarkEnd w:id="0"/>
    <w:p w14:paraId="61F49A5C" w14:textId="78EDC0CA" w:rsidR="001C76F7" w:rsidRPr="00A77991" w:rsidRDefault="001C76F7" w:rsidP="00873135">
      <w:pPr>
        <w:pStyle w:val="Textoindependiente"/>
        <w:spacing w:line="251" w:lineRule="exact"/>
        <w:ind w:left="1080"/>
        <w:jc w:val="left"/>
        <w:rPr>
          <w:b/>
          <w:bCs/>
          <w:sz w:val="24"/>
          <w:szCs w:val="24"/>
          <w:lang w:val="en-US"/>
        </w:rPr>
      </w:pPr>
    </w:p>
    <w:sectPr w:rsidR="001C76F7" w:rsidRPr="00A77991" w:rsidSect="0063130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0340F" w14:textId="77777777" w:rsidR="002D5092" w:rsidRDefault="002D5092" w:rsidP="00D6209E">
      <w:r>
        <w:separator/>
      </w:r>
    </w:p>
  </w:endnote>
  <w:endnote w:type="continuationSeparator" w:id="0">
    <w:p w14:paraId="5DDBA2F0" w14:textId="77777777" w:rsidR="002D5092" w:rsidRDefault="002D5092"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39636654"/>
      <w:docPartObj>
        <w:docPartGallery w:val="Page Numbers (Bottom of Page)"/>
        <w:docPartUnique/>
      </w:docPartObj>
    </w:sdtPr>
    <w:sdtContent>
      <w:p w14:paraId="76C3A060" w14:textId="0E512BEA" w:rsidR="003E14B5" w:rsidRDefault="003E14B5" w:rsidP="00DF0A5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915073E" w14:textId="77777777" w:rsidR="003E14B5" w:rsidRDefault="003E14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4096193"/>
      <w:docPartObj>
        <w:docPartGallery w:val="Page Numbers (Bottom of Page)"/>
        <w:docPartUnique/>
      </w:docPartObj>
    </w:sdtPr>
    <w:sdtEndPr>
      <w:rPr>
        <w:rStyle w:val="Nmerodepgina"/>
        <w:sz w:val="20"/>
        <w:szCs w:val="20"/>
      </w:rPr>
    </w:sdtEndPr>
    <w:sdtContent>
      <w:p w14:paraId="7B28B039" w14:textId="0644A347" w:rsidR="003E14B5" w:rsidRDefault="003E14B5" w:rsidP="00DF0A51">
        <w:pPr>
          <w:pStyle w:val="Piedepgina"/>
          <w:framePr w:wrap="none" w:vAnchor="text" w:hAnchor="margin" w:xAlign="center" w:y="1"/>
          <w:rPr>
            <w:rStyle w:val="Nmerodepgina"/>
          </w:rPr>
        </w:pPr>
        <w:r w:rsidRPr="00A77991">
          <w:rPr>
            <w:rStyle w:val="Nmerodepgina"/>
            <w:sz w:val="20"/>
            <w:szCs w:val="20"/>
          </w:rPr>
          <w:fldChar w:fldCharType="begin"/>
        </w:r>
        <w:r w:rsidRPr="00A77991">
          <w:rPr>
            <w:rStyle w:val="Nmerodepgina"/>
            <w:sz w:val="20"/>
            <w:szCs w:val="20"/>
          </w:rPr>
          <w:instrText xml:space="preserve"> PAGE </w:instrText>
        </w:r>
        <w:r w:rsidRPr="00A77991">
          <w:rPr>
            <w:rStyle w:val="Nmerodepgina"/>
            <w:sz w:val="20"/>
            <w:szCs w:val="20"/>
          </w:rPr>
          <w:fldChar w:fldCharType="separate"/>
        </w:r>
        <w:r w:rsidRPr="00A77991">
          <w:rPr>
            <w:rStyle w:val="Nmerodepgina"/>
            <w:noProof/>
            <w:sz w:val="20"/>
            <w:szCs w:val="20"/>
          </w:rPr>
          <w:t>1</w:t>
        </w:r>
        <w:r w:rsidRPr="00A77991">
          <w:rPr>
            <w:rStyle w:val="Nmerodepgina"/>
            <w:sz w:val="20"/>
            <w:szCs w:val="20"/>
          </w:rPr>
          <w:fldChar w:fldCharType="end"/>
        </w:r>
      </w:p>
    </w:sdtContent>
  </w:sdt>
  <w:p w14:paraId="5FC7482C" w14:textId="77777777" w:rsidR="003E14B5" w:rsidRDefault="003E14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3F0DD" w14:textId="77777777" w:rsidR="002D5092" w:rsidRDefault="002D5092" w:rsidP="00D6209E">
      <w:r>
        <w:separator/>
      </w:r>
    </w:p>
  </w:footnote>
  <w:footnote w:type="continuationSeparator" w:id="0">
    <w:p w14:paraId="197F70FF" w14:textId="77777777" w:rsidR="002D5092" w:rsidRDefault="002D5092" w:rsidP="00D6209E">
      <w:r>
        <w:continuationSeparator/>
      </w:r>
    </w:p>
  </w:footnote>
  <w:footnote w:id="1">
    <w:p w14:paraId="6FBF47EF" w14:textId="58261E83" w:rsidR="00171FF6" w:rsidRPr="00171FF6" w:rsidRDefault="00171FF6">
      <w:pPr>
        <w:pStyle w:val="Textonotapie"/>
      </w:pPr>
      <w:r>
        <w:rPr>
          <w:rStyle w:val="Refdenotaalpie"/>
        </w:rPr>
        <w:footnoteRef/>
      </w:r>
      <w:r>
        <w:t xml:space="preserve"> </w:t>
      </w:r>
      <w:r w:rsidRPr="00171FF6">
        <w:rPr>
          <w:i/>
          <w:w w:val="100"/>
          <w:sz w:val="18"/>
          <w:szCs w:val="18"/>
        </w:rPr>
        <w:t>Borrador (versión 6.10). Fecha: 06 de julio de 2023</w:t>
      </w:r>
    </w:p>
  </w:footnote>
  <w:footnote w:id="2">
    <w:p w14:paraId="56CB55E4" w14:textId="38C8E3F2" w:rsidR="003E14B5" w:rsidRDefault="003E14B5" w:rsidP="00D6209E">
      <w:pPr>
        <w:pStyle w:val="Textonotapie"/>
        <w:jc w:val="both"/>
      </w:pPr>
      <w:r w:rsidRPr="00BC56B2">
        <w:rPr>
          <w:rStyle w:val="Refdenotaalpie"/>
        </w:rPr>
        <w:footnoteRef/>
      </w:r>
      <w:r>
        <w:t xml:space="preserve"> </w:t>
      </w:r>
      <w:r w:rsidRPr="00854763">
        <w:rPr>
          <w:w w:val="100"/>
          <w:sz w:val="18"/>
          <w:szCs w:val="18"/>
        </w:rPr>
        <w:t xml:space="preserve">Mediante una extensión de la aproximación paramétrica, a fin de considerar la presencia de observaciones censuradas, se ha propuesto la implementación de modelos paramétricos de análisis de supervivencia con riesgos en competencia derivados de una distribución de Weibull. Conservando el supuesto de riesgos en competencia, se desarrollan dos extensiones alternativas: primero, la implementación de modelos de tiempo de fallo acelerado, en los cuales la función de riesgo está determinada por un término de perturbación que sigue también una distribución de Weibull; y segundo, un modelo de estados múltiples que permite modelar desenlaces múltiples —o eventos de interés múltiples— de manera tal que cada transición corresponde a un modelo de tiempo de fallo acelerado derivado de una distribución de Weibull </w:t>
      </w:r>
      <w:r w:rsidRPr="00854763">
        <w:rPr>
          <w:w w:val="100"/>
          <w:sz w:val="18"/>
          <w:szCs w:val="18"/>
        </w:rPr>
        <w:fldChar w:fldCharType="begin" w:fldLock="1"/>
      </w:r>
      <w:r>
        <w:rPr>
          <w:w w:val="100"/>
          <w:sz w:val="18"/>
          <w:szCs w:val="18"/>
        </w:rPr>
        <w:instrText>ADDIN CSL_CITATION {"citationItems":[{"id":"ITEM-1","itemData":{"DOI":"10.1186/s12879-021-06371-6","ISSN":"14712334","PMID":"34294037","abstract":"Background: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author":[{"dropping-particle":"","family":"Vekaria","given":"Bindu","non-dropping-particle":"","parse-names":false,"suffix":""},{"dropping-particle":"","family":"Overton","given":"Christopher","non-dropping-particle":"","parse-names":false,"suffix":""},{"dropping-particle":"","family":"Wiśniowski","given":"Arkadiusz","non-dropping-particle":"","parse-names":false,"suffix":""},{"dropping-particle":"","family":"Ahmad","given":"Shazaad","non-dropping-particle":"","parse-names":false,"suffix":""},{"dropping-particle":"","family":"Aparicio-Castro","given":"Andrea","non-dropping-particle":"","parse-names":false,"suffix":""},{"dropping-particle":"","family":"Curran-Sebastian","given":"Jacob","non-dropping-particle":"","parse-names":false,"suffix":""},{"dropping-particle":"","family":"Eddleston","given":"Jane","non-dropping-particle":"","parse-names":false,"suffix":""},{"dropping-particle":"","family":"Hanley","given":"Neil A.","non-dropping-particle":"","parse-names":false,"suffix":""},{"dropping-particle":"","family":"House","given":"Thomas","non-dropping-particle":"","parse-names":false,"suffix":""},{"dropping-particle":"","family":"Kim","given":"Jihye","non-dropping-particle":"","parse-names":false,"suffix":""},{"dropping-particle":"","family":"Olsen","given":"Wendy","non-dropping-particle":"","parse-names":false,"suffix":""},{"dropping-particle":"","family":"Pampaka","given":"Maria","non-dropping-particle":"","parse-names":false,"suffix":""},{"dropping-particle":"","family":"Pellis","given":"Lorenzo","non-dropping-particle":"","parse-names":false,"suffix":""},{"dropping-particle":"","family":"Ruiz","given":"Diego Perez","non-dropping-particle":"","parse-names":false,"suffix":""},{"dropping-particle":"","family":"Schofield","given":"John","non-dropping-particle":"","parse-names":false,"suffix":""},{"dropping-particle":"","family":"Shryane","given":"Nick","non-dropping-particle":"","parse-names":false,"suffix":""},{"dropping-particle":"","family":"Elliot","given":"Mark J.","non-dropping-particle":"","parse-names":false,"suffix":""}],"container-title":"BMC Infectious Diseases","id":"ITEM-1","issued":{"date-parts":[["2021","12","1"]]},"note":"XIV. Anotaciones generales a Vekaria, B., Overton, C., Wiśniowski, A., Ahmad, S., Aparicio-Castro, A., Curran-Sebastian, J., Eddleston, J., Hanley, N. A., House, T., Kim, J., Olsen, W., Pampaka, M., Pellis, L., Ruiz, D. P., Schofield, J., Shryane, N., &amp;amp; Elliot, M. J. (2021). Hospital length of stay for COVID-19 patients: Data-driven methods for forward planning. BMC Infectious Diseases, 21(1).\n\nRmk 1: Vekaria et al. (2021) presentan tres métodos para estimar el tiempo de permanencia de pacientes con COVID-19: \n\n[1] The truncation corrected (TC) method corrects for the fact that observations are truncated at the day of reporting.\n\n[2] Accelerated failure time models (AFT) explicitly account for all observed length of stay including those censored by not having seen the outcome.\n\n[3] Multi-state (MS) approach analyses length of stay and takes into account dependence between outcomes such as discharge or death.\n\nRmk 2: La muestra empleada corresponde a &amp;quot;patients with COVID-19 infection using both a nationally collected dataset and local data from a large inner city hospital Trust in the UK&amp;quot;. Se consideran los siguientes tiempos de permanencia: primero, el tiempo de permanencia desde la entrada al hospital hasta la muerte o ser dado de alta; segundo, el tiempo de estancia desde la admisión en el hospital hasta el ingreso a UCI; y tercero, el tiempo de estancia en UCI.\n\nRmk 3: el análisis de supevivencia puede suponer una distribución subyacente (underlying distribution) para el tiempo de estancia en cada estado. Generalmente, el tiempo de permanencia es asimétrico positivo, lo cual implica que se puede emplear una distribución asimétrica. \n\nVekaria et al. (2021) suponen que el tiempo de permanencia supone una distribución de Weibull .\n\nRmk 4 [Accelerated failure time (AFT) model]: el propósito es estimar el tiempo de permanencia en relación con un estado específico (por ejemplo, el tiempo desde la admisión en el hospital hasta la admisión en UCI). El modelo presentado sigue la forma Ln(t) = XB + E, donde X es un vector de variables explicativas.\n\nSe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time)\n\n¿Cuál es la limitación principal del AFT model? Presupone la estimación del tiempo de permanencia hasta la ocurrencia de un evento, el evento de interés. Sin embargo, cuando el desenlace es doble: muerte o ser dado de alta, se deben correr dos modelos. \n\n¿Correr dos modelos es apropiado? Las estimaciones resultarían insesgadas si los riesgos en competencia son independientes. Sin embargo, en el caso de la estancia en UCI, esto no se cumple. En la medida en que aumenta el riesgo de muerte, disminuye el riesgo de ser dado de alta.\n\n¿Cómo solucionan la limitación? Aun cuando existen dos desenlaces, se considera un único evento de interés: estar muerto o ser dado de alta. (Para el tratamiento formal, véase los apuntes).\n\nNótese que el modelo AFT considera riesgos en competencia en la misma línea sugerida por Lewnard et al. (2021).\n\nRmk 5 [Truncation Corrected Method]: 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verosimilitud.\n\nPuesto que el LoS no es observado en todos los casos, existen datos truncados. Así, X se define como E2 = E1 + X, donde E2 y E1 es el evento final y el evento inicial, respectivamente. \n\nEl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Apuntes).\n\nRmk 6 [Multi-state model]: el multi-state model permite modelar el tiempo con desenlaces múltiples en presencia de riesgos en competencia.\n\nEn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sn(r).\n\nAsí, a partir de los datos, se construyen series de eventos en el tiempo y tiempos de permanencia, donde cada uno corresponde a un cambio de estado. \n\nRmk 7: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model.","page":"700","publisher":"BioMed Central Ltd","title":"Hospital length of stay for COVID-19 patients: Data-driven methods for forward planning","type":"article-journal","volume":"21"},"uris":["http://www.mendeley.com/documents/?uuid=7db9c567-32df-3c9a-bc94-75104b9624c7"]}],"mendeley":{"formattedCitation":"(44)","plainTextFormattedCitation":"(44)","previouslyFormattedCitation":"(44)"},"properties":{"noteIndex":0},"schema":"https://github.com/citation-style-language/schema/raw/master/csl-citation.json"}</w:instrText>
      </w:r>
      <w:r w:rsidRPr="00854763">
        <w:rPr>
          <w:w w:val="100"/>
          <w:sz w:val="18"/>
          <w:szCs w:val="18"/>
        </w:rPr>
        <w:fldChar w:fldCharType="separate"/>
      </w:r>
      <w:r w:rsidRPr="00420505">
        <w:rPr>
          <w:noProof/>
          <w:w w:val="100"/>
          <w:sz w:val="18"/>
          <w:szCs w:val="18"/>
        </w:rPr>
        <w:t>(44)</w:t>
      </w:r>
      <w:r w:rsidRPr="00854763">
        <w:rPr>
          <w:w w:val="100"/>
          <w:sz w:val="18"/>
          <w:szCs w:val="18"/>
        </w:rPr>
        <w:fldChar w:fldCharType="end"/>
      </w:r>
      <w:r w:rsidRPr="00854763">
        <w:rPr>
          <w:w w:val="100"/>
          <w:sz w:val="18"/>
          <w:szCs w:val="18"/>
        </w:rPr>
        <w:t>.</w:t>
      </w:r>
    </w:p>
  </w:footnote>
  <w:footnote w:id="3">
    <w:p w14:paraId="7D7B1ACE" w14:textId="17F55705" w:rsidR="003E14B5" w:rsidRPr="00854763" w:rsidRDefault="003E14B5" w:rsidP="00085BE0">
      <w:pPr>
        <w:pStyle w:val="Textonotapie"/>
        <w:jc w:val="both"/>
        <w:rPr>
          <w:sz w:val="18"/>
          <w:szCs w:val="18"/>
        </w:rPr>
      </w:pPr>
      <w:r w:rsidRPr="00BC56B2">
        <w:rPr>
          <w:rStyle w:val="Refdenotaalpie"/>
        </w:rPr>
        <w:footnoteRef/>
      </w:r>
      <w:r>
        <w:t xml:space="preserve"> </w:t>
      </w:r>
      <w:r w:rsidRPr="00854763">
        <w:rPr>
          <w:w w:val="100"/>
          <w:sz w:val="18"/>
          <w:szCs w:val="18"/>
        </w:rPr>
        <w:t>A efectos del análisis, el estudio omite la evolución diaria de los pacientes que registran dos o más admisiones en UCI.</w:t>
      </w:r>
    </w:p>
  </w:footnote>
  <w:footnote w:id="4">
    <w:p w14:paraId="22C35D3D" w14:textId="0A4B0AA1" w:rsidR="003E14B5" w:rsidRDefault="003E14B5">
      <w:pPr>
        <w:pStyle w:val="Textonotapie"/>
      </w:pPr>
      <w:r>
        <w:rPr>
          <w:rStyle w:val="Refdenotaalpie"/>
        </w:rPr>
        <w:footnoteRef/>
      </w:r>
      <w:r>
        <w:t xml:space="preserve"> </w:t>
      </w:r>
      <w:r w:rsidRPr="004F4EDB">
        <w:rPr>
          <w:w w:val="100"/>
          <w:sz w:val="18"/>
          <w:szCs w:val="18"/>
        </w:rPr>
        <w:t>El análisis</w:t>
      </w:r>
      <w:r>
        <w:rPr>
          <w:w w:val="100"/>
          <w:sz w:val="18"/>
          <w:szCs w:val="18"/>
        </w:rPr>
        <w:t xml:space="preserve"> de regresión </w:t>
      </w:r>
      <w:r w:rsidRPr="004F4EDB">
        <w:rPr>
          <w:w w:val="100"/>
          <w:sz w:val="18"/>
          <w:szCs w:val="18"/>
        </w:rPr>
        <w:t xml:space="preserve">multivariante de Cox, expresado en el </w:t>
      </w:r>
      <w:r w:rsidRPr="004F4EDB">
        <w:rPr>
          <w:b/>
          <w:bCs/>
          <w:w w:val="100"/>
          <w:sz w:val="18"/>
          <w:szCs w:val="18"/>
        </w:rPr>
        <w:t>Cuadro 2</w:t>
      </w:r>
      <w:r w:rsidRPr="004F4EDB">
        <w:rPr>
          <w:w w:val="100"/>
          <w:sz w:val="18"/>
          <w:szCs w:val="18"/>
        </w:rPr>
        <w:t>, considera la edad como una variable categórica</w:t>
      </w:r>
      <w:r>
        <w:rPr>
          <w:w w:val="100"/>
          <w:sz w:val="18"/>
          <w:szCs w:val="18"/>
        </w:rPr>
        <w:t xml:space="preserve"> de dos niveles.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w:t>
      </w:r>
      <w:r>
        <w:rPr>
          <w:b/>
          <w:bCs/>
          <w:w w:val="100"/>
          <w:sz w:val="18"/>
          <w:szCs w:val="18"/>
        </w:rPr>
        <w:t xml:space="preserve">Cuadro S5 </w:t>
      </w:r>
      <w:r>
        <w:rPr>
          <w:w w:val="100"/>
          <w:sz w:val="18"/>
          <w:szCs w:val="18"/>
        </w:rPr>
        <w:t xml:space="preserve">y </w:t>
      </w:r>
      <w:r>
        <w:rPr>
          <w:b/>
          <w:bCs/>
          <w:w w:val="100"/>
          <w:sz w:val="18"/>
          <w:szCs w:val="18"/>
        </w:rPr>
        <w:t>Cuadro S6</w:t>
      </w:r>
      <w:r>
        <w:rPr>
          <w:w w:val="100"/>
          <w:sz w:val="18"/>
          <w:szCs w:val="18"/>
        </w:rPr>
        <w:t xml:space="preserve">) </w:t>
      </w:r>
    </w:p>
  </w:footnote>
  <w:footnote w:id="5">
    <w:p w14:paraId="250840FE" w14:textId="7E8C7667" w:rsidR="003E14B5" w:rsidRPr="00AF532B" w:rsidRDefault="003E14B5" w:rsidP="00AF532B">
      <w:pPr>
        <w:widowControl/>
        <w:adjustRightInd w:val="0"/>
        <w:jc w:val="both"/>
        <w:rPr>
          <w:color w:val="000000"/>
          <w:sz w:val="18"/>
          <w:szCs w:val="18"/>
        </w:rPr>
      </w:pPr>
      <w:r>
        <w:rPr>
          <w:rStyle w:val="Refdenotaalpie"/>
        </w:rPr>
        <w:footnoteRef/>
      </w:r>
      <w:r>
        <w:t xml:space="preserve"> </w:t>
      </w:r>
      <w:r w:rsidRPr="00AF532B">
        <w:rPr>
          <w:color w:val="000000"/>
          <w:w w:val="100"/>
          <w:sz w:val="18"/>
          <w:szCs w:val="18"/>
        </w:rPr>
        <w:t xml:space="preserve">Para una discusión detallada sobre los mecanismos específicos de cada sexo (v.gr.: la respuesta inmune innata y adaptativa modulada por las hormonas sexuales) y las condiciones (v.gr.: conductas de salud y características socioeconómicas) que delimitan la evolución de los pacientes en UCI por COVID-19, véase </w:t>
      </w:r>
      <w:proofErr w:type="spellStart"/>
      <w:r w:rsidRPr="00AF532B">
        <w:rPr>
          <w:color w:val="000000"/>
          <w:w w:val="100"/>
          <w:sz w:val="18"/>
          <w:szCs w:val="18"/>
        </w:rPr>
        <w:t>Gebhard</w:t>
      </w:r>
      <w:proofErr w:type="spellEnd"/>
      <w:r w:rsidRPr="00AF532B">
        <w:rPr>
          <w:color w:val="000000"/>
          <w:w w:val="100"/>
          <w:sz w:val="18"/>
          <w:szCs w:val="18"/>
        </w:rPr>
        <w:t xml:space="preserve"> et al. </w:t>
      </w:r>
      <w:r>
        <w:rPr>
          <w:color w:val="000000"/>
          <w:w w:val="100"/>
          <w:sz w:val="18"/>
          <w:szCs w:val="18"/>
        </w:rPr>
        <w:fldChar w:fldCharType="begin" w:fldLock="1"/>
      </w:r>
      <w:r>
        <w:rPr>
          <w:color w:val="000000"/>
          <w:w w:val="100"/>
          <w:sz w:val="18"/>
          <w:szCs w:val="18"/>
        </w:rPr>
        <w:instrText>ADDIN CSL_CITATION {"citationItems":[{"id":"ITEM-1","itemData":{"DOI":"10.1186/s13293-020-00304-9","ISSN":"20426410","PMID":"32450906","author":[{"dropping-particle":"","family":"Gebhard","given":"Catherine","non-dropping-particle":"","parse-names":false,"suffix":""},{"dropping-particle":"","family":"Regitz-Zagrosek","given":"Vera","non-dropping-particle":"","parse-names":false,"suffix":""},{"dropping-particle":"","family":"Neuhauser","given":"Hannelore K.","non-dropping-particle":"","parse-names":false,"suffix":""},{"dropping-particle":"","family":"Morgan","given":"Rosemary","non-dropping-particle":"","parse-names":false,"suffix":""},{"dropping-particle":"","family":"Klein","given":"Sabra L.","non-dropping-particle":"","parse-names":false,"suffix":""}],"container-title":"Biology of Sex Differences","id":"ITEM-1","issue":"1","issued":{"date-parts":[["2020"]]},"note":"For a discussion on potential sex-specific machanisms modulating the course of disease, such as hormone-regulated expression of genes encoding for the SARS-CoV2 entry receptos angiotensin converting enzime (ACE) 2 recepto and TMPRSS2 as well as sex homone-drive innate and adaptive immune reponses and immunoaging, see Gebhard et al. (2020). They elucidate the impact of gender-specific lifestyle, health behavior, psychological stress and socioeconomic conditions on COVID-19 and discuss sex specific aspects of antiviral therapies.","page":"1-13","title":"Impact of sex and gender on COVID-19 outcomes in Europe","type":"article-journal","volume":"11"},"uris":["http://www.mendeley.com/documents/?uuid=71ac1961-d632-4481-a3bc-6a3af0e90f5d"]}],"mendeley":{"formattedCitation":"(45)","plainTextFormattedCitation":"(45)","previouslyFormattedCitation":"(45)"},"properties":{"noteIndex":0},"schema":"https://github.com/citation-style-language/schema/raw/master/csl-citation.json"}</w:instrText>
      </w:r>
      <w:r>
        <w:rPr>
          <w:color w:val="000000"/>
          <w:w w:val="100"/>
          <w:sz w:val="18"/>
          <w:szCs w:val="18"/>
        </w:rPr>
        <w:fldChar w:fldCharType="separate"/>
      </w:r>
      <w:r w:rsidRPr="00420505">
        <w:rPr>
          <w:noProof/>
          <w:color w:val="000000"/>
          <w:w w:val="100"/>
          <w:sz w:val="18"/>
          <w:szCs w:val="18"/>
        </w:rPr>
        <w:t>(45)</w:t>
      </w:r>
      <w:r>
        <w:rPr>
          <w:color w:val="000000"/>
          <w:w w:val="100"/>
          <w:sz w:val="18"/>
          <w:szCs w:val="18"/>
        </w:rPr>
        <w:fldChar w:fldCharType="end"/>
      </w:r>
      <w:r w:rsidRPr="00AF532B">
        <w:rPr>
          <w:color w:val="000000"/>
          <w:w w:val="100"/>
          <w:sz w:val="18"/>
          <w:szCs w:val="18"/>
        </w:rPr>
        <w:t xml:space="preserve">. Para una revisión sistemática de estudios sobre la respuesta —diferenciada según el sexo del paciente— ante tratamientos farmacológicos contra el COVID-19, véase Schiffer et al. </w:t>
      </w:r>
      <w:r>
        <w:rPr>
          <w:color w:val="000000"/>
          <w:w w:val="100"/>
          <w:sz w:val="18"/>
          <w:szCs w:val="18"/>
        </w:rPr>
        <w:fldChar w:fldCharType="begin" w:fldLock="1"/>
      </w:r>
      <w:r>
        <w:rPr>
          <w:color w:val="000000"/>
          <w:w w:val="100"/>
          <w:sz w:val="18"/>
          <w:szCs w:val="18"/>
        </w:rPr>
        <w:instrText>ADDIN CSL_CITATION {"citationItems":[{"id":"ITEM-1","itemData":{"DOI":"10.1016/j.eclinm.2020.100652","ISSN":"25895370","author":[{"dropping-particle":"","family":"Schiffer","given":"Veronique M.M.M.","non-dropping-particle":"","parse-names":false,"suffix":""},{"dropping-particle":"","family":"Janssen","given":"Emma B.N.J.","non-dropping-particle":"","parse-names":false,"suffix":""},{"dropping-particle":"","family":"Bussel","given":"Bas C.T.","non-dropping-particle":"van","parse-names":false,"suffix":""},{"dropping-particle":"","family":"Jorissen","given":"Laura L.M.","non-dropping-particle":"","parse-names":false,"suffix":""},{"dropping-particle":"","family":"Tas","given":"Jeanette","non-dropping-particle":"","parse-names":false,"suffix":""},{"dropping-particle":"","family":"Sels","given":"Jan Willem E.M.","non-dropping-particle":"","parse-names":false,"suffix":""},{"dropping-particle":"","family":"Bergmans","given":"Dennis C.J.J.","non-dropping-particle":"","parse-names":false,"suffix":""},{"dropping-particle":"","family":"Dinh","given":"Trang H.T.","non-dropping-particle":"","parse-names":false,"suffix":""},{"dropping-particle":"","family":"Kuijk","given":"Sander M.J.","non-dropping-particle":"van","parse-names":false,"suffix":""},{"dropping-particle":"","family":"Hana","given":"Anisa","non-dropping-particle":"","parse-names":false,"suffix":""},{"dropping-particle":"","family":"Mehagnoul-Schipper","given":"Jannet","non-dropping-particle":"","parse-names":false,"suffix":""},{"dropping-particle":"","family":"Scheeren","given":"Clarissa I.E.","non-dropping-particle":"","parse-names":false,"suffix":""},{"dropping-particle":"","family":"Mesotten","given":"Dieter","non-dropping-particle":"","parse-names":false,"suffix":""},{"dropping-particle":"","family":"Stessel","given":"Bjorn","non-dropping-particle":"","parse-names":false,"suffix":""},{"dropping-particle":"","family":"Marx","given":"Gernot","non-dropping-particle":"","parse-names":false,"suffix":""},{"dropping-particle":"","family":"Hof","given":"Arnoud W.J.van ´t","non-dropping-particle":"","parse-names":false,"suffix":""},{"dropping-particle":"","family":"Spaanderman","given":"Marc E.A.","non-dropping-particle":"","parse-names":false,"suffix":""},{"dropping-particle":"","family":"Mook","given":"Walther N.K.A.","non-dropping-particle":"van","parse-names":false,"suffix":""},{"dropping-particle":"","family":"Horst","given":"Iwan C.C.","non-dropping-particle":"van der","parse-names":false,"suffix":""},{"dropping-particle":"","family":"Ghossein-Doha","given":"Chahinda","non-dropping-particle":"","parse-names":false,"suffix":""}],"container-title":"EClinicalMedicine","id":"ITEM-1","issued":{"date-parts":[["2020"]]},"page":"100652","title":"The “sex gap” in COVID-19 trials: a scoping review","type":"article-journal","volume":"29-30"},"uris":["http://www.mendeley.com/documents/?uuid=feb1367d-6e27-439c-92c5-eb0907600f24"]}],"mendeley":{"formattedCitation":"(46)","plainTextFormattedCitation":"(46)","previouslyFormattedCitation":"(46)"},"properties":{"noteIndex":0},"schema":"https://github.com/citation-style-language/schema/raw/master/csl-citation.json"}</w:instrText>
      </w:r>
      <w:r>
        <w:rPr>
          <w:color w:val="000000"/>
          <w:w w:val="100"/>
          <w:sz w:val="18"/>
          <w:szCs w:val="18"/>
        </w:rPr>
        <w:fldChar w:fldCharType="separate"/>
      </w:r>
      <w:r w:rsidRPr="00420505">
        <w:rPr>
          <w:noProof/>
          <w:color w:val="000000"/>
          <w:w w:val="100"/>
          <w:sz w:val="18"/>
          <w:szCs w:val="18"/>
        </w:rPr>
        <w:t>(46)</w:t>
      </w:r>
      <w:r>
        <w:rPr>
          <w:color w:val="000000"/>
          <w:w w:val="100"/>
          <w:sz w:val="18"/>
          <w:szCs w:val="18"/>
        </w:rPr>
        <w:fldChar w:fldCharType="end"/>
      </w:r>
      <w:r w:rsidRPr="00AF532B">
        <w:rPr>
          <w:color w:val="000000"/>
          <w:w w:val="100"/>
          <w:sz w:val="18"/>
          <w:szCs w:val="18"/>
        </w:rPr>
        <w:t xml:space="preserve">. Y para una revisión sistemática sobre los estudios que evalúan la relación de los mecanismos moleculares y </w:t>
      </w:r>
      <w:proofErr w:type="spellStart"/>
      <w:r w:rsidRPr="00AF532B">
        <w:rPr>
          <w:color w:val="000000"/>
          <w:w w:val="100"/>
          <w:sz w:val="18"/>
          <w:szCs w:val="18"/>
        </w:rPr>
        <w:t>patofisiológicos</w:t>
      </w:r>
      <w:proofErr w:type="spellEnd"/>
      <w:r w:rsidRPr="00AF532B">
        <w:rPr>
          <w:color w:val="000000"/>
          <w:w w:val="100"/>
          <w:sz w:val="18"/>
          <w:szCs w:val="18"/>
        </w:rPr>
        <w:t xml:space="preserve"> con el desenlace de la enfermedad diferenciado según el sexo del paciente, véase </w:t>
      </w:r>
      <w:proofErr w:type="spellStart"/>
      <w:r w:rsidRPr="00AF532B">
        <w:rPr>
          <w:color w:val="000000"/>
          <w:w w:val="100"/>
          <w:sz w:val="18"/>
          <w:szCs w:val="18"/>
        </w:rPr>
        <w:t>Pivonello</w:t>
      </w:r>
      <w:proofErr w:type="spellEnd"/>
      <w:r w:rsidRPr="00AF532B">
        <w:rPr>
          <w:color w:val="000000"/>
          <w:w w:val="100"/>
          <w:sz w:val="18"/>
          <w:szCs w:val="18"/>
        </w:rPr>
        <w:t xml:space="preserve"> et al. </w:t>
      </w:r>
      <w:r>
        <w:rPr>
          <w:color w:val="000000"/>
          <w:w w:val="100"/>
          <w:sz w:val="18"/>
          <w:szCs w:val="18"/>
        </w:rPr>
        <w:fldChar w:fldCharType="begin" w:fldLock="1"/>
      </w:r>
      <w:r>
        <w:rPr>
          <w:color w:val="000000"/>
          <w:w w:val="100"/>
          <w:sz w:val="18"/>
          <w:szCs w:val="18"/>
        </w:rPr>
        <w:instrText>ADDIN CSL_CITATION {"citationItems":[{"id":"ITEM-1","itemData":{"ISSN":"14230194","author":[{"dropping-particle":"","family":"Pivonello","given":"Rosario","non-dropping-particle":"","parse-names":false,"suffix":""},{"dropping-particle":"","family":"Auriemma","given":"Renata S.","non-dropping-particle":"","parse-names":false,"suffix":""},{"dropping-particle":"","family":"Pivonello","given":"Claudia","non-dropping-particle":"","parse-names":false,"suffix":""},{"dropping-particle":"","family":"Isidori","given":"Andrea M.","non-dropping-particle":"","parse-names":false,"suffix":""},{"dropping-particle":"","family":"Corona","given":"Giovanni","non-dropping-particle":"","parse-names":false,"suffix":""},{"dropping-particle":"","family":"Colao","given":"Annamaria","non-dropping-particle":"","parse-names":false,"suffix":""},{"dropping-particle":"","family":"Millar","given":"Robert P.","non-dropping-particle":"","parse-names":false,"suffix":""}],"container-title":"Neuroendocrinology","id":"ITEM-1","issue":"11","issued":{"date-parts":[["2021"]]},"note":"The current review comprehensively summarizes the current literature on sex disparities in sus- ceptibility and outcome of COVID-19 as well as the literature underpinning the pathophysiological and molecular mech- anisms, which may provide a rationale to a sex disparity. These mechanisms include sex hormone influence on fac- tors that facilitate virus entry and priming, immune and in- flammatory response, as well as coagulation and thrombosis diathesis (Pivonello et al., 2020).","page":"1066-1085","title":"Sex Disparities in COVID-19 Severity and Outcome: Are Men Weaker or Women Stronger?","type":"article-journal","volume":"111"},"uris":["http://www.mendeley.com/documents/?uuid=715b1fc2-890d-4852-930b-eb29debe911b"]}],"mendeley":{"formattedCitation":"(47)","plainTextFormattedCitation":"(47)","previouslyFormattedCitation":"(47)"},"properties":{"noteIndex":0},"schema":"https://github.com/citation-style-language/schema/raw/master/csl-citation.json"}</w:instrText>
      </w:r>
      <w:r>
        <w:rPr>
          <w:color w:val="000000"/>
          <w:w w:val="100"/>
          <w:sz w:val="18"/>
          <w:szCs w:val="18"/>
        </w:rPr>
        <w:fldChar w:fldCharType="separate"/>
      </w:r>
      <w:r w:rsidRPr="00420505">
        <w:rPr>
          <w:noProof/>
          <w:color w:val="000000"/>
          <w:w w:val="100"/>
          <w:sz w:val="18"/>
          <w:szCs w:val="18"/>
        </w:rPr>
        <w:t>(47)</w:t>
      </w:r>
      <w:r>
        <w:rPr>
          <w:color w:val="000000"/>
          <w:w w:val="100"/>
          <w:sz w:val="18"/>
          <w:szCs w:val="18"/>
        </w:rPr>
        <w:fldChar w:fldCharType="end"/>
      </w:r>
      <w:r w:rsidRPr="00AF532B">
        <w:rPr>
          <w:color w:val="000000"/>
          <w:w w:val="100"/>
          <w:sz w:val="18"/>
          <w:szCs w:val="18"/>
        </w:rPr>
        <w:t xml:space="preserve">. (En una línea similar, véase </w:t>
      </w:r>
      <w:proofErr w:type="spellStart"/>
      <w:r w:rsidRPr="00AF532B">
        <w:rPr>
          <w:color w:val="000000"/>
          <w:w w:val="100"/>
          <w:sz w:val="18"/>
          <w:szCs w:val="18"/>
        </w:rPr>
        <w:t>Pradhan</w:t>
      </w:r>
      <w:proofErr w:type="spellEnd"/>
      <w:r w:rsidRPr="00AF532B">
        <w:rPr>
          <w:color w:val="000000"/>
          <w:w w:val="100"/>
          <w:sz w:val="18"/>
          <w:szCs w:val="18"/>
        </w:rPr>
        <w:t xml:space="preserve"> &amp; </w:t>
      </w:r>
      <w:proofErr w:type="spellStart"/>
      <w:r w:rsidRPr="00AF532B">
        <w:rPr>
          <w:color w:val="000000"/>
          <w:w w:val="100"/>
          <w:sz w:val="18"/>
          <w:szCs w:val="18"/>
        </w:rPr>
        <w:t>Olsson</w:t>
      </w:r>
      <w:proofErr w:type="spellEnd"/>
      <w:r w:rsidRPr="00AF532B">
        <w:rPr>
          <w:color w:val="000000"/>
          <w:w w:val="100"/>
          <w:sz w:val="18"/>
          <w:szCs w:val="18"/>
        </w:rPr>
        <w:t xml:space="preserve"> </w:t>
      </w:r>
      <w:r>
        <w:rPr>
          <w:color w:val="000000"/>
          <w:w w:val="100"/>
          <w:sz w:val="18"/>
          <w:szCs w:val="18"/>
        </w:rPr>
        <w:fldChar w:fldCharType="begin" w:fldLock="1"/>
      </w:r>
      <w:r>
        <w:rPr>
          <w:color w:val="000000"/>
          <w:w w:val="100"/>
          <w:sz w:val="18"/>
          <w:szCs w:val="18"/>
        </w:rPr>
        <w:instrText>ADDIN CSL_CITATION {"citationItems":[{"id":"ITEM-1","itemData":{"DOI":"10.1186/s13293-020-00330-7","ISSN":"20426410","PMID":"32948238","author":[{"dropping-particle":"","family":"Pradhan","given":"Ajay","non-dropping-particle":"","parse-names":false,"suffix":""},{"dropping-particle":"","family":"Olsson","given":"Per Erik","non-dropping-particle":"","parse-names":false,"suffix":""}],"container-title":"Biology of Sex Differences","id":"ITEM-1","issue":"1","issued":{"date-parts":[["2020"]]},"page":"1-11","title":"Sex differences in severity and mortality from COVID-19: are males more vulnerable?","type":"article-journal","volume":"11"},"uris":["http://www.mendeley.com/documents/?uuid=75de7b17-c789-4c20-8332-f8ccb2e2b663"]}],"mendeley":{"formattedCitation":"(48)","plainTextFormattedCitation":"(48)","previouslyFormattedCitation":"(48)"},"properties":{"noteIndex":0},"schema":"https://github.com/citation-style-language/schema/raw/master/csl-citation.json"}</w:instrText>
      </w:r>
      <w:r>
        <w:rPr>
          <w:color w:val="000000"/>
          <w:w w:val="100"/>
          <w:sz w:val="18"/>
          <w:szCs w:val="18"/>
        </w:rPr>
        <w:fldChar w:fldCharType="separate"/>
      </w:r>
      <w:r w:rsidRPr="00420505">
        <w:rPr>
          <w:noProof/>
          <w:color w:val="000000"/>
          <w:w w:val="100"/>
          <w:sz w:val="18"/>
          <w:szCs w:val="18"/>
        </w:rPr>
        <w:t>(48)</w:t>
      </w:r>
      <w:r>
        <w:rPr>
          <w:color w:val="000000"/>
          <w:w w:val="100"/>
          <w:sz w:val="18"/>
          <w:szCs w:val="18"/>
        </w:rPr>
        <w:fldChar w:fldCharType="end"/>
      </w:r>
      <w:r w:rsidRPr="00AF532B">
        <w:rPr>
          <w:color w:val="000000"/>
          <w:w w:val="100"/>
          <w:sz w:val="18"/>
          <w:szCs w:val="18"/>
        </w:rPr>
        <w:t xml:space="preserve"> y </w:t>
      </w:r>
      <w:proofErr w:type="spellStart"/>
      <w:r w:rsidRPr="00AF532B">
        <w:rPr>
          <w:color w:val="000000"/>
          <w:w w:val="100"/>
          <w:sz w:val="18"/>
          <w:szCs w:val="18"/>
        </w:rPr>
        <w:t>Scully</w:t>
      </w:r>
      <w:proofErr w:type="spellEnd"/>
      <w:r w:rsidRPr="00AF532B">
        <w:rPr>
          <w:color w:val="000000"/>
          <w:w w:val="100"/>
          <w:sz w:val="18"/>
          <w:szCs w:val="18"/>
        </w:rPr>
        <w:t xml:space="preserve"> et al. </w:t>
      </w:r>
      <w:r>
        <w:rPr>
          <w:color w:val="000000"/>
          <w:w w:val="100"/>
          <w:sz w:val="18"/>
          <w:szCs w:val="18"/>
        </w:rPr>
        <w:fldChar w:fldCharType="begin" w:fldLock="1"/>
      </w:r>
      <w:r>
        <w:rPr>
          <w:color w:val="000000"/>
          <w:w w:val="100"/>
          <w:sz w:val="18"/>
          <w:szCs w:val="18"/>
        </w:rPr>
        <w:instrText>ADDIN CSL_CITATION {"citationItems":[{"id":"ITEM-1","itemData":{"DOI":"10.1038/s41577-020-0348-8","ISSN":"14741741","PMID":"32528136","author":[{"dropping-particle":"","family":"Scully","given":"Eileen P.","non-dropping-particle":"","parse-names":false,"suffix":""},{"dropping-particle":"","family":"Haverfield","given":"Jenna","non-dropping-particle":"","parse-names":false,"suffix":""},{"dropping-particle":"","family":"Ursin","given":"Rebecca L.","non-dropping-particle":"","parse-names":false,"suffix":""},{"dropping-particle":"","family":"Tannenbaum","given":"Cara","non-dropping-particle":"","parse-names":false,"suffix":""},{"dropping-particle":"","family":"Klein","given":"Sabra L.","non-dropping-particle":"","parse-names":false,"suffix":""}],"container-title":"Nature Reviews Immunology","id":"ITEM-1","issue":"7","issued":{"date-parts":[["2020"]]},"note":"Nota: for a discussion on how sex differences in basic molecular and cellular mechanisms can be leveraged to define the immune response to infection with SARS-COV-2, véase Scully et al. (2020).","page":"442-447","title":"Considering how biological sex impacts immune responses and COVID-19 outcomes","type":"article-journal","volume":"20"},"uris":["http://www.mendeley.com/documents/?uuid=12f15b3d-c1d0-4fdf-b2a1-abcf2449ccea"]}],"mendeley":{"formattedCitation":"(49)","plainTextFormattedCitation":"(49)","previouslyFormattedCitation":"(49)"},"properties":{"noteIndex":0},"schema":"https://github.com/citation-style-language/schema/raw/master/csl-citation.json"}</w:instrText>
      </w:r>
      <w:r>
        <w:rPr>
          <w:color w:val="000000"/>
          <w:w w:val="100"/>
          <w:sz w:val="18"/>
          <w:szCs w:val="18"/>
        </w:rPr>
        <w:fldChar w:fldCharType="separate"/>
      </w:r>
      <w:r w:rsidRPr="00420505">
        <w:rPr>
          <w:noProof/>
          <w:color w:val="000000"/>
          <w:w w:val="100"/>
          <w:sz w:val="18"/>
          <w:szCs w:val="18"/>
        </w:rPr>
        <w:t>(49)</w:t>
      </w:r>
      <w:r>
        <w:rPr>
          <w:color w:val="000000"/>
          <w:w w:val="100"/>
          <w:sz w:val="18"/>
          <w:szCs w:val="18"/>
        </w:rPr>
        <w:fldChar w:fldCharType="end"/>
      </w:r>
      <w:r w:rsidRPr="00AF532B">
        <w:rPr>
          <w:color w:val="000000"/>
          <w:w w:val="1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CE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14512986"/>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5"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6" w15:restartNumberingAfterBreak="0">
    <w:nsid w:val="32A9453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E530F3"/>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0453DF"/>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2F0111"/>
    <w:multiLevelType w:val="hybridMultilevel"/>
    <w:tmpl w:val="27BE1022"/>
    <w:lvl w:ilvl="0" w:tplc="96A6F53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4E2947F5"/>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F32501"/>
    <w:multiLevelType w:val="hybridMultilevel"/>
    <w:tmpl w:val="AEEE8180"/>
    <w:lvl w:ilvl="0" w:tplc="114E477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6345A"/>
    <w:multiLevelType w:val="hybridMultilevel"/>
    <w:tmpl w:val="54AE0FF4"/>
    <w:lvl w:ilvl="0" w:tplc="9E70BC6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3"/>
  </w:num>
  <w:num w:numId="3">
    <w:abstractNumId w:val="1"/>
  </w:num>
  <w:num w:numId="4">
    <w:abstractNumId w:val="10"/>
  </w:num>
  <w:num w:numId="5">
    <w:abstractNumId w:val="3"/>
  </w:num>
  <w:num w:numId="6">
    <w:abstractNumId w:val="5"/>
  </w:num>
  <w:num w:numId="7">
    <w:abstractNumId w:val="8"/>
  </w:num>
  <w:num w:numId="8">
    <w:abstractNumId w:val="7"/>
  </w:num>
  <w:num w:numId="9">
    <w:abstractNumId w:val="2"/>
  </w:num>
  <w:num w:numId="10">
    <w:abstractNumId w:val="9"/>
  </w:num>
  <w:num w:numId="11">
    <w:abstractNumId w:val="6"/>
  </w:num>
  <w:num w:numId="12">
    <w:abstractNumId w:val="12"/>
  </w:num>
  <w:num w:numId="13">
    <w:abstractNumId w:val="1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52FF7"/>
    <w:rsid w:val="00062043"/>
    <w:rsid w:val="000717EE"/>
    <w:rsid w:val="00076C8D"/>
    <w:rsid w:val="00085BE0"/>
    <w:rsid w:val="00086F15"/>
    <w:rsid w:val="000D3540"/>
    <w:rsid w:val="000E7360"/>
    <w:rsid w:val="0011304E"/>
    <w:rsid w:val="001268BD"/>
    <w:rsid w:val="001317EC"/>
    <w:rsid w:val="001356B7"/>
    <w:rsid w:val="00171FF6"/>
    <w:rsid w:val="00191754"/>
    <w:rsid w:val="001A3FDD"/>
    <w:rsid w:val="001B156E"/>
    <w:rsid w:val="001C1D1D"/>
    <w:rsid w:val="001C76F7"/>
    <w:rsid w:val="001F67BB"/>
    <w:rsid w:val="00237573"/>
    <w:rsid w:val="002504B0"/>
    <w:rsid w:val="00256F50"/>
    <w:rsid w:val="002A680C"/>
    <w:rsid w:val="002B5D6D"/>
    <w:rsid w:val="002D5092"/>
    <w:rsid w:val="002D55D9"/>
    <w:rsid w:val="00381FCF"/>
    <w:rsid w:val="003C2019"/>
    <w:rsid w:val="003D1905"/>
    <w:rsid w:val="003E14B5"/>
    <w:rsid w:val="003F75D6"/>
    <w:rsid w:val="00406CF3"/>
    <w:rsid w:val="00420505"/>
    <w:rsid w:val="00426FCD"/>
    <w:rsid w:val="004378A3"/>
    <w:rsid w:val="0046655B"/>
    <w:rsid w:val="00474AC7"/>
    <w:rsid w:val="00474C7F"/>
    <w:rsid w:val="00483510"/>
    <w:rsid w:val="0048362E"/>
    <w:rsid w:val="00491158"/>
    <w:rsid w:val="00492565"/>
    <w:rsid w:val="004A1D1D"/>
    <w:rsid w:val="004C3C1D"/>
    <w:rsid w:val="004C5A36"/>
    <w:rsid w:val="004D7DFB"/>
    <w:rsid w:val="004E012B"/>
    <w:rsid w:val="004F4EDB"/>
    <w:rsid w:val="004F7D8E"/>
    <w:rsid w:val="005109F2"/>
    <w:rsid w:val="005142C1"/>
    <w:rsid w:val="0056602F"/>
    <w:rsid w:val="0058637A"/>
    <w:rsid w:val="00593647"/>
    <w:rsid w:val="005C10DC"/>
    <w:rsid w:val="005E3B6B"/>
    <w:rsid w:val="00611FDE"/>
    <w:rsid w:val="00627FD3"/>
    <w:rsid w:val="0063130F"/>
    <w:rsid w:val="00632326"/>
    <w:rsid w:val="00635841"/>
    <w:rsid w:val="00671B23"/>
    <w:rsid w:val="0069242D"/>
    <w:rsid w:val="006A4737"/>
    <w:rsid w:val="006A79AD"/>
    <w:rsid w:val="006D0A83"/>
    <w:rsid w:val="006E54A5"/>
    <w:rsid w:val="006E66C2"/>
    <w:rsid w:val="006F5E53"/>
    <w:rsid w:val="00716546"/>
    <w:rsid w:val="0072733A"/>
    <w:rsid w:val="0073107F"/>
    <w:rsid w:val="00746293"/>
    <w:rsid w:val="00760E72"/>
    <w:rsid w:val="00761F04"/>
    <w:rsid w:val="00762F03"/>
    <w:rsid w:val="007734FE"/>
    <w:rsid w:val="007B1A3E"/>
    <w:rsid w:val="007D0681"/>
    <w:rsid w:val="00814BAF"/>
    <w:rsid w:val="00814E6E"/>
    <w:rsid w:val="00833078"/>
    <w:rsid w:val="00854763"/>
    <w:rsid w:val="0085489D"/>
    <w:rsid w:val="008600D3"/>
    <w:rsid w:val="0086534C"/>
    <w:rsid w:val="008729E6"/>
    <w:rsid w:val="00873135"/>
    <w:rsid w:val="008771DB"/>
    <w:rsid w:val="00893D7F"/>
    <w:rsid w:val="00896F54"/>
    <w:rsid w:val="008A47CC"/>
    <w:rsid w:val="008C06DB"/>
    <w:rsid w:val="008E17A2"/>
    <w:rsid w:val="00917520"/>
    <w:rsid w:val="00920A2E"/>
    <w:rsid w:val="00924E45"/>
    <w:rsid w:val="00935800"/>
    <w:rsid w:val="00952761"/>
    <w:rsid w:val="00972978"/>
    <w:rsid w:val="009757F5"/>
    <w:rsid w:val="009A732A"/>
    <w:rsid w:val="009F523A"/>
    <w:rsid w:val="00A14658"/>
    <w:rsid w:val="00A45EBD"/>
    <w:rsid w:val="00A50E6E"/>
    <w:rsid w:val="00A53720"/>
    <w:rsid w:val="00A77991"/>
    <w:rsid w:val="00A83CF6"/>
    <w:rsid w:val="00AC136E"/>
    <w:rsid w:val="00AD1BFC"/>
    <w:rsid w:val="00AE6FFC"/>
    <w:rsid w:val="00AF4B9B"/>
    <w:rsid w:val="00AF532B"/>
    <w:rsid w:val="00B01994"/>
    <w:rsid w:val="00B073AA"/>
    <w:rsid w:val="00B34A9D"/>
    <w:rsid w:val="00B66DB4"/>
    <w:rsid w:val="00BC3108"/>
    <w:rsid w:val="00BC375B"/>
    <w:rsid w:val="00BC52A0"/>
    <w:rsid w:val="00BC56B2"/>
    <w:rsid w:val="00BD0AEE"/>
    <w:rsid w:val="00C051DB"/>
    <w:rsid w:val="00CA2D60"/>
    <w:rsid w:val="00CF5E9D"/>
    <w:rsid w:val="00D015B1"/>
    <w:rsid w:val="00D17623"/>
    <w:rsid w:val="00D23F5E"/>
    <w:rsid w:val="00D6209E"/>
    <w:rsid w:val="00D67FC7"/>
    <w:rsid w:val="00D8092D"/>
    <w:rsid w:val="00DA708B"/>
    <w:rsid w:val="00DB2832"/>
    <w:rsid w:val="00DF0A51"/>
    <w:rsid w:val="00DF26B8"/>
    <w:rsid w:val="00E0187E"/>
    <w:rsid w:val="00E02CA9"/>
    <w:rsid w:val="00E25718"/>
    <w:rsid w:val="00E43CCB"/>
    <w:rsid w:val="00E57291"/>
    <w:rsid w:val="00E76F97"/>
    <w:rsid w:val="00E84881"/>
    <w:rsid w:val="00E901BA"/>
    <w:rsid w:val="00EA1F98"/>
    <w:rsid w:val="00EA63B3"/>
    <w:rsid w:val="00EB73B9"/>
    <w:rsid w:val="00EE64FA"/>
    <w:rsid w:val="00F62330"/>
    <w:rsid w:val="00F6775F"/>
    <w:rsid w:val="00FA5DF0"/>
    <w:rsid w:val="00FE05BB"/>
    <w:rsid w:val="00FE7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C76F7"/>
    <w:pPr>
      <w:ind w:left="528"/>
      <w:jc w:val="both"/>
    </w:pPr>
    <w:rPr>
      <w:sz w:val="20"/>
      <w:szCs w:val="20"/>
    </w:rPr>
  </w:style>
  <w:style w:type="character" w:customStyle="1" w:styleId="TextoindependienteCar">
    <w:name w:val="Texto independiente Car"/>
    <w:basedOn w:val="Fuentedeprrafopredeter"/>
    <w:link w:val="Textoindependiente"/>
    <w:uiPriority w:val="1"/>
    <w:rsid w:val="001C76F7"/>
    <w:rPr>
      <w:rFonts w:ascii="Times New Roman" w:eastAsia="Times New Roman" w:hAnsi="Times New Roman" w:cs="Times New Roman"/>
      <w:kern w:val="0"/>
      <w:sz w:val="20"/>
      <w:szCs w:val="20"/>
      <w14:ligatures w14:val="none"/>
    </w:rPr>
  </w:style>
  <w:style w:type="paragraph" w:styleId="Ttulo">
    <w:name w:val="Title"/>
    <w:basedOn w:val="Normal"/>
    <w:link w:val="TtuloCar"/>
    <w:uiPriority w:val="10"/>
    <w:qFormat/>
    <w:rsid w:val="001C76F7"/>
    <w:pPr>
      <w:spacing w:before="164"/>
      <w:ind w:left="324" w:right="321" w:hanging="1"/>
      <w:jc w:val="center"/>
    </w:pPr>
    <w:rPr>
      <w:sz w:val="48"/>
      <w:szCs w:val="48"/>
    </w:rPr>
  </w:style>
  <w:style w:type="character" w:customStyle="1" w:styleId="TtuloCar">
    <w:name w:val="Título Car"/>
    <w:basedOn w:val="Fuentedeprrafopredeter"/>
    <w:link w:val="Ttulo"/>
    <w:uiPriority w:val="10"/>
    <w:rsid w:val="001C76F7"/>
    <w:rPr>
      <w:rFonts w:ascii="Times New Roman" w:eastAsia="Times New Roman" w:hAnsi="Times New Roman" w:cs="Times New Roman"/>
      <w:kern w:val="0"/>
      <w:sz w:val="48"/>
      <w:szCs w:val="48"/>
      <w14:ligatures w14:val="none"/>
    </w:rPr>
  </w:style>
  <w:style w:type="paragraph" w:styleId="Textonotapie">
    <w:name w:val="footnote text"/>
    <w:basedOn w:val="Normal"/>
    <w:link w:val="TextonotapieCar"/>
    <w:uiPriority w:val="99"/>
    <w:semiHidden/>
    <w:unhideWhenUsed/>
    <w:rsid w:val="00D6209E"/>
    <w:rPr>
      <w:sz w:val="20"/>
      <w:szCs w:val="20"/>
    </w:rPr>
  </w:style>
  <w:style w:type="character" w:customStyle="1" w:styleId="TextonotapieCar">
    <w:name w:val="Texto nota pie Car"/>
    <w:basedOn w:val="Fuentedeprrafopredeter"/>
    <w:link w:val="Textonotapie"/>
    <w:uiPriority w:val="99"/>
    <w:semiHidden/>
    <w:rsid w:val="00D6209E"/>
    <w:rPr>
      <w:sz w:val="20"/>
      <w:szCs w:val="20"/>
    </w:rPr>
  </w:style>
  <w:style w:type="character" w:styleId="Refdenotaalpie">
    <w:name w:val="footnote reference"/>
    <w:basedOn w:val="Fuentedeprrafopredeter"/>
    <w:uiPriority w:val="99"/>
    <w:semiHidden/>
    <w:unhideWhenUsed/>
    <w:rsid w:val="00D6209E"/>
    <w:rPr>
      <w:vertAlign w:val="superscript"/>
    </w:rPr>
  </w:style>
  <w:style w:type="character" w:styleId="Textodelmarcadordeposicin">
    <w:name w:val="Placeholder Text"/>
    <w:basedOn w:val="Fuentedeprrafopredeter"/>
    <w:uiPriority w:val="99"/>
    <w:semiHidden/>
    <w:rsid w:val="00B34A9D"/>
    <w:rPr>
      <w:color w:val="808080"/>
    </w:rPr>
  </w:style>
  <w:style w:type="paragraph" w:styleId="Piedepgina">
    <w:name w:val="footer"/>
    <w:basedOn w:val="Normal"/>
    <w:link w:val="PiedepginaCar"/>
    <w:uiPriority w:val="99"/>
    <w:unhideWhenUsed/>
    <w:rsid w:val="003D1905"/>
    <w:pPr>
      <w:tabs>
        <w:tab w:val="center" w:pos="4680"/>
        <w:tab w:val="right" w:pos="9360"/>
      </w:tabs>
    </w:pPr>
  </w:style>
  <w:style w:type="character" w:customStyle="1" w:styleId="PiedepginaCar">
    <w:name w:val="Pie de página Car"/>
    <w:basedOn w:val="Fuentedeprrafopredeter"/>
    <w:link w:val="Piedepgina"/>
    <w:uiPriority w:val="99"/>
    <w:rsid w:val="003D1905"/>
  </w:style>
  <w:style w:type="character" w:styleId="Nmerodepgina">
    <w:name w:val="page number"/>
    <w:basedOn w:val="Fuentedeprrafopredeter"/>
    <w:uiPriority w:val="99"/>
    <w:semiHidden/>
    <w:unhideWhenUsed/>
    <w:rsid w:val="003D1905"/>
  </w:style>
  <w:style w:type="paragraph" w:styleId="Encabezado">
    <w:name w:val="header"/>
    <w:basedOn w:val="Normal"/>
    <w:link w:val="EncabezadoCar"/>
    <w:uiPriority w:val="99"/>
    <w:unhideWhenUsed/>
    <w:rsid w:val="003D1905"/>
    <w:pPr>
      <w:tabs>
        <w:tab w:val="center" w:pos="4680"/>
        <w:tab w:val="right" w:pos="9360"/>
      </w:tabs>
    </w:pPr>
  </w:style>
  <w:style w:type="character" w:customStyle="1" w:styleId="EncabezadoCar">
    <w:name w:val="Encabezado Car"/>
    <w:basedOn w:val="Fuentedeprrafopredeter"/>
    <w:link w:val="Encabezado"/>
    <w:uiPriority w:val="99"/>
    <w:rsid w:val="003D1905"/>
  </w:style>
  <w:style w:type="character" w:styleId="Refdenotaalfinal">
    <w:name w:val="endnote reference"/>
    <w:basedOn w:val="Fuentedeprrafopredeter"/>
    <w:uiPriority w:val="99"/>
    <w:semiHidden/>
    <w:unhideWhenUsed/>
    <w:rsid w:val="00BC56B2"/>
    <w:rPr>
      <w:vertAlign w:val="superscript"/>
    </w:rPr>
  </w:style>
  <w:style w:type="table" w:styleId="Tablaconcuadrcula">
    <w:name w:val="Table Grid"/>
    <w:basedOn w:val="Tablanormal"/>
    <w:uiPriority w:val="39"/>
    <w:rsid w:val="0085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6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6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4665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466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3">
    <w:name w:val="Grid Table 2 Accent 3"/>
    <w:basedOn w:val="Tablanormal"/>
    <w:uiPriority w:val="47"/>
    <w:rsid w:val="004665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7concolores-nfasis3">
    <w:name w:val="List Table 7 Colorful Accent 3"/>
    <w:basedOn w:val="Tablanormal"/>
    <w:uiPriority w:val="52"/>
    <w:rsid w:val="0046655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6323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dd06cb22-7cb7-4d24-822b-c7ffc6193472&quot;,&quot;properties&quot;:{&quot;noteIndex&quot;:0},&quot;isEdited&quot;:false,&quot;manualOverride&quot;:{&quot;isManuallyOverridden&quot;:false,&quot;citeprocText&quot;:&quot;(1–3)&quot;,&quot;manualOverrideText&quot;:&quot;&quot;},&quot;citationTag&quot;:&quot;MENDELEY_CITATION_v3_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&quot;,&quot;citationItems&quot;:[{&quot;id&quot;:&quot;b25f571b-d98b-3d1f-b412-0ba425eca9f0&quot;,&quot;itemData&quot;:{&quot;type&quot;:&quot;article-journal&quot;,&quot;id&quot;:&quot;b25f571b-d98b-3d1f-b412-0ba425eca9f0&quot;,&quot;title&quot;:&quot;Avoidable intensive care unit resource use and costs of unvaccinated patients with COVID-19: a historical population-based cohort study&quot;,&quot;author&quot;:[{&quot;family&quot;:&quot;Bagshaw&quot;,&quot;given&quot;:&quot;Sean M&quot;,&quot;parse-names&quot;:false,&quot;dropping-particle&quot;:&quot;&quot;,&quot;non-dropping-particle&quot;:&quot;&quot;},{&quot;family&quot;:&quot;Abbott&quot;,&quot;given&quot;:&quot;Annalise&quot;,&quot;parse-names&quot;:false,&quot;dropping-particle&quot;:&quot;&quot;,&quot;non-dropping-particle&quot;:&quot;&quot;},{&quot;family&quot;:&quot;Beesoon&quot;,&quot;given&quot;:&quot;Sanjay&quot;,&quot;parse-names&quot;:false,&quot;dropping-particle&quot;:&quot;&quot;,&quot;non-dropping-particle&quot;:&quot;&quot;},{&quot;family&quot;:&quot;Zuege&quot;,&quot;given&quot;:&quot;Danny J&quot;,&quot;parse-names&quot;:false,&quot;dropping-particle&quot;:&quot;&quot;,&quot;non-dropping-particle&quot;:&quot;&quot;},{&quot;family&quot;:&quot;Wasylak&quot;,&quot;given&quot;:&quot;Tracy&quot;,&quot;parse-names&quot;:false,&quot;dropping-particle&quot;:&quot;&quot;,&quot;non-dropping-particle&quot;:&quot;&quot;},{&quot;family&quot;:&quot;Manns&quot;,&quot;given&quot;:&quot;Braden&quot;,&quot;parse-names&quot;:false,&quot;dropping-particle&quot;:&quot;&quot;,&quot;non-dropping-particle&quot;:&quot;&quot;},{&quot;family&quot;:&quot;Nguyen&quot;,&quot;given&quot;:&quot;Thanh X&quot;,&quot;parse-names&quot;:false,&quot;dropping-particle&quot;:&quot;&quot;,&quot;non-dropping-particle&quot;:&quot;&quot;}],&quot;container-title&quot;:&quot;Canadian Journal of Anesthesia/Journal canadien d'anesthésie&quot;,&quot;DOI&quot;:&quot;10.1007/s12630&quot;,&quot;URL&quot;:&quot;https://doi.org/10.1007/s12630-022-02299-w&quot;,&quot;issued&quot;:{&quot;date-parts&quot;:[[2022]]},&quot;page&quot;:&quot;1399-1404&quot;,&quot;volume&quot;:&quot;69&quot;,&quot;container-title-short&quot;:&quot;&quot;},&quot;isTemporary&quot;:false},{&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5ba4e8ee-9c58-48d3-a6ba-70813cfad790&quot;,&quot;properties&quot;:{&quot;noteIndex&quot;:0},&quot;isEdited&quot;:false,&quot;manualOverride&quot;:{&quot;isManuallyOverridden&quot;:false,&quot;citeprocText&quot;:&quot;(4)&quot;,&quot;manualOverrideText&quot;:&quot;&quot;},&quot;citationTag&quot;:&quot;MENDELEY_CITATION_v3_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&quot;,&quot;citationItems&quot;:[{&quot;id&quot;:&quot;ecda5ea5-ff6e-398f-9f1c-073f2015e7ac&quot;,&quot;itemData&quot;:{&quot;type&quot;:&quot;article-journal&quot;,&quot;id&quot;:&quot;ecda5ea5-ff6e-398f-9f1c-073f2015e7ac&quot;,&quot;title&quot;:&quot;Indications for healthcare surge capacity in European countries facing an exponential increase in coronavirus disease (COVID-19) cases, March 2020&quot;,&quot;author&quot;:[{&quot;family&quot;:&quot;Verelst&quot;,&quot;given&quot;:&quot;Frederik&quot;,&quot;parse-names&quot;:false,&quot;dropping-particle&quot;:&quot;&quot;,&quot;non-dropping-particle&quot;:&quot;&quot;},{&quot;family&quot;:&quot;Kuylen&quot;,&quot;given&quot;:&quot;Elise&quot;,&quot;parse-names&quot;:false,&quot;dropping-particle&quot;:&quot;&quot;,&quot;non-dropping-particle&quot;:&quot;&quot;},{&quot;family&quot;:&quot;Beutels&quot;,&quot;given&quot;:&quot;Philippe&quot;,&quot;parse-names&quot;:false,&quot;dropping-particle&quot;:&quot;&quot;,&quot;non-dropping-particle&quot;:&quot;&quot;}],&quot;container-title&quot;:&quot;Eurosurveillance&quot;,&quot;DOI&quot;:&quot;10.2807/1560-7917.ES.2020.25.13.2000323&quot;,&quot;ISSN&quot;:&quot;15607917&quot;,&quot;PMID&quot;:&quot;32265003&quot;,&quot;issued&quot;:{&quot;date-parts&quot;:[[2020,4,2]]},&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publisher&quot;:&quot;European Centre for Disease Prevention and Control (ECDC)&quot;,&quot;issue&quot;:&quot;13&quot;,&quot;volume&quot;:&quot;25&quot;,&quot;container-title-short&quot;:&quot;&quot;},&quot;isTemporary&quot;:false}]},{&quot;citationID&quot;:&quot;MENDELEY_CITATION_a94fedeb-cd8e-430b-9229-bb4cab48a6c3&quot;,&quot;properties&quot;:{&quot;noteIndex&quot;:0},&quot;isEdited&quot;:false,&quot;manualOverride&quot;:{&quot;isManuallyOverridden&quot;:false,&quot;citeprocText&quot;:&quot;(5)&quot;,&quot;manualOverrideText&quot;:&quot;&quot;},&quot;citationTag&quot;:&quot;MENDELEY_CITATION_v3_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&quot;,&quot;citationItems&quot;:[{&quot;id&quot;:&quot;b3f159f7-7bc1-35ad-9de9-9fe849394729&quot;,&quot;itemData&quot;:{&quot;type&quot;:&quot;article-journal&quot;,&quot;id&quot;:&quot;b3f159f7-7bc1-35ad-9de9-9fe849394729&quot;,&quot;title&quot;:&quot;Fair Allocation of Scarce Medical Resources in the Time of Covid-19&quot;,&quot;author&quot;:[{&quot;family&quot;:&quot;Emanuel&quot;,&quot;given&quot;:&quot;Ezekiel J&quot;,&quot;parse-names&quot;:false,&quot;dropping-particle&quot;:&quot;&quot;,&quot;non-dropping-particle&quot;:&quot;&quot;},{&quot;family&quot;:&quot;Upshur&quot;,&quot;given&quot;:&quot;Ross&quot;,&quot;parse-names&quot;:false,&quot;dropping-particle&quot;:&quot;&quot;,&quot;non-dropping-particle&quot;:&quot;&quot;},{&quot;family&quot;:&quot;Thome&quot;,&quot;given&quot;:&quot;Beatriz&quot;,&quot;parse-names&quot;:false,&quot;dropping-particle&quot;:&quot;&quot;,&quot;non-dropping-particle&quot;:&quot;&quot;},{&quot;family&quot;:&quot;Parker&quot;,&quot;given&quot;:&quot;Michael&quot;,&quot;parse-names&quot;:false,&quot;dropping-particle&quot;:&quot;&quot;,&quot;non-dropping-particle&quot;:&quot;&quot;},{&quot;family&quot;:&quot;Glickman&quot;,&quot;given&quot;:&quot;Aaron&quot;,&quot;parse-names&quot;:false,&quot;dropping-particle&quot;:&quot;&quot;,&quot;non-dropping-particle&quot;:&quot;&quot;},{&quot;family&quot;:&quot;Zhang&quot;,&quot;given&quot;:&quot;Cathy&quot;,&quot;parse-names&quot;:false,&quot;dropping-particle&quot;:&quot;&quot;,&quot;non-dropping-particle&quot;:&quot;&quot;},{&quot;family&quot;:&quot;Boyle&quot;,&quot;given&quot;:&quot;Connor&quot;,&quot;parse-names&quot;:false,&quot;dropping-particle&quot;:&quot;&quot;,&quot;non-dropping-particle&quot;:&quot;&quot;},{&quot;family&quot;:&quot;Smith&quot;,&quot;given&quot;:&quot;Maxwell&quot;,&quot;parse-names&quot;:false,&quot;dropping-particle&quot;:&quot;&quot;,&quot;non-dropping-particle&quot;:&quot;&quot;},{&quot;family&quot;:&quot;Phillips&quot;,&quot;given&quot;:&quot;James P&quot;,&quot;parse-names&quot;:false,&quot;dropping-particle&quot;:&quot;&quot;,&quot;non-dropping-particle&quot;:&quot;&quot;}],&quot;container-title&quot;:&quot;The New England Journal of Medicine&quot;,&quot;container-title-short&quot;:&quot;N Engl J Med&quot;,&quot;issued&quot;:{&quot;date-parts&quot;:[[2020]]},&quot;page&quot;:&quot;2049-2053&quot;,&quot;issue&quot;:&quot;21&quot;,&quot;volume&quot;:&quot;382&quot;},&quot;isTemporary&quot;:false}]},{&quot;citationID&quot;:&quot;MENDELEY_CITATION_9a0ff823-1224-4cbc-b182-d3a9760c7a45&quot;,&quot;properties&quot;:{&quot;noteIndex&quot;:0},&quot;isEdited&quot;:false,&quot;manualOverride&quot;:{&quot;isManuallyOverridden&quot;:false,&quot;citeprocText&quot;:&quot;(6)&quot;,&quot;manualOverrideText&quot;:&quot;&quot;},&quot;citationTag&quot;:&quot;MENDELEY_CITATION_v3_eyJjaXRhdGlvbklEIjoiTUVOREVMRVlfQ0lUQVRJT05fOWEwZmY4MjMtMTIyNC00Y2JjLWIxODItZDNhOTc2MGM3YTQ1IiwicHJvcGVydGllcyI6eyJub3RlSW5kZXgiOjB9LCJpc0VkaXRlZCI6ZmFsc2UsIm1hbnVhbE92ZXJyaWRlIjp7ImlzTWFudWFsbHlPdmVycmlkZGVuIjpmYWxzZSwiY2l0ZXByb2NUZXh0IjoiKDY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d0a15e2a-1d5d-4055-9a1c-71d99d65b342&quot;,&quot;properties&quot;:{&quot;noteIndex&quot;:0},&quot;isEdited&quot;:false,&quot;manualOverride&quot;:{&quot;isManuallyOverridden&quot;:false,&quot;citeprocText&quot;:&quot;(7)&quot;,&quot;manualOverrideText&quot;:&quot;&quot;},&quot;citationTag&quot;:&quot;MENDELEY_CITATION_v3_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pc3N1ZSI6IjE5Iiwidm9sdW1lIjoiMTc3In0sImlzVGVtcG9yYXJ5IjpmYWxzZX1dfQ==&quot;,&quot;citationItems&quot;:[{&quot;id&quot;:&quot;f4a8f49e-db8e-3f64-9a37-1297dc3140b6&quot;,&quot;itemData&quot;:{&quot;type&quot;:&quot;article-journal&quot;,&quot;id&quot;:&quot;f4a8f49e-db8e-3f64-9a37-1297dc3140b6&quot;,&quot;title&quot;:&quot;Sex-related differences in COVID-19 lethality&quot;,&quot;author&quot;:[{&quot;family&quot;:&quot;Penna&quot;,&quot;given&quot;:&quot;Claudia&quot;,&quot;parse-names&quot;:false,&quot;dropping-particle&quot;:&quot;&quot;,&quot;non-dropping-particle&quot;:&quot;&quot;},{&quot;family&quot;:&quot;Mercurio&quot;,&quot;given&quot;:&quot;Valentina&quot;,&quot;parse-names&quot;:false,&quot;dropping-particle&quot;:&quot;&quot;,&quot;non-dropping-particle&quot;:&quot;&quot;},{&quot;family&quot;:&quot;Tocchetti&quot;,&quot;given&quot;:&quot;Carlo G.&quot;,&quot;parse-names&quot;:false,&quot;dropping-particle&quot;:&quot;&quot;,&quot;non-dropping-particle&quot;:&quot;&quot;},{&quot;family&quot;:&quot;Pagliaro&quot;,&quot;given&quot;:&quot;Pasquale&quot;,&quot;parse-names&quot;:false,&quot;dropping-particle&quot;:&quot;&quot;,&quot;non-dropping-particle&quot;:&quot;&quot;}],&quot;container-title&quot;:&quot;British Journal of Pharmacology&quot;,&quot;container-title-short&quot;:&quot;Br J Pharmacol&quot;,&quot;DOI&quot;:&quot;10.1111/bph.15207&quot;,&quot;ISSN&quot;:&quot;14765381&quot;,&quot;PMID&quot;:&quot;32698249&quot;,&quot;issued&quot;:{&quot;date-parts&quot;:[[2020]]},&quot;page&quot;:&quot;4375-4385&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issue&quot;:&quot;19&quot;,&quot;volume&quot;:&quot;177&quot;},&quot;isTemporary&quot;:false}]},{&quot;citationID&quot;:&quot;MENDELEY_CITATION_5fb32b98-c14a-4d51-bea7-94f0ebf0ff6b&quot;,&quot;properties&quot;:{&quot;noteIndex&quot;:0},&quot;isEdited&quot;:false,&quot;manualOverride&quot;:{&quot;isManuallyOverridden&quot;:false,&quot;citeprocText&quot;:&quot;(8)&quot;,&quot;manualOverrideText&quot;:&quot;&quot;},&quot;citationTag&quot;:&quot;MENDELEY_CITATION_v3_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&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citationID&quot;:&quot;MENDELEY_CITATION_711ec6a7-fd79-4392-a156-8b8f8b4d6ae3&quot;,&quot;properties&quot;:{&quot;noteIndex&quot;:0},&quot;isEdited&quot;:false,&quot;manualOverride&quot;:{&quot;isManuallyOverridden&quot;:false,&quot;citeprocText&quot;:&quot;(9–11)&quot;,&quot;manualOverrideText&quot;:&quot;&quot;},&quot;citationTag&quot;:&quot;MENDELEY_CITATION_v3_eyJjaXRhdGlvbklEIjoiTUVOREVMRVlfQ0lUQVRJT05fNzExZWM2YTctZmQ3OS00MzkyLWExNTYtOGI4ZjhiNGQ2YWUzIiwicHJvcGVydGllcyI6eyJub3RlSW5kZXgiOjB9LCJpc0VkaXRlZCI6ZmFsc2UsIm1hbnVhbE92ZXJyaWRlIjp7ImlzTWFudWFsbHlPdmVycmlkZGVuIjpmYWxzZSwiY2l0ZXByb2NUZXh0IjoiKDnigJMxMSkiLCJtYW51YWxPdmVycmlkZVRleHQiOiIifSwiY2l0YXRpb25JdGVtcyI6W3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&quot;,&quot;citationItems&quot;:[{&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id&quot;:&quot;3628cce0-fff4-393e-aecb-6c5a3a879d62&quot;,&quot;itemData&quot;:{&quot;type&quot;:&quot;article-journal&quot;,&quot;id&quot;:&quot;3628cce0-fff4-393e-aecb-6c5a3a879d62&quot;,&quot;title&quot;:&quot;Epidemiology, clinical course, and outcomes of critically ill adults with COVID-19 in New York City: a prospective cohort study&quot;,&quot;author&quot;:[{&quot;family&quot;:&quot;Cummings&quot;,&quot;given&quot;:&quot;Matthew J.&quot;,&quot;parse-names&quot;:false,&quot;dropping-particle&quot;:&quot;&quot;,&quot;non-dropping-particle&quot;:&quot;&quot;},{&quot;family&quot;:&quot;Baldwin&quot;,&quot;given&quot;:&quot;Matthew R.&quot;,&quot;parse-names&quot;:false,&quot;dropping-particle&quot;:&quot;&quot;,&quot;non-dropping-particle&quot;:&quot;&quot;},{&quot;family&quot;:&quot;Abrams&quot;,&quot;given&quot;:&quot;Darryl&quot;,&quot;parse-names&quot;:false,&quot;dropping-particle&quot;:&quot;&quot;,&quot;non-dropping-particle&quot;:&quot;&quot;},{&quot;family&quot;:&quot;Jacobson&quot;,&quot;given&quot;:&quot;Samuel D.&quot;,&quot;parse-names&quot;:false,&quot;dropping-particle&quot;:&quot;&quot;,&quot;non-dropping-particle&quot;:&quot;&quot;},{&quot;family&quot;:&quot;Meyer&quot;,&quot;given&quot;:&quot;Benjamin J.&quot;,&quot;parse-names&quot;:false,&quot;dropping-particle&quot;:&quot;&quot;,&quot;non-dropping-particle&quot;:&quot;&quot;},{&quot;family&quot;:&quot;Balough&quot;,&quot;given&quot;:&quot;Elizabeth M.&quot;,&quot;parse-names&quot;:false,&quot;dropping-particle&quot;:&quot;&quot;,&quot;non-dropping-particle&quot;:&quot;&quot;},{&quot;family&quot;:&quot;Aaron&quot;,&quot;given&quot;:&quot;Justin G.&quot;,&quot;parse-names&quot;:false,&quot;dropping-particle&quot;:&quot;&quot;,&quot;non-dropping-particle&quot;:&quot;&quot;},{&quot;family&quot;:&quot;Claassen&quot;,&quot;given&quot;:&quot;Jan&quot;,&quot;parse-names&quot;:false,&quot;dropping-particle&quot;:&quot;&quot;,&quot;non-dropping-particle&quot;:&quot;&quot;},{&quot;family&quot;:&quot;Rabbani&quot;,&quot;given&quot;:&quot;Le Roy E.&quot;,&quot;parse-names&quot;:false,&quot;dropping-particle&quot;:&quot;&quot;,&quot;non-dropping-particle&quot;:&quot;&quot;},{&quot;family&quot;:&quot;Hastie&quot;,&quot;given&quot;:&quot;Jonathan&quot;,&quot;parse-names&quot;:false,&quot;dropping-particle&quot;:&quot;&quot;,&quot;non-dropping-particle&quot;:&quot;&quot;},{&quot;family&quot;:&quot;Hochman&quot;,&quot;given&quot;:&quot;Beth R.&quot;,&quot;parse-names&quot;:false,&quot;dropping-particle&quot;:&quot;&quot;,&quot;non-dropping-particle&quot;:&quot;&quot;},{&quot;family&quot;:&quot;Salazar-Schicchi&quot;,&quot;given&quot;:&quot;John&quot;,&quot;parse-names&quot;:false,&quot;dropping-particle&quot;:&quot;&quot;,&quot;non-dropping-particle&quot;:&quot;&quot;},{&quot;family&quot;:&quot;Yip&quot;,&quot;given&quot;:&quot;Natalie H.&quot;,&quot;parse-names&quot;:false,&quot;dropping-particle&quot;:&quot;&quot;,&quot;non-dropping-particle&quot;:&quot;&quot;},{&quot;family&quot;:&quot;Brodie&quot;,&quot;given&quot;:&quot;Daniel&quot;,&quot;parse-names&quot;:false,&quot;dropping-particle&quot;:&quot;&quot;,&quot;non-dropping-particle&quot;:&quot;&quot;},{&quot;family&quot;:&quot;O'Donnell&quot;,&quot;given&quot;:&quot;Max R.&quot;,&quot;parse-names&quot;:false,&quot;dropping-particle&quot;:&quot;&quot;,&quot;non-dropping-particle&quot;:&quot;&quot;}],&quot;container-title&quot;:&quot;Lancet&quot;,&quot;DOI&quot;:&quot;10.1016/S0140-6736(20)31189-2&quot;,&quot;ISSN&quot;:&quot;1474547X&quot;,&quot;PMID&quot;:&quot;32442528&quot;,&quot;URL&quot;:&quot;http://dx.doi.org/10.1016/S0140-6736(20)31189-2&quot;,&quot;issued&quot;:{&quot;date-parts&quot;:[[2020]]},&quot;page&quot;:&quot;1763-1770&quot;,&quot;abstract&quot;:&quo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9 in New York City is common and associated with a high frequency of invasive mechanical ventilation, extrapulmonary organ dysfunction, and substantial in-hospital mortality. Funding: National Institute of Allergy and Infectious Diseases and the National Center for Advancing Translational Sciences, National Institutes of Health, and the Columbia University Irving Institute for Clinical and Translational Research.&quot;,&quot;publisher&quot;:&quot;Elsevier Ltd&quot;,&quot;volume&quot;:&quot;395&quot;,&quot;container-title-short&quot;:&quot;&quot;},&quot;isTemporary&quot;:false},{&quot;id&quot;:&quot;76ab5c4e-68e9-304e-8d5e-4941673c8448&quot;,&quot;itemData&quot;:{&quot;type&quot;:&quot;article-journal&quot;,&quot;id&quot;:&quot;76ab5c4e-68e9-304e-8d5e-4941673c8448&quot;,&quot;title&quot;:&quot;Clinical Course of 195 Critically Ill COVID-19 Patients: A Retrospective Multicenter Study&quot;,&quot;author&quot;:[{&quot;family&quot;:&quot;Zhou&quot;,&quot;given&quot;:&quot;Shuliang&quot;,&quot;parse-names&quot;:false,&quot;dropping-particle&quot;:&quot;&quot;,&quot;non-dropping-particle&quot;:&quot;&quot;},{&quot;family&quot;:&quot;Yang&quot;,&quot;given&quot;:&quot;Yadong&quot;,&quot;parse-names&quot;:false,&quot;dropping-particle&quot;:&quot;&quot;,&quot;non-dropping-particle&quot;:&quot;&quot;},{&quot;family&quot;:&quot;Zhang&quot;,&quot;given&quot;:&quot;Xingguo&quot;,&quot;parse-names&quot;:false,&quot;dropping-particle&quot;:&quot;&quot;,&quot;non-dropping-particle&quot;:&quot;&quot;},{&quot;family&quot;:&quot;Li&quot;,&quot;given&quot;:&quot;Zhifeng&quot;,&quot;parse-names&quot;:false,&quot;dropping-particle&quot;:&quot;&quot;,&quot;non-dropping-particle&quot;:&quot;&quot;},{&quot;family&quot;:&quot;Liu&quot;,&quot;given&quot;:&quot;Xing&quot;,&quot;parse-names&quot;:false,&quot;dropping-particle&quot;:&quot;&quot;,&quot;non-dropping-particle&quot;:&quot;&quot;},{&quot;family&quot;:&quot;Hu&quot;,&quot;given&quot;:&quot;Chang&quot;,&quot;parse-names&quot;:false,&quot;dropping-particle&quot;:&quot;&quot;,&quot;non-dropping-particle&quot;:&quot;&quot;},{&quot;family&quot;:&quot;Chen&quot;,&quot;given&quot;:&quot;Chunxi&quot;,&quot;parse-names&quot;:false,&quot;dropping-particle&quot;:&quot;&quot;,&quot;non-dropping-particle&quot;:&quot;&quot;},{&quot;family&quot;:&quot;Wang&quot;,&quot;given&quot;:&quot;Dawei&quot;,&quot;parse-names&quot;:false,&quot;dropping-particle&quot;:&quot;&quot;,&quot;non-dropping-particle&quot;:&quot;&quot;},{&quot;family&quot;:&quot;Peng&quot;,&quot;given&quot;:&quot;Zhiyong&quot;,&quot;parse-names&quot;:false,&quot;dropping-particle&quot;:&quot;&quot;,&quot;non-dropping-particle&quot;:&quot;&quot;}],&quot;container-title&quot;:&quot;Shock&quot;,&quot;issued&quot;:{&quot;date-parts&quot;:[[2020]]},&quot;page&quot;:&quot;644-651&quot;,&quot;issue&quot;:&quot;5&quot;,&quot;volume&quot;:&quot;54&quot;,&quot;container-title-short&quot;:&quot;&quot;},&quot;isTemporary&quot;:false}]},{&quot;citationID&quot;:&quot;MENDELEY_CITATION_f726b23d-d63a-4775-a184-221cb2e9a0d5&quot;,&quot;properties&quot;:{&quot;noteIndex&quot;:0},&quot;isEdited&quot;:false,&quot;manualOverride&quot;:{&quot;isManuallyOverridden&quot;:false,&quot;citeprocText&quot;:&quot;(12)&quot;,&quot;manualOverrideText&quot;:&quot;&quot;},&quot;citationTag&quot;:&quot;MENDELEY_CITATION_v3_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&quot;,&quot;citationItems&quot;:[{&quot;id&quot;:&quot;6a06d31e-8ce9-3576-806c-f4ae15768d6d&quot;,&quot;itemData&quot;:{&quot;type&quot;:&quot;article-journal&quot;,&quot;id&quot;:&quot;6a06d31e-8ce9-3576-806c-f4ae15768d6d&quot;,&quot;title&quot;:&quot;Clinical Characteristics of 138 Hospitalized Patients with 2019 Novel Coronavirus-Infected Pneumonia in Wuhan, China&quot;,&quot;author&quot;:[{&quot;family&quot;:&quot;Wang&quot;,&quot;given&quot;:&quot;Dawei&quot;,&quot;parse-names&quot;:false,&quot;dropping-particle&quot;:&quot;&quot;,&quot;non-dropping-particle&quot;:&quot;&quot;},{&quot;family&quot;:&quot;Hu&quot;,&quot;given&quot;:&quot;Bo&quot;,&quot;parse-names&quot;:false,&quot;dropping-particle&quot;:&quot;&quot;,&quot;non-dropping-particle&quot;:&quot;&quot;},{&quot;family&quot;:&quot;Hu&quot;,&quot;given&quot;:&quot;Chang&quot;,&quot;parse-names&quot;:false,&quot;dropping-particle&quot;:&quot;&quot;,&quot;non-dropping-particle&quot;:&quot;&quot;},{&quot;family&quot;:&quot;Zhu&quot;,&quot;given&quot;:&quot;Fangfang&quot;,&quot;parse-names&quot;:false,&quot;dropping-particle&quot;:&quot;&quot;,&quot;non-dropping-particle&quot;:&quot;&quot;},{&quot;family&quot;:&quot;Liu&quot;,&quot;given&quot;:&quot;Xing&quot;,&quot;parse-names&quot;:false,&quot;dropping-particle&quot;:&quot;&quot;,&quot;non-dropping-particle&quot;:&quot;&quot;},{&quot;family&quot;:&quot;Zhang&quot;,&quot;given&quot;:&quot;Jing&quot;,&quot;parse-names&quot;:false,&quot;dropping-particle&quot;:&quot;&quot;,&quot;non-dropping-particle&quot;:&quot;&quot;},{&quot;family&quot;:&quot;Wang&quot;,&quot;given&quot;:&quot;Binbin&quot;,&quot;parse-names&quot;:false,&quot;dropping-particle&quot;:&quot;&quot;,&quot;non-dropping-particle&quot;:&quot;&quot;},{&quot;family&quot;:&quot;Xiang&quot;,&quot;given&quot;:&quot;Hui&quot;,&quot;parse-names&quot;:false,&quot;dropping-particle&quot;:&quot;&quot;,&quot;non-dropping-particle&quot;:&quot;&quot;},{&quot;family&quot;:&quot;Cheng&quot;,&quot;given&quot;:&quot;Zhenshun&quot;,&quot;parse-names&quot;:false,&quot;dropping-particle&quot;:&quot;&quot;,&quot;non-dropping-particle&quot;:&quot;&quot;},{&quot;family&quot;:&quot;Xiong&quot;,&quot;given&quot;:&quot;Yong&quot;,&quot;parse-names&quot;:false,&quot;dropping-particle&quot;:&quot;&quot;,&quot;non-dropping-particle&quot;:&quot;&quot;},{&quot;family&quot;:&quot;Zhao&quot;,&quot;given&quot;:&quot;Yan&quot;,&quot;parse-names&quot;:false,&quot;dropping-particle&quot;:&quot;&quot;,&quot;non-dropping-particle&quot;:&quot;&quot;},{&quot;family&quot;:&quot;Li&quot;,&quot;given&quot;:&quot;Yirong&quot;,&quot;parse-names&quot;:false,&quot;dropping-particle&quot;:&quot;&quot;,&quot;non-dropping-particle&quot;:&quot;&quot;},{&quot;family&quot;:&quot;Wang&quot;,&quot;given&quot;:&quot;Xinghuan&quot;,&quot;parse-names&quot;:false,&quot;dropping-particle&quot;:&quot;&quot;,&quot;non-dropping-particle&quot;:&quot;&quot;},{&quot;family&quot;:&quot;Peng&quot;,&quot;given&quot;:&quot;Zhiyong&quot;,&quot;parse-names&quot;:false,&quot;dropping-particle&quot;:&quot;&quot;,&quot;non-dropping-particle&quot;:&quot;&quot;}],&quot;container-title&quot;:&quot;JAMA - Journal of the American Medical Association&quot;,&quot;issued&quot;:{&quot;date-parts&quot;:[[2020]]},&quot;page&quot;:&quot;1061-1069&quot;,&quot;issue&quot;:&quot;11&quot;,&quot;volume&quot;:&quot;323&quot;,&quot;container-title-short&quot;:&quot;&quot;},&quot;isTemporary&quot;:false}]},{&quot;citationID&quot;:&quot;MENDELEY_CITATION_c4de719a-b6b4-4194-8df4-748715e1cee0&quot;,&quot;properties&quot;:{&quot;noteIndex&quot;:0},&quot;isEdited&quot;:false,&quot;manualOverride&quot;:{&quot;isManuallyOverridden&quot;:false,&quot;citeprocText&quot;:&quot;(13)&quot;,&quot;manualOverrideText&quot;:&quot;&quot;},&quot;citationTag&quot;:&quot;MENDELEY_CITATION_v3_eyJjaXRhdGlvbklEIjoiTUVOREVMRVlfQ0lUQVRJT05fYzRkZTcxOWEtYjZiNC00MTk0LThkZjQtNzQ4NzE1ZTFjZWUwIiwicHJvcGVydGllcyI6eyJub3RlSW5kZXgiOjB9LCJpc0VkaXRlZCI6ZmFsc2UsIm1hbnVhbE92ZXJyaWRlIjp7ImlzTWFudWFsbHlPdmVycmlkZGVuIjpmYWxzZSwiY2l0ZXByb2NUZXh0IjoiKDEzKSIsIm1hbnVhbE92ZXJyaWRlVGV4dCI6IiJ9LCJjaXRhdGlvbkl0ZW1zIjpb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XX0=&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citationID&quot;:&quot;MENDELEY_CITATION_3168ffeb-60fa-4af7-a342-9871f808fa50&quot;,&quot;properties&quot;:{&quot;noteIndex&quot;:0},&quot;isEdited&quot;:false,&quot;manualOverride&quot;:{&quot;isManuallyOverridden&quot;:false,&quot;citeprocText&quot;:&quot;(14)&quot;,&quot;manualOverrideText&quot;:&quot;&quot;},&quot;citationTag&quot;:&quot;MENDELEY_CITATION_v3_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&quot;,&quot;citationItems&quot;:[{&quot;id&quot;:&quot;187c208d-5efb-32e1-9375-68ee8119a453&quot;,&quot;itemData&quot;:{&quot;type&quot;:&quot;article-journal&quot;,&quot;id&quot;:&quot;187c208d-5efb-32e1-9375-68ee8119a453&quot;,&quot;title&quot;:&quot;Fitting the distributions of length of stay by parametric models&quot;,&quot;author&quot;:[{&quot;family&quot;:&quot;Marazzi&quot;,&quot;given&quot;:&quot;A.&quot;,&quot;parse-names&quot;:false,&quot;dropping-particle&quot;:&quot;&quot;,&quot;non-dropping-particle&quot;:&quot;&quot;},{&quot;family&quot;:&quot;Paccaud&quot;,&quot;given&quot;:&quot;F.&quot;,&quot;parse-names&quot;:false,&quot;dropping-particle&quot;:&quot;&quot;,&quot;non-dropping-particle&quot;:&quot;&quot;},{&quot;family&quot;:&quot;Ruffieux&quot;,&quot;given&quot;:&quot;C.&quot;,&quot;parse-names&quot;:false,&quot;dropping-particle&quot;:&quot;&quot;,&quot;non-dropping-particle&quot;:&quot;&quot;},{&quot;family&quot;:&quot;Beguin&quot;,&quot;given&quot;:&quot;C.&quot;,&quot;parse-names&quot;:false,&quot;dropping-particle&quot;:&quot;&quot;,&quot;non-dropping-particle&quot;:&quot;&quot;}],&quot;container-title&quot;:&quot;Medical Care&quot;,&quot;container-title-short&quot;:&quot;Med Care&quot;,&quot;issued&quot;:{&quot;date-parts&quot;:[[1998]]},&quot;page&quot;:&quot;915-927&quot;,&quot;issue&quot;:&quot;6&quot;,&quot;volume&quot;:&quot;36&quot;},&quot;isTemporary&quot;:false}]},{&quot;citationID&quot;:&quot;MENDELEY_CITATION_d5a4c80b-d298-4fd3-b146-11a939152754&quot;,&quot;properties&quot;:{&quot;noteIndex&quot;:0},&quot;isEdited&quot;:false,&quot;manualOverride&quot;:{&quot;isManuallyOverridden&quot;:false,&quot;citeprocText&quot;:&quot;(15,16)&quot;,&quot;manualOverrideText&quot;:&quot;&quot;},&quot;citationTag&quot;:&quot;MENDELEY_CITATION_v3_eyJjaXRhdGlvbklEIjoiTUVOREVMRVlfQ0lUQVRJT05fZDVhNGM4MGItZDI5OC00ZmQzLWIxNDYtMTFhOTM5MTUyNzU0IiwicHJvcGVydGllcyI6eyJub3RlSW5kZXgiOjB9LCJpc0VkaXRlZCI6ZmFsc2UsIm1hbnVhbE92ZXJyaWRlIjp7ImlzTWFudWFsbHlPdmVycmlkZGVuIjpmYWxzZSwiY2l0ZXByb2NUZXh0IjoiKDE1LDE2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&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id&quot;:&quot;8e68c8f4-844f-3953-ad9f-1b1f958a2f34&quot;,&quot;itemData&quot;:{&quot;type&quot;:&quot;article-journal&quot;,&quot;id&quot;:&quot;8e68c8f4-844f-3953-ad9f-1b1f958a2f34&quot;,&quot;title&quot;:&quot;Evolving epidemiology and transmission dynamics of coronavirus disease 2019 outside Hubei province, China: a descriptive and modelling study&quot;,&quot;author&quot;:[{&quot;family&quot;:&quot;Zhang&quot;,&quot;given&quot;:&quot;Juanjuan&quot;,&quot;parse-names&quot;:false,&quot;dropping-particle&quot;:&quot;&quot;,&quot;non-dropping-particle&quot;:&quot;&quot;},{&quot;family&quot;:&quot;Litvinova&quot;,&quot;given&quot;:&quot;Maria&quot;,&quot;parse-names&quot;:false,&quot;dropping-particle&quot;:&quot;&quot;,&quot;non-dropping-particle&quot;:&quot;&quot;},{&quot;family&quot;:&quot;Wang&quot;,&quot;given&quot;:&quot;Wei&quot;,&quot;parse-names&quot;:false,&quot;dropping-particle&quot;:&quot;&quot;,&quot;non-dropping-particle&quot;:&quot;&quot;},{&quot;family&quot;:&quot;Wang&quot;,&quot;given&quot;:&quot;Yan&quot;,&quot;parse-names&quot;:false,&quot;dropping-particle&quot;:&quot;&quot;,&quot;non-dropping-particle&quot;:&quot;&quot;},{&quot;family&quot;:&quot;Deng&quot;,&quot;given&quot;:&quot;Xiaowei&quot;,&quot;parse-names&quot;:false,&quot;dropping-particle&quot;:&quot;&quot;,&quot;non-dropping-particle&quot;:&quot;&quot;},{&quot;family&quot;:&quot;Chen&quot;,&quot;given&quot;:&quot;Xinghui&quot;,&quot;parse-names&quot;:false,&quot;dropping-particle&quot;:&quot;&quot;,&quot;non-dropping-particle&quot;:&quot;&quot;},{&quot;family&quot;:&quot;Li&quot;,&quot;given&quot;:&quot;Mei&quot;,&quot;parse-names&quot;:false,&quot;dropping-particle&quot;:&quot;&quot;,&quot;non-dropping-particle&quot;:&quot;&quot;},{&quot;family&quot;:&quot;Zheng&quot;,&quot;given&quot;:&quot;Wen&quot;,&quot;parse-names&quot;:false,&quot;dropping-particle&quot;:&quot;&quot;,&quot;non-dropping-particle&quot;:&quot;&quot;},{&quot;family&quot;:&quot;Yi&quot;,&quot;given&quot;:&quot;Lan&quot;,&quot;parse-names&quot;:false,&quot;dropping-particle&quot;:&quot;&quot;,&quot;non-dropping-particle&quot;:&quot;&quot;},{&quot;family&quot;:&quot;Chen&quot;,&quot;given&quot;:&quot;Xinhua&quot;,&quot;parse-names&quot;:false,&quot;dropping-particle&quot;:&quot;&quot;,&quot;non-dropping-particle&quot;:&quot;&quot;},{&quot;family&quot;:&quot;Wu&quot;,&quot;given&quot;:&quot;Qianhui&quot;,&quot;parse-names&quot;:false,&quot;dropping-particle&quot;:&quot;&quot;,&quot;non-dropping-particle&quot;:&quot;&quot;},{&quot;family&quot;:&quot;Liang&quot;,&quot;given&quot;:&quot;Yuxia&quot;,&quot;parse-names&quot;:false,&quot;dropping-particle&quot;:&quot;&quot;,&quot;non-dropping-particle&quot;:&quot;&quot;},{&quot;family&quot;:&quot;Wang&quot;,&quot;given&quot;:&quot;Xiling&quot;,&quot;parse-names&quot;:false,&quot;dropping-particle&quot;:&quot;&quot;,&quot;non-dropping-particle&quot;:&quot;&quot;},{&quot;family&quot;:&quot;Yang&quot;,&quot;given&quot;:&quot;Juan&quot;,&quot;parse-names&quot;:false,&quot;dropping-particle&quot;:&quot;&quot;,&quot;non-dropping-particle&quot;:&quot;&quot;},{&quot;family&quot;:&quot;Sun&quot;,&quot;given&quot;:&quot;Kaiyuan&quot;,&quot;parse-names&quot;:false,&quot;dropping-particle&quot;:&quot;&quot;,&quot;non-dropping-particle&quot;:&quot;&quot;},{&quot;family&quot;:&quot;Longini&quot;,&quot;given&quot;:&quot;Ira M.&quot;,&quot;parse-names&quot;:false,&quot;dropping-particle&quot;:&quot;&quot;,&quot;non-dropping-particle&quot;:&quot;&quot;},{&quot;family&quot;:&quot;Halloran&quot;,&quot;given&quot;:&quot;M. Elizabeth&quot;,&quot;parse-names&quot;:false,&quot;dropping-particle&quot;:&quot;&quot;,&quot;non-dropping-particle&quot;:&quot;&quot;},{&quot;family&quot;:&quot;Wu&quot;,&quot;given&quot;:&quot;Peng&quot;,&quot;parse-names&quot;:false,&quot;dropping-particle&quot;:&quot;&quot;,&quot;non-dropping-particle&quot;:&quot;&quot;},{&quot;family&quot;:&quot;Cowling&quot;,&quot;given&quot;:&quot;Benjamin J.&quot;,&quot;parse-names&quot;:false,&quot;dropping-particle&quot;:&quot;&quot;,&quot;non-dropping-particle&quot;:&quot;&quot;},{&quot;family&quot;:&quot;Merler&quot;,&quot;given&quot;:&quot;Stefano&quot;,&quot;parse-names&quot;:false,&quot;dropping-particle&quot;:&quot;&quot;,&quot;non-dropping-particle&quot;:&quot;&quot;},{&quot;family&quot;:&quot;Viboud&quot;,&quot;given&quot;:&quot;Cecile&quot;,&quot;parse-names&quot;:false,&quot;dropping-particle&quot;:&quot;&quot;,&quot;non-dropping-particle&quot;:&quot;&quot;},{&quot;family&quot;:&quot;Vespignani&quot;,&quot;given&quot;:&quot;Alessandro&quot;,&quot;parse-names&quot;:false,&quot;dropping-particle&quot;:&quot;&quot;,&quot;non-dropping-particle&quot;:&quot;&quot;},{&quot;family&quot;:&quot;Ajelli&quot;,&quot;given&quot;:&quot;Marco&quot;,&quot;parse-names&quot;:false,&quot;dropping-particle&quot;:&quot;&quot;,&quot;non-dropping-particle&quot;:&quot;&quot;},{&quot;family&quot;:&quot;Yu&quot;,&quot;given&quot;:&quot;Hongjie&quot;,&quot;parse-names&quot;:false,&quot;dropping-particle&quot;:&quot;&quot;,&quot;non-dropping-particle&quot;:&quot;&quot;}],&quot;container-title&quot;:&quot;The Lancet Infectious Diseases&quot;,&quot;container-title-short&quot;:&quot;Lancet Infect Dis&quot;,&quot;DOI&quot;:&quot;10.1016/S1473-3099(20)30230-9&quot;,&quot;ISSN&quot;:&quot;14744457&quot;,&quot;PMID&quot;:&quot;32247326&quot;,&quot;issued&quot;:{&quot;date-parts&quot;:[[2020,7,1]]},&quot;page&quot;:&quot;793-802&quot;,&quot;abstract&quot;:&quo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Funding: National Science Fund for Distinguished Young Scholars, National Institute of General Medical Sciences, and European Commission Horizon 2020.&quot;,&quot;publisher&quot;:&quot;Lancet Publishing Group&quot;,&quot;volume&quot;:&quot;20&quot;},&quot;isTemporary&quot;:false}]},{&quot;citationID&quot;:&quot;MENDELEY_CITATION_01315bdc-8fa8-4a6b-8380-299e353fe7a8&quot;,&quot;properties&quot;:{&quot;noteIndex&quot;:0},&quot;isEdited&quot;:false,&quot;manualOverride&quot;:{&quot;isManuallyOverridden&quot;:false,&quot;citeprocText&quot;:&quot;(17)&quot;,&quot;manualOverrideText&quot;:&quot;&quot;},&quot;citationTag&quot;:&quot;MENDELEY_CITATION_v3_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pc3N1ZSI6IjI4MiIsInZvbHVtZSI6IjUzIiwiY29udGFpbmVyLXRpdGxlLXNob3J0IjoiIn0sImlzVGVtcG9yYXJ5IjpmYWxzZX1dfQ==&quot;,&quot;citationItems&quot;:[{&quot;id&quot;:&quot;21994fae-5d71-369a-828e-eab53ce5fb27&quot;,&quot;itemData&quot;:{&quot;type&quot;:&quot;report&quot;,&quot;id&quot;:&quot;21994fae-5d71-369a-828e-eab53ce5fb27&quot;,&quot;title&quot;:&quot;Nonparametric Estimation from Incomplete Observations NONPARAMETRIC ESTIMATION FROM INCOMPLETE OBSERVATIONS*&quot;,&quot;author&quot;:[{&quot;family&quot;:&quot;Kaplan&quot;,&quot;given&quot;:&quot;E L&quot;,&quot;parse-names&quot;:false,&quot;dropping-particle&quot;:&quot;&quot;,&quot;non-dropping-particle&quot;:&quot;&quot;},{&quot;family&quot;:&quot;Meier&quot;,&quot;given&quot;:&quot;Paul&quot;,&quot;parse-names&quot;:false,&quot;dropping-particle&quot;:&quot;&quot;,&quot;non-dropping-particle&quot;:&quot;&quot;}],&quot;container-title&quot;:&quot;Source: Journal of the American Statistical Association&quot;,&quot;issued&quot;:{&quot;date-parts&quot;:[[1958]]},&quot;number-of-pages&quot;:&quot;457-481&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issue&quot;:&quot;282&quot;,&quot;volume&quot;:&quot;53&quot;,&quot;container-title-short&quot;:&quot;&quot;},&quot;isTemporary&quot;:false}]},{&quot;citationID&quot;:&quot;MENDELEY_CITATION_0701ed56-a8ba-4b5f-a5e8-a07ca2b86b65&quot;,&quot;properties&quot;:{&quot;noteIndex&quot;:0},&quot;isEdited&quot;:false,&quot;manualOverride&quot;:{&quot;isManuallyOverridden&quot;:false,&quot;citeprocText&quot;:&quot;(6,13,18)&quot;,&quot;manualOverrideText&quot;:&quot;&quot;},&quot;citationTag&quot;:&quot;MENDELEY_CITATION_v3_eyJjaXRhdGlvbklEIjoiTUVOREVMRVlfQ0lUQVRJT05fMDcwMWVkNTYtYThiYS00YjVmLWE1ZTgtYTA3Y2EyYjg2YjY1IiwicHJvcGVydGllcyI6eyJub3RlSW5kZXgiOjB9LCJpc0VkaXRlZCI6ZmFsc2UsIm1hbnVhbE92ZXJyaWRlIjp7ImlzTWFudWFsbHlPdmVycmlkZGVuIjpmYWxzZSwiY2l0ZXByb2NUZXh0IjoiKDYsMTMsMTg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0s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&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58a6517f-b626-47c3-9365-807c00604090&quot;,&quot;properties&quot;:{&quot;noteIndex&quot;:0},&quot;isEdited&quot;:false,&quot;manualOverride&quot;:{&quot;isManuallyOverridden&quot;:false,&quot;citeprocText&quot;:&quot;(19)&quot;,&quot;manualOverrideText&quot;:&quot;&quot;},&quot;citationTag&quot;:&quot;MENDELEY_CITATION_v3_eyJjaXRhdGlvbklEIjoiTUVOREVMRVlfQ0lUQVRJT05fNThhNjUxN2YtYjYyNi00N2MzLTkzNjUtODA3YzAwNjA0MDkwIiwicHJvcGVydGllcyI6eyJub3RlSW5kZXgiOjB9LCJpc0VkaXRlZCI6ZmFsc2UsIm1hbnVhbE92ZXJyaWRlIjp7ImlzTWFudWFsbHlPdmVycmlkZGVuIjpmYWxzZSwiY2l0ZXByb2NUZXh0IjoiKDE5KSIsIm1hbnVhbE92ZXJyaWRlVGV4dCI6IiJ9LCJjaXRhdGlvbkl0ZW1zIjpbeyJpZCI6ImI0ZGIyNzlkLTI3ZmQtMzhmNy04NDBmLTc3MzJjN2EzMDZmNSIsIml0ZW1EYXRhIjp7InR5cGUiOiJhcnRpY2xlLWpvdXJuYWwiLCJpZCI6ImI0ZGIyNzlkLTI3ZmQtMzhmNy04NDBmLTc3MzJjN2EzMDZmNS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mlzc3VlZCI6eyJkYXRlLXBhcnRzIjpbWzE5NzJdXX0sInBhZ2UiOiIxODctMjAyIiwiaXNzdWUiOiIyIiwidm9sdW1lIjoiMzQiLCJjb250YWluZXItdGl0bGUtc2hvcnQiOiIifSwiaXNUZW1wb3JhcnkiOmZhbHNlfV19&quot;,&quot;citationItems&quot;:[{&quot;id&quot;:&quot;b4db279d-27fd-38f7-840f-7732c7a306f5&quot;,&quot;itemData&quot;:{&quot;type&quot;:&quot;article-journal&quot;,&quot;id&quot;:&quot;b4db279d-27fd-38f7-840f-7732c7a306f5&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issued&quot;:{&quot;date-parts&quot;:[[1972]]},&quot;page&quot;:&quot;187-202&quot;,&quot;issue&quot;:&quot;2&quot;,&quot;volume&quot;:&quot;34&quot;,&quot;container-title-short&quot;:&quot;&quot;},&quot;isTemporary&quot;:false}]},{&quot;citationID&quot;:&quot;MENDELEY_CITATION_50bbf5db-0830-4e59-b47c-4a2e1b843cb1&quot;,&quot;properties&quot;:{&quot;noteIndex&quot;:0},&quot;isEdited&quot;:false,&quot;manualOverride&quot;:{&quot;isManuallyOverridden&quot;:false,&quot;citeprocText&quot;:&quot;(20,21)&quot;,&quot;manualOverrideText&quot;:&quot;&quot;},&quot;citationTag&quot;:&quot;MENDELEY_CITATION_v3_eyJjaXRhdGlvbklEIjoiTUVOREVMRVlfQ0lUQVRJT05fNTBiYmY1ZGItMDgzMC00ZTU5LWI0N2MtNGEyZTFiODQzY2IxIiwicHJvcGVydGllcyI6eyJub3RlSW5kZXgiOjB9LCJpc0VkaXRlZCI6ZmFsc2UsIm1hbnVhbE92ZXJyaWRlIjp7ImlzTWFudWFsbHlPdmVycmlkZGVuIjpmYWxzZSwiY2l0ZXByb2NUZXh0IjoiKDIwLDIx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ad276bcd-34a2-3933-8adf-1c29cc53266a&quot;,&quot;itemData&quot;:{&quot;type&quot;:&quot;article-journal&quot;,&quot;id&quot;:&quot;ad276bcd-34a2-3933-8adf-1c29cc53266a&quot;,&quot;title&quot;:&quot;Epidemiology, outcomes, and the use of intensive care unit resources of critically ill patients diagnosed with COVID-19 in Sao Paulo, Brazil: A cohort study&quot;,&quot;author&quot;:[{&quot;family&quot;:&quot;Socolovithc&quot;,&quot;given&quot;:&quot;Rachel Lane&quot;,&quot;parse-names&quot;:false,&quot;dropping-particle&quot;:&quot;&quot;,&quot;non-dropping-particle&quot;:&quot;&quot;},{&quot;family&quot;:&quot;Fumis&quot;,&quot;given&quot;:&quot;Renata Rego Lins&quot;,&quot;parse-names&quot;:false,&quot;dropping-particle&quot;:&quot;&quot;,&quot;non-dropping-particle&quot;:&quot;&quot;},{&quot;family&quot;:&quot;Tomazini&quot;,&quot;given&quot;:&quot;Bruno Martins&quot;,&quot;parse-names&quot;:false,&quot;dropping-particle&quot;:&quot;&quot;,&quot;non-dropping-particle&quot;:&quot;&quot;},{&quot;family&quot;:&quot;Pastore&quot;,&quot;given&quot;:&quot;Laerte&quot;,&quot;parse-names&quot;:false,&quot;dropping-particle&quot;:&quot;&quot;,&quot;non-dropping-particle&quot;:&quot;&quot;},{&quot;family&quot;:&quot;Galas&quot;,&quot;given&quot;:&quot;Filomena Regina Barbosa Gomes&quot;,&quot;parse-names&quot;:false,&quot;dropping-particle&quot;:&quot;&quot;,&quot;non-dropping-particle&quot;:&quot;&quot;},{&quot;family&quot;:&quot;Azevedo&quot;,&quot;given&quot;:&quot;Luciano Cesar Pontes&quot;,&quot;parse-names&quot;:false,&quot;dropping-particle&quot;:&quot;&quot;,&quot;non-dropping-particle&quot;:&quot;de&quot;},{&quot;family&quot;:&quot;Costa&quot;,&quot;given&quot;:&quot;Eduardo Leite Vieira&quot;,&quot;parse-names&quot;:false,&quot;dropping-particle&quot;:&quot;&quot;,&quot;non-dropping-particle&quot;:&quot;&quot;}],&quot;container-title&quot;:&quot;PLoS ONE&quot;,&quot;container-title-short&quot;:&quot;PLoS One&quot;,&quot;DOI&quot;:&quot;10.1371/journal.pone.0243269&quot;,&quot;ISBN&quot;:&quot;1111111111&quot;,&quot;ISSN&quot;:&quot;19326203&quot;,&quot;PMID&quot;:&quot;33270741&quot;,&quot;URL&quot;:&quot;http://dx.doi.org/10.1371/journal.pone.0243269&quot;,&quot;issued&quot;:{&quot;date-parts&quot;:[[2020]]},&quot;page&quot;:&quot;e0243269&quot;,&quot;issue&quot;:&quot;12 &quot;,&quot;volume&quot;:&quot;15&quot;},&quot;isTemporary&quot;:false}]},{&quot;citationID&quot;:&quot;MENDELEY_CITATION_8cd064ef-60e4-4d7f-bd10-ed96d1ce7190&quot;,&quot;properties&quot;:{&quot;noteIndex&quot;:0},&quot;isEdited&quot;:false,&quot;manualOverride&quot;:{&quot;isManuallyOverridden&quot;:false,&quot;citeprocText&quot;:&quot;(22,23)&quot;,&quot;manualOverrideText&quot;:&quot;&quot;},&quot;citationTag&quot;:&quot;MENDELEY_CITATION_v3_eyJjaXRhdGlvbklEIjoiTUVOREVMRVlfQ0lUQVRJT05fOGNkMDY0ZWYtNjBlNC00ZDdmLWJkMTAtZWQ5NmQxY2U3MTkwIiwicHJvcGVydGllcyI6eyJub3RlSW5kZXgiOjB9LCJpc0VkaXRlZCI6ZmFsc2UsIm1hbnVhbE92ZXJyaWRlIjp7ImlzTWFudWFsbHlPdmVycmlkZGVuIjpmYWxzZSwiY2l0ZXByb2NUZXh0IjoiKDIyLDIz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2b2x1bWUiOiIyOSJ9LCJpc1RlbXBvcmFyeSI6ZmFsc2V9XX0=&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id&quot;:&quot;5797bc35-81b9-328c-82ba-8c0c0bcc3c13&quot;,&quot;itemData&quot;:{&quot;type&quot;:&quot;article-journal&quot;,&quot;id&quot;:&quot;5797bc35-81b9-328c-82ba-8c0c0bcc3c13&quot;,&quot;title&quot;:&quot;Admission factors associated with prolonged (&gt;14 days) intensive care unit stay&quot;,&quot;author&quot;:[{&quot;family&quot;:&quot;Zampieri&quot;,&quot;given&quot;:&quot;Fernando Godinho&quot;,&quot;parse-names&quot;:false,&quot;dropping-particle&quot;:&quot;&quot;,&quot;non-dropping-particle&quot;:&quot;&quot;},{&quot;family&quot;:&quot;Ladeira&quot;,&quot;given&quot;:&quot;José Paulo&quot;,&quot;parse-names&quot;:false,&quot;dropping-particle&quot;:&quot;&quot;,&quot;non-dropping-particle&quot;:&quot;&quot;},{&quot;family&quot;:&quot;Park&quot;,&quot;given&quot;:&quot;Marcelo&quot;,&quot;parse-names&quot;:false,&quot;dropping-particle&quot;:&quot;&quot;,&quot;non-dropping-particle&quot;:&quot;&quot;},{&quot;family&quot;:&quot;Haib&quot;,&quot;given&quot;:&quot;Douglas&quot;,&quot;parse-names&quot;:false,&quot;dropping-particle&quot;:&quot;&quot;,&quot;non-dropping-particle&quot;:&quot;&quot;},{&quot;family&quot;:&quot;Pastore&quot;,&quot;given&quot;:&quot;Cintia Lovatto&quot;,&quot;parse-names&quot;:false,&quot;dropping-particle&quot;:&quot;&quot;,&quot;non-dropping-particle&quot;:&quot;&quot;},{&quot;family&quot;:&quot;Santoro&quot;,&quot;given&quot;:&quot;Cristiane M.&quot;,&quot;parse-names&quot;:false,&quot;dropping-particle&quot;:&quot;&quot;,&quot;non-dropping-particle&quot;:&quot;&quot;},{&quot;family&quot;:&quot;Colombari&quot;,&quot;given&quot;:&quot;Fernando&quot;,&quot;parse-names&quot;:false,&quot;dropping-particle&quot;:&quot;&quot;,&quot;non-dropping-particle&quot;:&quot;&quot;}],&quot;container-title&quot;:&quot;Journal of Critical Care&quot;,&quot;container-title-short&quot;:&quot;J Crit Care&quot;,&quot;DOI&quot;:&quot;10.1016/j.jcrc.2013.09.030&quot;,&quot;ISSN&quot;:&quot;08839441&quot;,&quot;PMID&quot;:&quot;24268622&quot;,&quot;issued&quot;:{&quot;date-parts&quot;:[[2014,2]]},&quot;page&quot;:&quot;60-65&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volume&quot;:&quot;29&quot;},&quot;isTemporary&quot;:false}]},{&quot;citationID&quot;:&quot;MENDELEY_CITATION_6ef1950a-539f-4503-8b76-264b0a602646&quot;,&quot;properties&quot;:{&quot;noteIndex&quot;:0},&quot;isEdited&quot;:false,&quot;manualOverride&quot;:{&quot;isManuallyOverridden&quot;:false,&quot;citeprocText&quot;:&quot;(24,25)&quot;,&quot;manualOverrideText&quot;:&quot;&quot;},&quot;citationTag&quot;:&quot;MENDELEY_CITATION_v3_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8a55252f-183d-3eb8-8ecf-9556f527d879&quot;,&quot;itemData&quot;:{&quot;type&quot;:&quot;article-journal&quot;,&quot;id&quot;:&quot;8a55252f-183d-3eb8-8ecf-9556f527d879&quot;,&quot;title&quot;:&quot;Strategies to combat chronic critical illness&quot;,&quot;author&quot;:[{&quot;family&quot;:&quot;Maguire&quot;,&quot;given&quot;:&quot;Jennifer M.&quot;,&quot;parse-names&quot;:false,&quot;dropping-particle&quot;:&quot;&quot;,&quot;non-dropping-particle&quot;:&quot;&quot;},{&quot;family&quot;:&quot;Carson&quot;,&quot;given&quot;:&quot;Shannon S.&quot;,&quot;parse-names&quot;:false,&quot;dropping-particle&quot;:&quot;&quot;,&quot;non-dropping-particle&quot;:&quot;&quot;}],&quot;container-title&quot;:&quot;Current Opinion in Critical Care&quot;,&quot;container-title-short&quot;:&quot;Curr Opin Crit Care&quot;,&quot;DOI&quot;:&quot;10.1097/MCC.0b013e328364d65e&quot;,&quot;ISSN&quot;:&quot;10705295&quot;,&quot;PMID&quot;:&quot;23995126&quot;,&quot;issued&quot;:{&quot;date-parts&quot;:[[2013]]},&quot;page&quot;:&quot;480-487&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issue&quot;:&quot;5&quot;,&quot;volume&quot;:&quot;19&quot;},&quot;isTemporary&quot;:false},{&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4fbd1ef7-140c-4bd8-8a27-edfc51e5cd0d&quot;,&quot;properties&quot;:{&quot;noteIndex&quot;:0},&quot;isEdited&quot;:false,&quot;manualOverride&quot;:{&quot;isManuallyOverridden&quot;:false,&quot;citeprocText&quot;:&quot;(26)&quot;,&quot;manualOverrideText&quot;:&quot;&quot;},&quot;citationTag&quot;:&quot;MENDELEY_CITATION_v3_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lzc3VlIjoiMTEiLCJ2b2x1bWUiOiIxMTkiLCJjb250YWluZXItdGl0bGUtc2hvcnQiOiIifSwiaXNUZW1wb3JhcnkiOmZhbHNlfV19&quot;,&quot;citationItems&quot;:[{&quot;id&quot;:&quot;484e9a7f-4d7c-3d38-ae1a-0db60fddb114&quot;,&quot;itemData&quot;:{&quot;type&quot;:&quot;article-journal&quot;,&quot;id&quot;:&quot;484e9a7f-4d7c-3d38-ae1a-0db60fddb114&quot;,&quot;title&quot;:&quot;Outcome and Cost of Prolonged Stay in the Surgical Intensive Care Unit&quot;,&quot;author&quot;:[{&quot;family&quot;:&quot;Becker&quot;,&quot;given&quot;:&quot;Gerald J.&quot;,&quot;parse-names&quot;:false,&quot;dropping-particle&quot;:&quot;&quot;,&quot;non-dropping-particle&quot;:&quot;&quot;},{&quot;family&quot;:&quot;Strauch&quot;,&quot;given&quot;:&quot;Gerald O.&quot;,&quot;parse-names&quot;:false,&quot;dropping-particle&quot;:&quot;&quot;,&quot;non-dropping-particle&quot;:&quot;&quot;},{&quot;family&quot;:&quot;Saranchak&quot;,&quot;given&quot;:&quot;Harry J.&quot;,&quot;parse-names&quot;:false,&quot;dropping-particle&quot;:&quot;&quot;,&quot;non-dropping-particle&quot;:&quot;&quot;}],&quot;container-title&quot;:&quot;Archives of Surgery&quot;,&quot;DOI&quot;:&quot;10.1001/archsurg.1984.01390230104026&quot;,&quot;ISSN&quot;:&quot;15383644&quot;,&quot;PMID&quot;:&quot;6437374&quot;,&quot;issued&quot;:{&quot;date-parts&quot;:[[1984]]},&quot;page&quot;:&quot;1338-1342&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issue&quot;:&quot;11&quot;,&quot;volume&quot;:&quot;119&quot;,&quot;container-title-short&quot;:&quot;&quot;},&quot;isTemporary&quot;:false}]},{&quot;citationID&quot;:&quot;MENDELEY_CITATION_559f08e6-27b9-4610-b7bb-5bcb24cc45d5&quot;,&quot;properties&quot;:{&quot;noteIndex&quot;:0},&quot;isEdited&quot;:false,&quot;manualOverride&quot;:{&quot;isManuallyOverridden&quot;:false,&quot;citeprocText&quot;:&quot;(25)&quot;,&quot;manualOverrideText&quot;:&quot;&quot;},&quot;citationTag&quot;:&quot;MENDELEY_CITATION_v3_eyJjaXRhdGlvbklEIjoiTUVOREVMRVlfQ0lUQVRJT05fNTU5ZjA4ZTYtMjdiOS00NjEwLWI3YmItNWJjYjI0Y2M0NWQ1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0d080051-029d-4069-b13b-c1156bd0745d&quot;,&quot;properties&quot;:{&quot;noteIndex&quot;:0},&quot;isEdited&quot;:false,&quot;manualOverride&quot;:{&quot;isManuallyOverridden&quot;:false,&quot;citeprocText&quot;:&quot;(22)&quot;,&quot;manualOverrideText&quot;:&quot;&quot;},&quot;citationTag&quot;:&quot;MENDELEY_CITATION_v3_eyJjaXRhdGlvbklEIjoiTUVOREVMRVlfQ0lUQVRJT05fMGQwODAwNTEtMDI5ZC00MDY5LWIxM2ItYzExNTZiZDA3NDVk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2486498b-e268-4bc0-975e-b7ed0a558c79&quot;,&quot;properties&quot;:{&quot;noteIndex&quot;:0},&quot;isEdited&quot;:false,&quot;manualOverride&quot;:{&quot;isManuallyOverridden&quot;:false,&quot;citeprocText&quot;:&quot;(25)&quot;,&quot;manualOverrideText&quot;:&quot;&quot;},&quot;citationTag&quot;:&quot;MENDELEY_CITATION_v3_eyJjaXRhdGlvbklEIjoiTUVOREVMRVlfQ0lUQVRJT05fMjQ4NjQ5OGItZTI2OC00YmMwLTk3NWUtYjdlZDBhNTU4Yzc5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2af021b7-cc80-458e-afea-c942eabf240a&quot;,&quot;properties&quot;:{&quot;noteIndex&quot;:0},&quot;isEdited&quot;:false,&quot;manualOverride&quot;:{&quot;isManuallyOverridden&quot;:false,&quot;citeprocText&quot;:&quot;(22)&quot;,&quot;manualOverrideText&quot;:&quot;&quot;},&quot;citationTag&quot;:&quot;MENDELEY_CITATION_v3_eyJjaXRhdGlvbklEIjoiTUVOREVMRVlfQ0lUQVRJT05fMmFmMDIxYjctY2M4MC00NThlLWFmZWEtYzk0MmVhYmYyNDBh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3e00a031-ee95-4523-a7b6-3047d71f11e8&quot;,&quot;properties&quot;:{&quot;noteIndex&quot;:0},&quot;isEdited&quot;:false,&quot;manualOverride&quot;:{&quot;isManuallyOverridden&quot;:false,&quot;citeprocText&quot;:&quot;(27)&quot;,&quot;manualOverrideText&quot;:&quot;&quot;},&quot;citationTag&quot;:&quot;MENDELEY_CITATION_v3_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&quot;,&quot;citationItems&quot;:[{&quot;id&quot;:&quot;7db9c567-32df-3c9a-bc94-75104b9624c7&quot;,&quot;itemData&quot;:{&quot;type&quot;:&quot;article-journal&quot;,&quot;id&quot;:&quot;7db9c567-32df-3c9a-bc94-75104b9624c7&quot;,&quot;title&quot;:&quot;Hospital length of stay for COVID-19 patients: Data-driven methods for forward planning&quot;,&quot;author&quot;:[{&quot;family&quot;:&quot;Vekaria&quot;,&quot;given&quot;:&quot;Bindu&quot;,&quot;parse-names&quot;:false,&quot;dropping-particle&quot;:&quot;&quot;,&quot;non-dropping-particle&quot;:&quot;&quot;},{&quot;family&quot;:&quot;Overton&quot;,&quot;given&quot;:&quot;Christopher&quot;,&quot;parse-names&quot;:false,&quot;dropping-particle&quot;:&quot;&quot;,&quot;non-dropping-particle&quot;:&quot;&quot;},{&quot;family&quot;:&quot;Wiśniowski&quot;,&quot;given&quot;:&quot;Arkadiusz&quot;,&quot;parse-names&quot;:false,&quot;dropping-particle&quot;:&quot;&quot;,&quot;non-dropping-particle&quot;:&quot;&quot;},{&quot;family&quot;:&quot;Ahmad&quot;,&quot;given&quot;:&quot;Shazaad&quot;,&quot;parse-names&quot;:false,&quot;dropping-particle&quot;:&quot;&quot;,&quot;non-dropping-particle&quot;:&quot;&quot;},{&quot;family&quot;:&quot;Aparicio-Castro&quot;,&quot;given&quot;:&quot;Andrea&quot;,&quot;parse-names&quot;:false,&quot;dropping-particle&quot;:&quot;&quot;,&quot;non-dropping-particle&quot;:&quot;&quot;},{&quot;family&quot;:&quot;Curran-Sebastian&quot;,&quot;given&quot;:&quot;Jacob&quot;,&quot;parse-names&quot;:false,&quot;dropping-particle&quot;:&quot;&quot;,&quot;non-dropping-particle&quot;:&quot;&quot;},{&quot;family&quot;:&quot;Eddleston&quot;,&quot;given&quot;:&quot;Jane&quot;,&quot;parse-names&quot;:false,&quot;dropping-particle&quot;:&quot;&quot;,&quot;non-dropping-particle&quot;:&quot;&quot;},{&quot;family&quot;:&quot;Hanley&quot;,&quot;given&quot;:&quot;Neil A.&quot;,&quot;parse-names&quot;:false,&quot;dropping-particle&quot;:&quot;&quot;,&quot;non-dropping-particle&quot;:&quot;&quot;},{&quot;family&quot;:&quot;House&quot;,&quot;given&quot;:&quot;Thomas&quot;,&quot;parse-names&quot;:false,&quot;dropping-particle&quot;:&quot;&quot;,&quot;non-dropping-particle&quot;:&quot;&quot;},{&quot;family&quot;:&quot;Kim&quot;,&quot;given&quot;:&quot;Jihye&quot;,&quot;parse-names&quot;:false,&quot;dropping-particle&quot;:&quot;&quot;,&quot;non-dropping-particle&quot;:&quot;&quot;},{&quot;family&quot;:&quot;Olsen&quot;,&quot;given&quot;:&quot;Wendy&quot;,&quot;parse-names&quot;:false,&quot;dropping-particle&quot;:&quot;&quot;,&quot;non-dropping-particle&quot;:&quot;&quot;},{&quot;family&quot;:&quot;Pampaka&quot;,&quot;given&quot;:&quot;Maria&quot;,&quot;parse-names&quot;:false,&quot;dropping-particle&quot;:&quot;&quot;,&quot;non-dropping-particle&quot;:&quot;&quot;},{&quot;family&quot;:&quot;Pellis&quot;,&quot;given&quot;:&quot;Lorenzo&quot;,&quot;parse-names&quot;:false,&quot;dropping-particle&quot;:&quot;&quot;,&quot;non-dropping-particle&quot;:&quot;&quot;},{&quot;family&quot;:&quot;Ruiz&quot;,&quot;given&quot;:&quot;Diego Perez&quot;,&quot;parse-names&quot;:false,&quot;dropping-particle&quot;:&quot;&quot;,&quot;non-dropping-particle&quot;:&quot;&quot;},{&quot;family&quot;:&quot;Schofield&quot;,&quot;given&quot;:&quot;John&quot;,&quot;parse-names&quot;:false,&quot;dropping-particle&quot;:&quot;&quot;,&quot;non-dropping-particle&quot;:&quot;&quot;},{&quot;family&quot;:&quot;Shryane&quot;,&quot;given&quot;:&quot;Nick&quot;,&quot;parse-names&quot;:false,&quot;dropping-particle&quot;:&quot;&quot;,&quot;non-dropping-particle&quot;:&quot;&quot;},{&quot;family&quot;:&quot;Elliot&quot;,&quot;given&quot;:&quot;Mark J.&quot;,&quot;parse-names&quot;:false,&quot;dropping-particle&quot;:&quot;&quot;,&quot;non-dropping-particle&quot;:&quot;&quot;}],&quot;container-title&quot;:&quot;BMC Infectious Diseases&quot;,&quot;container-title-short&quot;:&quot;BMC Infect Dis&quot;,&quot;DOI&quot;:&quot;10.1186/s12879-021-06371-6&quot;,&quot;ISSN&quot;:&quot;14712334&quot;,&quot;PMID&quot;:&quot;34294037&quot;,&quot;issued&quot;:{&quot;date-parts&quot;:[[2021,12,1]]},&quot;page&quot;:&quot;700&quot;,&quot;abstract&quot;:&quo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quot;,&quot;publisher&quot;:&quot;BioMed Central Ltd&quot;,&quot;volume&quot;:&quot;2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ADA0B9-8660-4E89-ABF6-895DF2BC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10</Pages>
  <Words>38333</Words>
  <Characters>210835</Characters>
  <Application>Microsoft Office Word</Application>
  <DocSecurity>0</DocSecurity>
  <Lines>1756</Lines>
  <Paragraphs>497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48</cp:revision>
  <dcterms:created xsi:type="dcterms:W3CDTF">2023-06-27T15:11:00Z</dcterms:created>
  <dcterms:modified xsi:type="dcterms:W3CDTF">2023-07-06T22:02:00Z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