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DB3C" w14:textId="208B054A" w:rsidR="0095383B" w:rsidRDefault="00102E4A" w:rsidP="00102E4A">
      <w:pPr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Resumen</w:t>
      </w:r>
    </w:p>
    <w:p w14:paraId="491387A9" w14:textId="0D484D5E" w:rsidR="00102E4A" w:rsidRDefault="00102E4A" w:rsidP="00102E4A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0CD4A86F" w14:textId="77384D81" w:rsidR="005A625D" w:rsidRPr="005A625D" w:rsidRDefault="00102E4A" w:rsidP="00BA68BE">
      <w:pPr>
        <w:pStyle w:val="BodyText"/>
        <w:spacing w:after="160" w:line="251" w:lineRule="exact"/>
        <w:ind w:left="0" w:firstLine="426"/>
        <w:rPr>
          <w:sz w:val="24"/>
          <w:szCs w:val="24"/>
        </w:rPr>
      </w:pPr>
      <w:r w:rsidRPr="0007330D">
        <w:rPr>
          <w:w w:val="100"/>
          <w:sz w:val="24"/>
          <w:szCs w:val="24"/>
        </w:rPr>
        <w:t xml:space="preserve">Los sistemas de salud enfrentaron una presión extrema a consecuencia de la pandemia </w:t>
      </w:r>
      <w:r w:rsidR="0005758B">
        <w:rPr>
          <w:w w:val="100"/>
          <w:sz w:val="24"/>
          <w:szCs w:val="24"/>
        </w:rPr>
        <w:t>por</w:t>
      </w:r>
      <w:r w:rsidRPr="0007330D">
        <w:rPr>
          <w:w w:val="100"/>
          <w:sz w:val="24"/>
          <w:szCs w:val="24"/>
        </w:rPr>
        <w:t xml:space="preserve"> COVID-19</w:t>
      </w:r>
      <w:r w:rsidR="00502F38" w:rsidRPr="0007330D">
        <w:rPr>
          <w:sz w:val="24"/>
          <w:szCs w:val="24"/>
        </w:rPr>
        <w:t xml:space="preserve">. </w:t>
      </w:r>
      <w:r w:rsidRPr="0007330D">
        <w:rPr>
          <w:w w:val="100"/>
          <w:sz w:val="24"/>
          <w:szCs w:val="24"/>
        </w:rPr>
        <w:t xml:space="preserve">La presión sobre la disponibilidad de recursos de cuidados intensivos fue </w:t>
      </w:r>
      <w:r w:rsidR="00502F38" w:rsidRPr="0007330D">
        <w:rPr>
          <w:sz w:val="24"/>
          <w:szCs w:val="24"/>
        </w:rPr>
        <w:t>contrarrestada</w:t>
      </w:r>
      <w:r w:rsidR="007E3628" w:rsidRPr="0007330D">
        <w:rPr>
          <w:sz w:val="24"/>
          <w:szCs w:val="24"/>
        </w:rPr>
        <w:t xml:space="preserve">, entre otras cosas, </w:t>
      </w:r>
      <w:r w:rsidRPr="0007330D">
        <w:rPr>
          <w:w w:val="100"/>
          <w:sz w:val="24"/>
          <w:szCs w:val="24"/>
        </w:rPr>
        <w:t xml:space="preserve">mediante </w:t>
      </w:r>
      <w:r w:rsidR="00502F38" w:rsidRPr="0007330D">
        <w:rPr>
          <w:w w:val="100"/>
          <w:sz w:val="24"/>
          <w:szCs w:val="24"/>
        </w:rPr>
        <w:t xml:space="preserve">la asignación </w:t>
      </w:r>
      <w:r w:rsidR="00F0227E">
        <w:rPr>
          <w:w w:val="100"/>
          <w:sz w:val="24"/>
          <w:szCs w:val="24"/>
        </w:rPr>
        <w:t>priorizada con base</w:t>
      </w:r>
      <w:r w:rsidR="00502F38" w:rsidRPr="0007330D">
        <w:rPr>
          <w:w w:val="100"/>
          <w:sz w:val="24"/>
          <w:szCs w:val="24"/>
        </w:rPr>
        <w:t xml:space="preserve"> en la identificación de factores de riesgo</w:t>
      </w:r>
      <w:r w:rsidR="00502F38" w:rsidRPr="0007330D">
        <w:rPr>
          <w:sz w:val="24"/>
          <w:szCs w:val="24"/>
        </w:rPr>
        <w:t xml:space="preserve"> —</w:t>
      </w:r>
      <w:proofErr w:type="spellStart"/>
      <w:r w:rsidR="0005758B">
        <w:rPr>
          <w:sz w:val="24"/>
          <w:szCs w:val="24"/>
        </w:rPr>
        <w:t>e</w:t>
      </w:r>
      <w:r w:rsidR="007E3628" w:rsidRPr="0007330D">
        <w:rPr>
          <w:sz w:val="24"/>
          <w:szCs w:val="24"/>
        </w:rPr>
        <w:t>.g</w:t>
      </w:r>
      <w:proofErr w:type="spellEnd"/>
      <w:r w:rsidR="007E3628" w:rsidRPr="0007330D">
        <w:rPr>
          <w:sz w:val="24"/>
          <w:szCs w:val="24"/>
        </w:rPr>
        <w:t xml:space="preserve">.: </w:t>
      </w:r>
      <w:r w:rsidR="00502F38" w:rsidRPr="0007330D">
        <w:rPr>
          <w:w w:val="100"/>
          <w:sz w:val="24"/>
          <w:szCs w:val="24"/>
        </w:rPr>
        <w:t>sexo masculino, edad avanzada</w:t>
      </w:r>
      <w:r w:rsidR="00502F38" w:rsidRPr="0007330D">
        <w:rPr>
          <w:sz w:val="24"/>
          <w:szCs w:val="24"/>
        </w:rPr>
        <w:t>, comorbilidades</w:t>
      </w:r>
      <w:r w:rsidR="00502F38" w:rsidRPr="0007330D">
        <w:rPr>
          <w:w w:val="100"/>
          <w:sz w:val="24"/>
          <w:szCs w:val="24"/>
        </w:rPr>
        <w:t>, etc</w:t>
      </w:r>
      <w:r w:rsidR="0005758B">
        <w:rPr>
          <w:w w:val="100"/>
          <w:sz w:val="24"/>
          <w:szCs w:val="24"/>
        </w:rPr>
        <w:t>.</w:t>
      </w:r>
      <w:r w:rsidR="005A625D">
        <w:rPr>
          <w:w w:val="100"/>
          <w:sz w:val="24"/>
          <w:szCs w:val="24"/>
        </w:rPr>
        <w:t>—</w:t>
      </w:r>
      <w:r w:rsidR="00502F38" w:rsidRPr="0007330D">
        <w:rPr>
          <w:sz w:val="24"/>
          <w:szCs w:val="24"/>
        </w:rPr>
        <w:t xml:space="preserve">. </w:t>
      </w:r>
      <w:r w:rsidR="007E3628" w:rsidRPr="0007330D">
        <w:rPr>
          <w:sz w:val="24"/>
          <w:szCs w:val="24"/>
        </w:rPr>
        <w:t xml:space="preserve">En otros contextos, </w:t>
      </w:r>
      <w:r w:rsidR="005A625D">
        <w:rPr>
          <w:sz w:val="24"/>
          <w:szCs w:val="24"/>
        </w:rPr>
        <w:t>se ha evidenciado</w:t>
      </w:r>
      <w:r w:rsidR="00F0227E">
        <w:rPr>
          <w:w w:val="100"/>
          <w:sz w:val="24"/>
          <w:szCs w:val="24"/>
        </w:rPr>
        <w:t xml:space="preserve"> </w:t>
      </w:r>
      <w:r w:rsidR="007676E8" w:rsidRPr="0007330D">
        <w:rPr>
          <w:sz w:val="24"/>
          <w:szCs w:val="24"/>
        </w:rPr>
        <w:t xml:space="preserve">que los </w:t>
      </w:r>
      <w:r w:rsidR="007676E8" w:rsidRPr="0007330D">
        <w:rPr>
          <w:w w:val="100"/>
          <w:sz w:val="24"/>
          <w:szCs w:val="24"/>
        </w:rPr>
        <w:t xml:space="preserve">pacientes con estancia prolongada </w:t>
      </w:r>
      <w:r w:rsidR="007E3628" w:rsidRPr="0007330D">
        <w:rPr>
          <w:sz w:val="24"/>
          <w:szCs w:val="24"/>
        </w:rPr>
        <w:t>en UCI</w:t>
      </w:r>
      <w:r w:rsidR="005A625D">
        <w:rPr>
          <w:sz w:val="24"/>
          <w:szCs w:val="24"/>
        </w:rPr>
        <w:t xml:space="preserve"> </w:t>
      </w:r>
      <w:r w:rsidR="007676E8" w:rsidRPr="0007330D">
        <w:rPr>
          <w:w w:val="100"/>
          <w:sz w:val="24"/>
          <w:szCs w:val="24"/>
        </w:rPr>
        <w:t>muestra</w:t>
      </w:r>
      <w:r w:rsidR="007E3628" w:rsidRPr="0007330D">
        <w:rPr>
          <w:sz w:val="24"/>
          <w:szCs w:val="24"/>
        </w:rPr>
        <w:t>n</w:t>
      </w:r>
      <w:r w:rsidR="007676E8" w:rsidRPr="0007330D">
        <w:rPr>
          <w:spacing w:val="1"/>
          <w:w w:val="100"/>
          <w:sz w:val="24"/>
          <w:szCs w:val="24"/>
        </w:rPr>
        <w:t xml:space="preserve"> </w:t>
      </w:r>
      <w:r w:rsidR="007676E8" w:rsidRPr="0007330D">
        <w:rPr>
          <w:w w:val="100"/>
          <w:sz w:val="24"/>
          <w:szCs w:val="24"/>
        </w:rPr>
        <w:t xml:space="preserve">un mayor riesgo de </w:t>
      </w:r>
      <w:r w:rsidR="00F0227E">
        <w:rPr>
          <w:w w:val="100"/>
          <w:sz w:val="24"/>
          <w:szCs w:val="24"/>
        </w:rPr>
        <w:t>desenlaces</w:t>
      </w:r>
      <w:r w:rsidR="007676E8" w:rsidRPr="0007330D">
        <w:rPr>
          <w:w w:val="100"/>
          <w:sz w:val="24"/>
          <w:szCs w:val="24"/>
        </w:rPr>
        <w:t xml:space="preserve"> desfavorables y consumen</w:t>
      </w:r>
      <w:r w:rsidR="007676E8" w:rsidRPr="0007330D">
        <w:rPr>
          <w:spacing w:val="1"/>
          <w:w w:val="100"/>
          <w:sz w:val="24"/>
          <w:szCs w:val="24"/>
        </w:rPr>
        <w:t xml:space="preserve"> </w:t>
      </w:r>
      <w:r w:rsidR="007676E8" w:rsidRPr="0007330D">
        <w:rPr>
          <w:w w:val="100"/>
          <w:sz w:val="24"/>
          <w:szCs w:val="24"/>
        </w:rPr>
        <w:t>una proporción significativa de recursos de cuidados</w:t>
      </w:r>
      <w:r w:rsidR="007676E8" w:rsidRPr="0007330D">
        <w:rPr>
          <w:spacing w:val="1"/>
          <w:w w:val="100"/>
          <w:sz w:val="24"/>
          <w:szCs w:val="24"/>
        </w:rPr>
        <w:t xml:space="preserve"> </w:t>
      </w:r>
      <w:r w:rsidR="007676E8" w:rsidRPr="0007330D">
        <w:rPr>
          <w:w w:val="100"/>
          <w:sz w:val="24"/>
          <w:szCs w:val="24"/>
        </w:rPr>
        <w:t>intensivos</w:t>
      </w:r>
      <w:r w:rsidR="007676E8" w:rsidRPr="0007330D">
        <w:rPr>
          <w:sz w:val="24"/>
          <w:szCs w:val="24"/>
        </w:rPr>
        <w:t>.</w:t>
      </w:r>
      <w:r w:rsidR="007E3628" w:rsidRPr="0007330D">
        <w:rPr>
          <w:sz w:val="24"/>
          <w:szCs w:val="24"/>
        </w:rPr>
        <w:t xml:space="preserve"> L</w:t>
      </w:r>
      <w:r w:rsidR="00502F38" w:rsidRPr="0007330D">
        <w:rPr>
          <w:sz w:val="24"/>
          <w:szCs w:val="24"/>
        </w:rPr>
        <w:t>os pacientes de COVID-19</w:t>
      </w:r>
      <w:r w:rsidR="00502F38" w:rsidRPr="0007330D">
        <w:rPr>
          <w:spacing w:val="1"/>
          <w:sz w:val="24"/>
          <w:szCs w:val="24"/>
        </w:rPr>
        <w:t xml:space="preserve"> </w:t>
      </w:r>
      <w:r w:rsidR="00502F38" w:rsidRPr="0007330D">
        <w:rPr>
          <w:sz w:val="24"/>
          <w:szCs w:val="24"/>
        </w:rPr>
        <w:t>con</w:t>
      </w:r>
      <w:r w:rsidR="00502F38" w:rsidRPr="0007330D">
        <w:rPr>
          <w:spacing w:val="1"/>
          <w:sz w:val="24"/>
          <w:szCs w:val="24"/>
        </w:rPr>
        <w:t xml:space="preserve"> </w:t>
      </w:r>
      <w:r w:rsidR="00502F38" w:rsidRPr="0007330D">
        <w:rPr>
          <w:sz w:val="24"/>
          <w:szCs w:val="24"/>
        </w:rPr>
        <w:t>estancia</w:t>
      </w:r>
      <w:r w:rsidR="00502F38" w:rsidRPr="0007330D">
        <w:rPr>
          <w:spacing w:val="1"/>
          <w:sz w:val="24"/>
          <w:szCs w:val="24"/>
        </w:rPr>
        <w:t xml:space="preserve"> </w:t>
      </w:r>
      <w:r w:rsidR="00502F38" w:rsidRPr="0007330D">
        <w:rPr>
          <w:sz w:val="24"/>
          <w:szCs w:val="24"/>
        </w:rPr>
        <w:t>prolongada en UCI</w:t>
      </w:r>
      <w:r w:rsidR="00502F38" w:rsidRPr="0007330D">
        <w:rPr>
          <w:sz w:val="24"/>
          <w:szCs w:val="24"/>
        </w:rPr>
        <w:t xml:space="preserve"> </w:t>
      </w:r>
      <w:r w:rsidR="00502F38" w:rsidRPr="0007330D">
        <w:rPr>
          <w:sz w:val="24"/>
          <w:szCs w:val="24"/>
        </w:rPr>
        <w:t>no han recibido</w:t>
      </w:r>
      <w:r w:rsidR="007E3628" w:rsidRPr="0007330D">
        <w:rPr>
          <w:sz w:val="24"/>
          <w:szCs w:val="24"/>
        </w:rPr>
        <w:t>, sin embargo,</w:t>
      </w:r>
      <w:r w:rsidR="00502F38" w:rsidRPr="0007330D">
        <w:rPr>
          <w:sz w:val="24"/>
          <w:szCs w:val="24"/>
        </w:rPr>
        <w:t xml:space="preserve"> atención suficiente en la literatura reciente.</w:t>
      </w:r>
      <w:r w:rsidR="00BA68BE">
        <w:rPr>
          <w:sz w:val="24"/>
          <w:szCs w:val="24"/>
        </w:rPr>
        <w:t xml:space="preserve"> Así, </w:t>
      </w:r>
      <w:r w:rsidR="00BA68BE">
        <w:rPr>
          <w:w w:val="100"/>
          <w:sz w:val="24"/>
          <w:szCs w:val="24"/>
        </w:rPr>
        <w:t>a partir de</w:t>
      </w:r>
      <w:r w:rsidR="0005758B">
        <w:rPr>
          <w:w w:val="100"/>
          <w:sz w:val="24"/>
          <w:szCs w:val="24"/>
        </w:rPr>
        <w:t xml:space="preserve"> </w:t>
      </w:r>
      <w:r w:rsidR="007F42F4" w:rsidRPr="0007330D">
        <w:rPr>
          <w:w w:val="100"/>
          <w:sz w:val="24"/>
          <w:szCs w:val="24"/>
        </w:rPr>
        <w:t xml:space="preserve">los reportes diarios </w:t>
      </w:r>
      <w:r w:rsidR="0005758B">
        <w:rPr>
          <w:color w:val="000000" w:themeColor="text1"/>
          <w:w w:val="100"/>
          <w:sz w:val="24"/>
          <w:szCs w:val="24"/>
        </w:rPr>
        <w:t>publicados por el</w:t>
      </w:r>
      <w:r w:rsidR="007F42F4" w:rsidRPr="0007330D">
        <w:rPr>
          <w:color w:val="000000" w:themeColor="text1"/>
          <w:w w:val="100"/>
          <w:sz w:val="24"/>
          <w:szCs w:val="24"/>
        </w:rPr>
        <w:t xml:space="preserve"> </w:t>
      </w:r>
      <w:r w:rsidR="00BA68BE">
        <w:rPr>
          <w:color w:val="000000" w:themeColor="text1"/>
          <w:w w:val="100"/>
          <w:sz w:val="24"/>
          <w:szCs w:val="24"/>
        </w:rPr>
        <w:t>Instituto Nacional de Salud</w:t>
      </w:r>
      <w:r w:rsidR="007F42F4" w:rsidRPr="0007330D">
        <w:rPr>
          <w:color w:val="000000" w:themeColor="text1"/>
          <w:w w:val="100"/>
          <w:sz w:val="24"/>
          <w:szCs w:val="24"/>
        </w:rPr>
        <w:t xml:space="preserve">, </w:t>
      </w:r>
      <w:r w:rsidR="00BA68BE">
        <w:rPr>
          <w:w w:val="100"/>
          <w:sz w:val="24"/>
          <w:szCs w:val="24"/>
        </w:rPr>
        <w:t>nuestro estudio propone identificar factores de riesgo asociados a la mortalidad de pacientes de COVID-19 con estancia prolongada en UCI según tres métodos generales</w:t>
      </w:r>
      <w:r w:rsidR="00BA68BE">
        <w:rPr>
          <w:spacing w:val="1"/>
          <w:w w:val="100"/>
          <w:sz w:val="24"/>
          <w:szCs w:val="24"/>
        </w:rPr>
        <w:t>:</w:t>
      </w:r>
      <w:r w:rsidR="007F42F4" w:rsidRPr="0007330D">
        <w:rPr>
          <w:w w:val="100"/>
          <w:sz w:val="24"/>
          <w:szCs w:val="24"/>
        </w:rPr>
        <w:t xml:space="preserve"> </w:t>
      </w:r>
      <w:r w:rsidR="00112308">
        <w:rPr>
          <w:w w:val="100"/>
          <w:sz w:val="24"/>
          <w:szCs w:val="24"/>
        </w:rPr>
        <w:t>una</w:t>
      </w:r>
      <w:r w:rsidR="00F0227E">
        <w:rPr>
          <w:w w:val="100"/>
          <w:sz w:val="24"/>
          <w:szCs w:val="24"/>
        </w:rPr>
        <w:t xml:space="preserve"> estimación no-paramétric</w:t>
      </w:r>
      <w:r w:rsidR="00112308">
        <w:rPr>
          <w:w w:val="100"/>
          <w:sz w:val="24"/>
          <w:szCs w:val="24"/>
        </w:rPr>
        <w:t>a</w:t>
      </w:r>
      <w:r w:rsidR="005A625D">
        <w:rPr>
          <w:w w:val="100"/>
          <w:sz w:val="24"/>
          <w:szCs w:val="24"/>
        </w:rPr>
        <w:t xml:space="preserve"> </w:t>
      </w:r>
      <w:r w:rsidR="00F0227E">
        <w:rPr>
          <w:w w:val="100"/>
          <w:sz w:val="24"/>
          <w:szCs w:val="24"/>
        </w:rPr>
        <w:t>de Kaplan-</w:t>
      </w:r>
      <w:proofErr w:type="spellStart"/>
      <w:r w:rsidR="00F0227E">
        <w:rPr>
          <w:w w:val="100"/>
          <w:sz w:val="24"/>
          <w:szCs w:val="24"/>
        </w:rPr>
        <w:t>Meier</w:t>
      </w:r>
      <w:proofErr w:type="spellEnd"/>
      <w:r w:rsidR="005A625D">
        <w:rPr>
          <w:w w:val="100"/>
          <w:sz w:val="24"/>
          <w:szCs w:val="24"/>
        </w:rPr>
        <w:t xml:space="preserve">, un modelo paramétrico de </w:t>
      </w:r>
      <w:proofErr w:type="spellStart"/>
      <w:r w:rsidR="005A625D">
        <w:rPr>
          <w:w w:val="100"/>
          <w:sz w:val="24"/>
          <w:szCs w:val="24"/>
        </w:rPr>
        <w:t>Gompertz</w:t>
      </w:r>
      <w:proofErr w:type="spellEnd"/>
      <w:r w:rsidR="005A625D">
        <w:rPr>
          <w:w w:val="100"/>
          <w:sz w:val="24"/>
          <w:szCs w:val="24"/>
        </w:rPr>
        <w:t xml:space="preserve"> y un modelo de riesgos proporcionales de Cox.</w:t>
      </w:r>
    </w:p>
    <w:p w14:paraId="6CA7548F" w14:textId="7FCDC98C" w:rsidR="00C13E67" w:rsidRPr="00C13E67" w:rsidRDefault="005A625D" w:rsidP="00C13E67">
      <w:pPr>
        <w:pStyle w:val="BodyText"/>
        <w:spacing w:before="96" w:after="160" w:line="249" w:lineRule="auto"/>
        <w:ind w:left="0" w:right="-1" w:firstLine="284"/>
        <w:rPr>
          <w:w w:val="100"/>
          <w:sz w:val="24"/>
          <w:szCs w:val="24"/>
        </w:rPr>
      </w:pPr>
      <w:r>
        <w:rPr>
          <w:sz w:val="24"/>
          <w:szCs w:val="24"/>
        </w:rPr>
        <w:t>Los estimadores paramétricos y no-paramétricos</w:t>
      </w:r>
      <w:r w:rsidR="003F387E" w:rsidRPr="00C13E67">
        <w:rPr>
          <w:rFonts w:eastAsiaTheme="minorEastAsia"/>
          <w:w w:val="100"/>
          <w:sz w:val="24"/>
          <w:szCs w:val="24"/>
        </w:rPr>
        <w:t xml:space="preserve"> muestran una tasa de mortalidad a los 30 días relativamente alta para pacientes en UCI por COVID-19 (52.92% [95%</w:t>
      </w:r>
      <w:r w:rsidR="00BA68BE">
        <w:rPr>
          <w:rFonts w:eastAsiaTheme="minorEastAsia"/>
          <w:w w:val="100"/>
          <w:sz w:val="24"/>
          <w:szCs w:val="24"/>
        </w:rPr>
        <w:t xml:space="preserve"> </w:t>
      </w:r>
      <w:r w:rsidR="003F387E" w:rsidRPr="00C13E67">
        <w:rPr>
          <w:rFonts w:eastAsiaTheme="minorEastAsia"/>
          <w:w w:val="100"/>
          <w:sz w:val="24"/>
          <w:szCs w:val="24"/>
        </w:rPr>
        <w:t>IC: 50.06 – 55.57]</w:t>
      </w:r>
      <w:r>
        <w:rPr>
          <w:rFonts w:eastAsiaTheme="minorEastAsia"/>
          <w:w w:val="100"/>
          <w:sz w:val="24"/>
          <w:szCs w:val="24"/>
        </w:rPr>
        <w:t xml:space="preserve"> y </w:t>
      </w:r>
      <w:r w:rsidRPr="00C13E67">
        <w:rPr>
          <w:rFonts w:eastAsiaTheme="minorEastAsia"/>
          <w:w w:val="100"/>
          <w:sz w:val="24"/>
          <w:szCs w:val="24"/>
        </w:rPr>
        <w:t>52.97% [95%</w:t>
      </w:r>
      <w:r w:rsidR="00BA68BE">
        <w:rPr>
          <w:rFonts w:eastAsiaTheme="minorEastAsia"/>
          <w:w w:val="100"/>
          <w:sz w:val="24"/>
          <w:szCs w:val="24"/>
        </w:rPr>
        <w:t xml:space="preserve"> </w:t>
      </w:r>
      <w:r w:rsidRPr="00C13E67">
        <w:rPr>
          <w:rFonts w:eastAsiaTheme="minorEastAsia"/>
          <w:w w:val="100"/>
          <w:sz w:val="24"/>
          <w:szCs w:val="24"/>
        </w:rPr>
        <w:t>IC: 50.01 - 56]</w:t>
      </w:r>
      <w:r w:rsidR="003F387E" w:rsidRPr="00C13E67">
        <w:rPr>
          <w:rFonts w:eastAsiaTheme="minorEastAsia"/>
          <w:w w:val="100"/>
          <w:sz w:val="24"/>
          <w:szCs w:val="24"/>
        </w:rPr>
        <w:t>, respectivamente).</w:t>
      </w:r>
      <w:r w:rsidR="003F387E" w:rsidRPr="00C13E67">
        <w:rPr>
          <w:rFonts w:eastAsiaTheme="minorEastAsia"/>
          <w:sz w:val="24"/>
          <w:szCs w:val="24"/>
        </w:rPr>
        <w:t xml:space="preserve"> </w:t>
      </w:r>
      <w:r w:rsidR="00BA68BE">
        <w:rPr>
          <w:rFonts w:eastAsiaTheme="minorEastAsia"/>
          <w:sz w:val="24"/>
          <w:szCs w:val="24"/>
        </w:rPr>
        <w:t xml:space="preserve">En la misma línea de estudios anteriores, </w:t>
      </w:r>
      <w:r w:rsidR="00BA68BE">
        <w:rPr>
          <w:rFonts w:eastAsiaTheme="minorEastAsia"/>
          <w:iCs/>
          <w:w w:val="100"/>
          <w:sz w:val="24"/>
          <w:szCs w:val="24"/>
        </w:rPr>
        <w:t>l</w:t>
      </w:r>
      <w:r w:rsidR="003F387E" w:rsidRPr="00C13E67">
        <w:rPr>
          <w:rFonts w:eastAsiaTheme="minorEastAsia"/>
          <w:iCs/>
          <w:w w:val="100"/>
          <w:sz w:val="24"/>
          <w:szCs w:val="24"/>
        </w:rPr>
        <w:t xml:space="preserve">a tasa de supervivencia a los 30 días </w:t>
      </w:r>
      <w:r w:rsidR="000B03E9" w:rsidRPr="00C13E67">
        <w:rPr>
          <w:rFonts w:eastAsiaTheme="minorEastAsia"/>
          <w:iCs/>
          <w:w w:val="100"/>
          <w:sz w:val="24"/>
          <w:szCs w:val="24"/>
        </w:rPr>
        <w:t>es mayor en pacientes con estancia prolongada en UCI</w:t>
      </w:r>
      <w:r>
        <w:rPr>
          <w:rFonts w:eastAsiaTheme="minorEastAsia"/>
          <w:iCs/>
          <w:w w:val="100"/>
          <w:sz w:val="24"/>
          <w:szCs w:val="24"/>
        </w:rPr>
        <w:t xml:space="preserve"> </w:t>
      </w:r>
      <w:r w:rsidR="003F387E" w:rsidRPr="00C13E67">
        <w:rPr>
          <w:rFonts w:eastAsiaTheme="minorEastAsia"/>
          <w:iCs/>
          <w:w w:val="100"/>
          <w:sz w:val="24"/>
          <w:szCs w:val="24"/>
        </w:rPr>
        <w:t>(84.3% [95%</w:t>
      </w:r>
      <w:r w:rsidR="00BA68BE">
        <w:rPr>
          <w:rFonts w:eastAsiaTheme="minorEastAsia"/>
          <w:iCs/>
          <w:w w:val="100"/>
          <w:sz w:val="24"/>
          <w:szCs w:val="24"/>
        </w:rPr>
        <w:t xml:space="preserve"> </w:t>
      </w:r>
      <w:r w:rsidR="003F387E" w:rsidRPr="00C13E67">
        <w:rPr>
          <w:rFonts w:eastAsiaTheme="minorEastAsia"/>
          <w:iCs/>
          <w:w w:val="100"/>
          <w:sz w:val="24"/>
          <w:szCs w:val="24"/>
        </w:rPr>
        <w:t>IC: 77.6 – 89.1] vs. 34.2%</w:t>
      </w:r>
      <w:r>
        <w:rPr>
          <w:rFonts w:eastAsiaTheme="minorEastAsia"/>
          <w:iCs/>
          <w:w w:val="100"/>
          <w:sz w:val="24"/>
          <w:szCs w:val="24"/>
        </w:rPr>
        <w:t xml:space="preserve"> </w:t>
      </w:r>
      <w:r w:rsidR="003F387E" w:rsidRPr="00C13E67">
        <w:rPr>
          <w:rFonts w:eastAsiaTheme="minorEastAsia"/>
          <w:iCs/>
          <w:w w:val="100"/>
          <w:sz w:val="24"/>
          <w:szCs w:val="24"/>
        </w:rPr>
        <w:t>[95%</w:t>
      </w:r>
      <w:r w:rsidR="00BA68BE">
        <w:rPr>
          <w:rFonts w:eastAsiaTheme="minorEastAsia"/>
          <w:iCs/>
          <w:w w:val="100"/>
          <w:sz w:val="24"/>
          <w:szCs w:val="24"/>
        </w:rPr>
        <w:t xml:space="preserve"> </w:t>
      </w:r>
      <w:r w:rsidR="003F387E" w:rsidRPr="00C13E67">
        <w:rPr>
          <w:rFonts w:eastAsiaTheme="minorEastAsia"/>
          <w:iCs/>
          <w:w w:val="100"/>
          <w:sz w:val="24"/>
          <w:szCs w:val="24"/>
        </w:rPr>
        <w:t xml:space="preserve">IC: 29.9 – 38.6], </w:t>
      </w:r>
      <m:oMath>
        <m:r>
          <w:rPr>
            <w:rFonts w:ascii="Cambria Math" w:eastAsiaTheme="minorEastAsia" w:hAnsi="Cambria Math"/>
            <w:w w:val="100"/>
            <w:sz w:val="24"/>
            <w:szCs w:val="24"/>
          </w:rPr>
          <m:t>p&lt;0.01</m:t>
        </m:r>
      </m:oMath>
      <w:r w:rsidR="003F387E" w:rsidRPr="00C13E67">
        <w:rPr>
          <w:rFonts w:eastAsiaTheme="minorEastAsia"/>
          <w:iCs/>
          <w:w w:val="100"/>
          <w:sz w:val="24"/>
          <w:szCs w:val="24"/>
        </w:rPr>
        <w:t>)</w:t>
      </w:r>
      <w:r w:rsidR="003F387E" w:rsidRPr="00C13E67">
        <w:rPr>
          <w:rFonts w:eastAsiaTheme="minorEastAsia"/>
          <w:iCs/>
          <w:sz w:val="24"/>
          <w:szCs w:val="24"/>
        </w:rPr>
        <w:t>.</w:t>
      </w:r>
      <w:r w:rsidR="0007330D" w:rsidRPr="00C13E67">
        <w:rPr>
          <w:rFonts w:eastAsiaTheme="minorEastAsia"/>
          <w:iCs/>
          <w:sz w:val="24"/>
          <w:szCs w:val="24"/>
        </w:rPr>
        <w:t xml:space="preserve"> </w:t>
      </w:r>
      <w:r w:rsidR="0007330D" w:rsidRPr="00C13E67">
        <w:rPr>
          <w:rFonts w:eastAsiaTheme="minorEastAsia"/>
          <w:iCs/>
          <w:w w:val="100"/>
          <w:sz w:val="24"/>
          <w:szCs w:val="24"/>
        </w:rPr>
        <w:t xml:space="preserve">Si bien la tasa de supervivencia acumulada en UCI es menor en pacientes de sexo masculino, no </w:t>
      </w:r>
      <w:r w:rsidR="00112308">
        <w:rPr>
          <w:rFonts w:eastAsiaTheme="minorEastAsia"/>
          <w:iCs/>
          <w:w w:val="100"/>
          <w:sz w:val="24"/>
          <w:szCs w:val="24"/>
        </w:rPr>
        <w:t>existe</w:t>
      </w:r>
      <w:r w:rsidR="0007330D" w:rsidRPr="00C13E67">
        <w:rPr>
          <w:rFonts w:eastAsiaTheme="minorEastAsia"/>
          <w:iCs/>
          <w:w w:val="100"/>
          <w:sz w:val="24"/>
          <w:szCs w:val="24"/>
        </w:rPr>
        <w:t xml:space="preserve"> una diferencia significativa entre las curvas de supervivencia estimadas según el sexo</w:t>
      </w:r>
      <w:r w:rsidR="000B03E9" w:rsidRPr="00C13E67">
        <w:rPr>
          <w:rFonts w:eastAsiaTheme="minorEastAsia"/>
          <w:iCs/>
          <w:w w:val="100"/>
          <w:sz w:val="24"/>
          <w:szCs w:val="24"/>
        </w:rPr>
        <w:t xml:space="preserve"> (</w:t>
      </w:r>
      <w:r w:rsidR="000B03E9" w:rsidRPr="00C13E67">
        <w:rPr>
          <w:rFonts w:eastAsiaTheme="minorEastAsia"/>
          <w:iCs/>
          <w:w w:val="100"/>
          <w:sz w:val="24"/>
          <w:szCs w:val="24"/>
        </w:rPr>
        <w:t>log-rank</w:t>
      </w:r>
      <w:r w:rsidR="00BA68BE">
        <w:rPr>
          <w:rFonts w:eastAsiaTheme="minorEastAsia"/>
          <w:iCs/>
          <w:w w:val="100"/>
          <w:sz w:val="24"/>
          <w:szCs w:val="24"/>
        </w:rPr>
        <w:t xml:space="preserve"> test</w:t>
      </w:r>
      <w:r w:rsidR="000B03E9" w:rsidRPr="00C13E67">
        <w:rPr>
          <w:rFonts w:eastAsiaTheme="minorEastAsia"/>
          <w:iCs/>
          <w:w w:val="100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/>
            <w:w w:val="100"/>
            <w:sz w:val="24"/>
            <w:szCs w:val="24"/>
          </w:rPr>
          <m:t>p=0.62</m:t>
        </m:r>
      </m:oMath>
      <w:r w:rsidR="000B03E9" w:rsidRPr="00C13E67">
        <w:rPr>
          <w:rFonts w:eastAsiaTheme="minorEastAsia"/>
          <w:iCs/>
          <w:w w:val="100"/>
          <w:sz w:val="24"/>
          <w:szCs w:val="24"/>
        </w:rPr>
        <w:t>)</w:t>
      </w:r>
      <w:r w:rsidR="0007330D" w:rsidRPr="00C13E67">
        <w:rPr>
          <w:rFonts w:eastAsiaTheme="minorEastAsia"/>
          <w:iCs/>
          <w:sz w:val="24"/>
          <w:szCs w:val="24"/>
        </w:rPr>
        <w:t xml:space="preserve">. </w:t>
      </w:r>
      <w:r w:rsidR="00BA68BE">
        <w:rPr>
          <w:rFonts w:eastAsiaTheme="minorEastAsia"/>
          <w:iCs/>
          <w:sz w:val="24"/>
          <w:szCs w:val="24"/>
        </w:rPr>
        <w:t xml:space="preserve">Por último, </w:t>
      </w:r>
      <w:r w:rsidR="00BA68BE">
        <w:rPr>
          <w:w w:val="100"/>
          <w:sz w:val="24"/>
          <w:szCs w:val="24"/>
        </w:rPr>
        <w:t>l</w:t>
      </w:r>
      <w:r w:rsidR="00C13E67" w:rsidRPr="00C13E67">
        <w:rPr>
          <w:w w:val="100"/>
          <w:sz w:val="24"/>
          <w:szCs w:val="24"/>
        </w:rPr>
        <w:t xml:space="preserve">a edad avanzada </w:t>
      </w:r>
      <w:r w:rsidR="00BA68BE">
        <w:rPr>
          <w:w w:val="100"/>
          <w:sz w:val="24"/>
          <w:szCs w:val="24"/>
        </w:rPr>
        <w:t>constituye</w:t>
      </w:r>
      <w:r w:rsidR="00C13E67" w:rsidRPr="00C13E67">
        <w:rPr>
          <w:w w:val="100"/>
          <w:sz w:val="24"/>
          <w:szCs w:val="24"/>
        </w:rPr>
        <w:t xml:space="preserve"> un factor de riesgo asociado significativamente a la mortalidad para pacientes </w:t>
      </w:r>
      <w:r w:rsidR="00C13E67" w:rsidRPr="00C13E67">
        <w:rPr>
          <w:w w:val="100"/>
          <w:sz w:val="24"/>
          <w:szCs w:val="24"/>
        </w:rPr>
        <w:t xml:space="preserve">con estancia prolongada en UCI </w:t>
      </w:r>
      <w:r w:rsidR="00C13E67" w:rsidRPr="00C13E67">
        <w:rPr>
          <w:w w:val="100"/>
          <w:sz w:val="24"/>
          <w:szCs w:val="24"/>
        </w:rPr>
        <w:t>(</w:t>
      </w:r>
      <w:r>
        <w:rPr>
          <w:w w:val="100"/>
          <w:sz w:val="24"/>
          <w:szCs w:val="24"/>
        </w:rPr>
        <w:t>HR</w:t>
      </w:r>
      <w:r w:rsidR="00C13E67" w:rsidRPr="00C13E67">
        <w:rPr>
          <w:w w:val="100"/>
          <w:sz w:val="24"/>
          <w:szCs w:val="24"/>
        </w:rPr>
        <w:t xml:space="preserve">: 3.2516 [95% IC: 1.9055 – 5.5485], </w:t>
      </w:r>
      <m:oMath>
        <m:r>
          <w:rPr>
            <w:rFonts w:ascii="Cambria Math" w:eastAsiaTheme="minorEastAsia" w:hAnsi="Cambria Math"/>
            <w:w w:val="100"/>
            <w:sz w:val="24"/>
            <w:szCs w:val="24"/>
          </w:rPr>
          <m:t>p&lt;0.01</m:t>
        </m:r>
      </m:oMath>
      <w:r w:rsidR="00C13E67" w:rsidRPr="00C13E67">
        <w:rPr>
          <w:w w:val="100"/>
          <w:sz w:val="24"/>
          <w:szCs w:val="24"/>
        </w:rPr>
        <w:t xml:space="preserve">). </w:t>
      </w:r>
    </w:p>
    <w:p w14:paraId="75AB390B" w14:textId="6A63D3BA" w:rsidR="0007330D" w:rsidRDefault="0007330D" w:rsidP="00C13E67">
      <w:pPr>
        <w:pStyle w:val="BodyText"/>
        <w:spacing w:after="160" w:line="251" w:lineRule="exact"/>
        <w:ind w:left="0" w:firstLine="426"/>
        <w:rPr>
          <w:rFonts w:eastAsiaTheme="minorEastAsia"/>
          <w:iCs/>
        </w:rPr>
      </w:pPr>
    </w:p>
    <w:p w14:paraId="0F509ADF" w14:textId="77777777" w:rsidR="003F387E" w:rsidRPr="003F387E" w:rsidRDefault="003F387E" w:rsidP="00102E4A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27665A0D" w14:textId="242D5B72" w:rsidR="003F387E" w:rsidRPr="003F387E" w:rsidRDefault="003F387E" w:rsidP="003F387E">
      <w:pPr>
        <w:pStyle w:val="BodyText"/>
        <w:spacing w:before="96" w:after="160" w:line="249" w:lineRule="auto"/>
        <w:ind w:left="0" w:right="-1" w:firstLine="284"/>
        <w:rPr>
          <w:rFonts w:eastAsiaTheme="minorEastAsia"/>
          <w:b/>
          <w:bCs/>
          <w:iCs/>
          <w:w w:val="100"/>
          <w:sz w:val="24"/>
          <w:szCs w:val="24"/>
        </w:rPr>
      </w:pPr>
    </w:p>
    <w:p w14:paraId="52765DFC" w14:textId="77777777" w:rsidR="003F387E" w:rsidRDefault="003F387E" w:rsidP="003F387E">
      <w:pPr>
        <w:pStyle w:val="BodyText"/>
        <w:spacing w:before="96" w:after="160" w:line="249" w:lineRule="auto"/>
        <w:ind w:left="0" w:right="-1" w:firstLine="284"/>
        <w:rPr>
          <w:rFonts w:eastAsiaTheme="minorEastAsia"/>
          <w:iCs/>
          <w:w w:val="100"/>
        </w:rPr>
      </w:pPr>
    </w:p>
    <w:p w14:paraId="0CE592AB" w14:textId="29381A30" w:rsidR="003F387E" w:rsidRPr="003F387E" w:rsidRDefault="003F387E" w:rsidP="00102E4A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14:paraId="308ECDD1" w14:textId="717A994C" w:rsidR="00102E4A" w:rsidRDefault="00102E4A" w:rsidP="00102E4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C4CC1F9" w14:textId="77777777" w:rsidR="00102E4A" w:rsidRPr="0063130F" w:rsidRDefault="00102E4A" w:rsidP="00102E4A">
      <w:pPr>
        <w:pStyle w:val="BodyText"/>
        <w:spacing w:after="160" w:line="251" w:lineRule="exact"/>
        <w:ind w:left="142" w:firstLine="284"/>
        <w:rPr>
          <w:w w:val="100"/>
        </w:rPr>
      </w:pPr>
    </w:p>
    <w:p w14:paraId="0757F8AA" w14:textId="77777777" w:rsidR="00102E4A" w:rsidRPr="0095383B" w:rsidRDefault="00102E4A" w:rsidP="00102E4A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sectPr w:rsidR="00102E4A" w:rsidRPr="0095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3B"/>
    <w:rsid w:val="0005758B"/>
    <w:rsid w:val="0007330D"/>
    <w:rsid w:val="000B03E9"/>
    <w:rsid w:val="000B6AC1"/>
    <w:rsid w:val="00102E4A"/>
    <w:rsid w:val="00112308"/>
    <w:rsid w:val="00365E09"/>
    <w:rsid w:val="003B60B0"/>
    <w:rsid w:val="003F387E"/>
    <w:rsid w:val="00502F38"/>
    <w:rsid w:val="005A625D"/>
    <w:rsid w:val="007676E8"/>
    <w:rsid w:val="00787056"/>
    <w:rsid w:val="007E3628"/>
    <w:rsid w:val="007F42F4"/>
    <w:rsid w:val="0095383B"/>
    <w:rsid w:val="00BA68BE"/>
    <w:rsid w:val="00C13E67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715457"/>
  <w15:chartTrackingRefBased/>
  <w15:docId w15:val="{4B117DF9-97E9-9143-952E-1B701519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2E4A"/>
    <w:pPr>
      <w:widowControl w:val="0"/>
      <w:autoSpaceDE w:val="0"/>
      <w:autoSpaceDN w:val="0"/>
      <w:ind w:left="528"/>
      <w:jc w:val="both"/>
    </w:pPr>
    <w:rPr>
      <w:rFonts w:ascii="Times New Roman" w:hAnsi="Times New Roman" w:cs="Times New Roman"/>
      <w:w w:val="110"/>
      <w:sz w:val="20"/>
      <w:szCs w:val="20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102E4A"/>
    <w:rPr>
      <w:rFonts w:ascii="Times New Roman" w:hAnsi="Times New Roman" w:cs="Times New Roman"/>
      <w:w w:val="11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Barona</dc:creator>
  <cp:keywords/>
  <dc:description/>
  <cp:lastModifiedBy>Sergio Barona</cp:lastModifiedBy>
  <cp:revision>7</cp:revision>
  <dcterms:created xsi:type="dcterms:W3CDTF">2023-07-10T15:13:00Z</dcterms:created>
  <dcterms:modified xsi:type="dcterms:W3CDTF">2023-07-10T20:48:00Z</dcterms:modified>
</cp:coreProperties>
</file>