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40CCA" w14:textId="7981E866" w:rsidR="0072598F" w:rsidRPr="001C76F7" w:rsidRDefault="0072598F" w:rsidP="0072598F">
      <w:pPr>
        <w:pStyle w:val="Title"/>
        <w:spacing w:before="0" w:line="242" w:lineRule="auto"/>
        <w:ind w:left="0" w:right="-24" w:firstLine="0"/>
        <w:rPr>
          <w:sz w:val="40"/>
          <w:szCs w:val="40"/>
        </w:rPr>
      </w:pPr>
      <w:r>
        <w:rPr>
          <w:sz w:val="40"/>
          <w:szCs w:val="40"/>
        </w:rPr>
        <w:t xml:space="preserve">Material suplementario: </w:t>
      </w:r>
      <w:r w:rsidRPr="001C76F7">
        <w:rPr>
          <w:sz w:val="40"/>
          <w:szCs w:val="40"/>
        </w:rPr>
        <w:t>Estancia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prolongada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en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unidades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de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cuidados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intensivos: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análisis</w:t>
      </w:r>
      <w:r w:rsidRPr="001C76F7">
        <w:rPr>
          <w:spacing w:val="3"/>
          <w:sz w:val="40"/>
          <w:szCs w:val="40"/>
        </w:rPr>
        <w:t xml:space="preserve"> </w:t>
      </w:r>
      <w:r w:rsidRPr="001C76F7">
        <w:rPr>
          <w:sz w:val="40"/>
          <w:szCs w:val="40"/>
        </w:rPr>
        <w:t>de</w:t>
      </w:r>
      <w:r w:rsidRPr="001C76F7">
        <w:rPr>
          <w:spacing w:val="2"/>
          <w:sz w:val="40"/>
          <w:szCs w:val="40"/>
        </w:rPr>
        <w:t xml:space="preserve"> </w:t>
      </w:r>
      <w:r w:rsidRPr="001C76F7">
        <w:rPr>
          <w:sz w:val="40"/>
          <w:szCs w:val="40"/>
        </w:rPr>
        <w:t>supervivencia</w:t>
      </w:r>
      <w:r w:rsidRPr="001C76F7">
        <w:rPr>
          <w:spacing w:val="2"/>
          <w:sz w:val="40"/>
          <w:szCs w:val="40"/>
        </w:rPr>
        <w:t xml:space="preserve"> </w:t>
      </w:r>
      <w:r w:rsidRPr="001C76F7">
        <w:rPr>
          <w:sz w:val="40"/>
          <w:szCs w:val="40"/>
        </w:rPr>
        <w:t>para</w:t>
      </w:r>
      <w:r w:rsidRPr="001C76F7">
        <w:rPr>
          <w:spacing w:val="3"/>
          <w:sz w:val="40"/>
          <w:szCs w:val="40"/>
        </w:rPr>
        <w:t xml:space="preserve"> </w:t>
      </w:r>
      <w:r w:rsidRPr="001C76F7">
        <w:rPr>
          <w:sz w:val="40"/>
          <w:szCs w:val="40"/>
        </w:rPr>
        <w:t>paciente</w:t>
      </w:r>
      <w:r>
        <w:rPr>
          <w:sz w:val="40"/>
          <w:szCs w:val="40"/>
        </w:rPr>
        <w:t xml:space="preserve">s críticos </w:t>
      </w:r>
      <w:r w:rsidRPr="001C76F7">
        <w:rPr>
          <w:sz w:val="40"/>
          <w:szCs w:val="40"/>
        </w:rPr>
        <w:t>con</w:t>
      </w:r>
      <w:r w:rsidRPr="001C76F7">
        <w:rPr>
          <w:spacing w:val="47"/>
          <w:sz w:val="40"/>
          <w:szCs w:val="40"/>
        </w:rPr>
        <w:t xml:space="preserve"> </w:t>
      </w:r>
      <w:r w:rsidRPr="001C76F7">
        <w:rPr>
          <w:sz w:val="40"/>
          <w:szCs w:val="40"/>
        </w:rPr>
        <w:t>COVID-19</w:t>
      </w:r>
      <w:r>
        <w:rPr>
          <w:rStyle w:val="FootnoteReference"/>
          <w:sz w:val="40"/>
          <w:szCs w:val="40"/>
        </w:rPr>
        <w:footnoteReference w:id="1"/>
      </w:r>
    </w:p>
    <w:p w14:paraId="28EB6D49" w14:textId="77777777" w:rsidR="0072598F" w:rsidRPr="001C76F7" w:rsidRDefault="0072598F" w:rsidP="0072598F">
      <w:pPr>
        <w:spacing w:before="287" w:after="160" w:line="264" w:lineRule="exact"/>
        <w:ind w:right="1133" w:firstLine="709"/>
        <w:jc w:val="center"/>
        <w:rPr>
          <w:rFonts w:ascii="Cambria" w:hAnsi="Cambria"/>
          <w:w w:val="105"/>
          <w:position w:val="8"/>
          <w:sz w:val="16"/>
        </w:rPr>
      </w:pPr>
      <w:r>
        <w:rPr>
          <w:w w:val="105"/>
          <w:sz w:val="22"/>
        </w:rPr>
        <w:t>Isabel C. García</w:t>
      </w:r>
      <w:r>
        <w:rPr>
          <w:rFonts w:ascii="Cambria" w:hAnsi="Cambria"/>
          <w:w w:val="105"/>
          <w:position w:val="8"/>
          <w:sz w:val="16"/>
        </w:rPr>
        <w:t>∗</w:t>
      </w:r>
      <w:r>
        <w:rPr>
          <w:w w:val="105"/>
          <w:sz w:val="22"/>
        </w:rPr>
        <w:t>,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Abel Álvarez</w:t>
      </w:r>
      <w:r>
        <w:rPr>
          <w:rFonts w:ascii="Cambria" w:hAnsi="Cambria"/>
          <w:w w:val="105"/>
          <w:position w:val="8"/>
          <w:sz w:val="16"/>
        </w:rPr>
        <w:t>†</w:t>
      </w:r>
      <w:r>
        <w:rPr>
          <w:w w:val="105"/>
          <w:sz w:val="22"/>
        </w:rPr>
        <w:t>,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Sergio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A.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Barona</w:t>
      </w:r>
      <w:r>
        <w:rPr>
          <w:rFonts w:ascii="Cambria" w:hAnsi="Cambria"/>
          <w:w w:val="105"/>
          <w:position w:val="8"/>
          <w:sz w:val="16"/>
        </w:rPr>
        <w:t>‡</w:t>
      </w:r>
    </w:p>
    <w:p w14:paraId="6ACC636E" w14:textId="77777777" w:rsidR="0072598F" w:rsidRPr="00A83CF6" w:rsidRDefault="0072598F" w:rsidP="0072598F">
      <w:pPr>
        <w:pStyle w:val="BodyText"/>
        <w:spacing w:line="235" w:lineRule="exact"/>
        <w:ind w:left="0" w:hanging="142"/>
        <w:jc w:val="center"/>
        <w:rPr>
          <w:w w:val="100"/>
        </w:rPr>
      </w:pPr>
      <w:r w:rsidRPr="00A83CF6">
        <w:rPr>
          <w:rFonts w:ascii="Cambria" w:hAnsi="Cambria"/>
          <w:w w:val="100"/>
          <w:position w:val="7"/>
          <w:sz w:val="16"/>
        </w:rPr>
        <w:t>∗</w:t>
      </w:r>
      <w:r w:rsidRPr="00A83CF6">
        <w:rPr>
          <w:rFonts w:ascii="Cambria" w:hAnsi="Cambria"/>
          <w:spacing w:val="28"/>
          <w:w w:val="100"/>
          <w:position w:val="7"/>
          <w:sz w:val="16"/>
        </w:rPr>
        <w:t xml:space="preserve"> </w:t>
      </w:r>
      <w:r w:rsidRPr="00A83CF6">
        <w:rPr>
          <w:w w:val="100"/>
        </w:rPr>
        <w:t>Departamento</w:t>
      </w:r>
      <w:r w:rsidRPr="00A83CF6">
        <w:rPr>
          <w:spacing w:val="36"/>
          <w:w w:val="100"/>
        </w:rPr>
        <w:t xml:space="preserve"> </w:t>
      </w:r>
      <w:r w:rsidRPr="00A83CF6">
        <w:rPr>
          <w:w w:val="100"/>
        </w:rPr>
        <w:t>de</w:t>
      </w:r>
      <w:r w:rsidRPr="00A83CF6">
        <w:rPr>
          <w:spacing w:val="36"/>
          <w:w w:val="100"/>
        </w:rPr>
        <w:t xml:space="preserve"> </w:t>
      </w:r>
      <w:r w:rsidRPr="00A83CF6">
        <w:rPr>
          <w:w w:val="100"/>
        </w:rPr>
        <w:t>Ciencias</w:t>
      </w:r>
      <w:r w:rsidRPr="00A83CF6">
        <w:rPr>
          <w:spacing w:val="36"/>
          <w:w w:val="100"/>
        </w:rPr>
        <w:t xml:space="preserve"> </w:t>
      </w:r>
      <w:r w:rsidRPr="00A83CF6">
        <w:rPr>
          <w:w w:val="100"/>
        </w:rPr>
        <w:t>Naturales</w:t>
      </w:r>
      <w:r w:rsidRPr="00A83CF6">
        <w:rPr>
          <w:spacing w:val="36"/>
          <w:w w:val="100"/>
        </w:rPr>
        <w:t xml:space="preserve"> </w:t>
      </w:r>
      <w:r w:rsidRPr="00A83CF6">
        <w:rPr>
          <w:w w:val="100"/>
        </w:rPr>
        <w:t>y</w:t>
      </w:r>
      <w:r w:rsidRPr="00A83CF6">
        <w:rPr>
          <w:spacing w:val="37"/>
          <w:w w:val="100"/>
        </w:rPr>
        <w:t xml:space="preserve"> </w:t>
      </w:r>
      <w:r w:rsidRPr="00A83CF6">
        <w:rPr>
          <w:w w:val="100"/>
        </w:rPr>
        <w:t>Matemáticas,</w:t>
      </w:r>
      <w:r w:rsidRPr="00A83CF6">
        <w:rPr>
          <w:spacing w:val="36"/>
          <w:w w:val="100"/>
        </w:rPr>
        <w:t xml:space="preserve"> </w:t>
      </w:r>
      <w:r w:rsidRPr="00A83CF6">
        <w:rPr>
          <w:w w:val="100"/>
        </w:rPr>
        <w:t>Pontificia</w:t>
      </w:r>
      <w:r w:rsidRPr="00A83CF6">
        <w:rPr>
          <w:spacing w:val="36"/>
          <w:w w:val="100"/>
        </w:rPr>
        <w:t xml:space="preserve"> </w:t>
      </w:r>
      <w:r w:rsidRPr="00A83CF6">
        <w:rPr>
          <w:w w:val="100"/>
        </w:rPr>
        <w:t>Universidad</w:t>
      </w:r>
      <w:r w:rsidRPr="00A83CF6">
        <w:rPr>
          <w:spacing w:val="36"/>
          <w:w w:val="100"/>
        </w:rPr>
        <w:t xml:space="preserve"> </w:t>
      </w:r>
      <w:r w:rsidRPr="00A83CF6">
        <w:rPr>
          <w:w w:val="100"/>
        </w:rPr>
        <w:t>Javeriana</w:t>
      </w:r>
      <w:r w:rsidRPr="00A83CF6">
        <w:rPr>
          <w:spacing w:val="36"/>
          <w:w w:val="100"/>
        </w:rPr>
        <w:t xml:space="preserve"> </w:t>
      </w:r>
      <w:r w:rsidRPr="00A83CF6">
        <w:rPr>
          <w:w w:val="100"/>
        </w:rPr>
        <w:t>—</w:t>
      </w:r>
      <w:r w:rsidRPr="00A83CF6">
        <w:rPr>
          <w:spacing w:val="37"/>
          <w:w w:val="100"/>
        </w:rPr>
        <w:t xml:space="preserve"> </w:t>
      </w:r>
      <w:r w:rsidRPr="00A83CF6">
        <w:rPr>
          <w:w w:val="100"/>
        </w:rPr>
        <w:t>Cali</w:t>
      </w:r>
    </w:p>
    <w:p w14:paraId="3E0F71F7" w14:textId="77777777" w:rsidR="0072598F" w:rsidRPr="00A83CF6" w:rsidRDefault="0072598F" w:rsidP="0072598F">
      <w:pPr>
        <w:pStyle w:val="BodyText"/>
        <w:spacing w:line="236" w:lineRule="exact"/>
        <w:ind w:left="0" w:hanging="142"/>
        <w:jc w:val="center"/>
        <w:rPr>
          <w:w w:val="100"/>
        </w:rPr>
      </w:pPr>
      <w:r w:rsidRPr="00A83CF6">
        <w:rPr>
          <w:rFonts w:ascii="Cambria" w:hAnsi="Cambria"/>
          <w:w w:val="100"/>
          <w:position w:val="7"/>
          <w:sz w:val="16"/>
        </w:rPr>
        <w:t>†</w:t>
      </w:r>
      <w:r w:rsidRPr="00A83CF6">
        <w:rPr>
          <w:w w:val="100"/>
        </w:rPr>
        <w:t>Departamento</w:t>
      </w:r>
      <w:r w:rsidRPr="00A83CF6">
        <w:rPr>
          <w:spacing w:val="1"/>
          <w:w w:val="100"/>
        </w:rPr>
        <w:t xml:space="preserve"> </w:t>
      </w:r>
      <w:r w:rsidRPr="00A83CF6">
        <w:rPr>
          <w:w w:val="100"/>
        </w:rPr>
        <w:t>de</w:t>
      </w:r>
      <w:r w:rsidRPr="00A83CF6">
        <w:rPr>
          <w:spacing w:val="2"/>
          <w:w w:val="100"/>
        </w:rPr>
        <w:t xml:space="preserve"> </w:t>
      </w:r>
      <w:r w:rsidRPr="00A83CF6">
        <w:rPr>
          <w:w w:val="100"/>
        </w:rPr>
        <w:t>Ciencias</w:t>
      </w:r>
      <w:r w:rsidRPr="00A83CF6">
        <w:rPr>
          <w:spacing w:val="2"/>
          <w:w w:val="100"/>
        </w:rPr>
        <w:t xml:space="preserve"> </w:t>
      </w:r>
      <w:r w:rsidRPr="00A83CF6">
        <w:rPr>
          <w:w w:val="100"/>
        </w:rPr>
        <w:t>Naturales</w:t>
      </w:r>
      <w:r w:rsidRPr="00A83CF6">
        <w:rPr>
          <w:spacing w:val="2"/>
          <w:w w:val="100"/>
        </w:rPr>
        <w:t xml:space="preserve"> </w:t>
      </w:r>
      <w:r w:rsidRPr="00A83CF6">
        <w:rPr>
          <w:w w:val="100"/>
        </w:rPr>
        <w:t>y</w:t>
      </w:r>
      <w:r w:rsidRPr="00A83CF6">
        <w:rPr>
          <w:spacing w:val="2"/>
          <w:w w:val="100"/>
        </w:rPr>
        <w:t xml:space="preserve"> </w:t>
      </w:r>
      <w:r w:rsidRPr="00A83CF6">
        <w:rPr>
          <w:w w:val="100"/>
        </w:rPr>
        <w:t>Matemáticas,</w:t>
      </w:r>
      <w:r w:rsidRPr="00A83CF6">
        <w:rPr>
          <w:spacing w:val="1"/>
          <w:w w:val="100"/>
        </w:rPr>
        <w:t xml:space="preserve"> </w:t>
      </w:r>
      <w:r w:rsidRPr="00A83CF6">
        <w:rPr>
          <w:w w:val="100"/>
        </w:rPr>
        <w:t>Pontificia</w:t>
      </w:r>
      <w:r w:rsidRPr="00A83CF6">
        <w:rPr>
          <w:spacing w:val="2"/>
          <w:w w:val="100"/>
        </w:rPr>
        <w:t xml:space="preserve"> </w:t>
      </w:r>
      <w:r w:rsidRPr="00A83CF6">
        <w:rPr>
          <w:w w:val="100"/>
        </w:rPr>
        <w:t>Universidad</w:t>
      </w:r>
      <w:r w:rsidRPr="00A83CF6">
        <w:rPr>
          <w:spacing w:val="2"/>
          <w:w w:val="100"/>
        </w:rPr>
        <w:t xml:space="preserve"> </w:t>
      </w:r>
      <w:r w:rsidRPr="00A83CF6">
        <w:rPr>
          <w:w w:val="100"/>
        </w:rPr>
        <w:t>Javeriana</w:t>
      </w:r>
      <w:r w:rsidRPr="00A83CF6">
        <w:rPr>
          <w:spacing w:val="2"/>
          <w:w w:val="100"/>
        </w:rPr>
        <w:t xml:space="preserve"> </w:t>
      </w:r>
      <w:r w:rsidRPr="00A83CF6">
        <w:rPr>
          <w:w w:val="100"/>
        </w:rPr>
        <w:t>—</w:t>
      </w:r>
      <w:r w:rsidRPr="00A83CF6">
        <w:rPr>
          <w:spacing w:val="2"/>
          <w:w w:val="100"/>
        </w:rPr>
        <w:t xml:space="preserve"> </w:t>
      </w:r>
      <w:r w:rsidRPr="00A83CF6">
        <w:rPr>
          <w:w w:val="100"/>
        </w:rPr>
        <w:t>Cali</w:t>
      </w:r>
    </w:p>
    <w:p w14:paraId="7193E612" w14:textId="07BD93C6" w:rsidR="0072598F" w:rsidRDefault="0072598F" w:rsidP="0072598F">
      <w:pPr>
        <w:pStyle w:val="BodyText"/>
        <w:spacing w:line="251" w:lineRule="exact"/>
        <w:ind w:left="0" w:hanging="142"/>
        <w:jc w:val="center"/>
        <w:rPr>
          <w:w w:val="100"/>
        </w:rPr>
      </w:pPr>
      <w:r w:rsidRPr="00A83CF6">
        <w:rPr>
          <w:rFonts w:ascii="Cambria" w:hAnsi="Cambria"/>
          <w:w w:val="100"/>
          <w:position w:val="7"/>
          <w:sz w:val="16"/>
        </w:rPr>
        <w:t>‡</w:t>
      </w:r>
      <w:r w:rsidRPr="00A83CF6">
        <w:rPr>
          <w:rFonts w:ascii="Cambria" w:hAnsi="Cambria"/>
          <w:spacing w:val="23"/>
          <w:w w:val="100"/>
          <w:position w:val="7"/>
          <w:sz w:val="16"/>
        </w:rPr>
        <w:t xml:space="preserve"> </w:t>
      </w:r>
      <w:r w:rsidRPr="00A83CF6">
        <w:rPr>
          <w:w w:val="100"/>
        </w:rPr>
        <w:t>Departamento</w:t>
      </w:r>
      <w:r w:rsidRPr="00A83CF6">
        <w:rPr>
          <w:spacing w:val="-1"/>
          <w:w w:val="100"/>
        </w:rPr>
        <w:t xml:space="preserve"> </w:t>
      </w:r>
      <w:r w:rsidRPr="00A83CF6">
        <w:rPr>
          <w:w w:val="100"/>
        </w:rPr>
        <w:t>de Economía,</w:t>
      </w:r>
      <w:r w:rsidRPr="00A83CF6">
        <w:rPr>
          <w:spacing w:val="-1"/>
          <w:w w:val="100"/>
        </w:rPr>
        <w:t xml:space="preserve"> </w:t>
      </w:r>
      <w:r w:rsidRPr="00A83CF6">
        <w:rPr>
          <w:w w:val="100"/>
        </w:rPr>
        <w:t>Pontificia Universidad</w:t>
      </w:r>
      <w:r w:rsidRPr="00A83CF6">
        <w:rPr>
          <w:spacing w:val="-1"/>
          <w:w w:val="100"/>
        </w:rPr>
        <w:t xml:space="preserve"> </w:t>
      </w:r>
      <w:r w:rsidRPr="00A83CF6">
        <w:rPr>
          <w:w w:val="100"/>
        </w:rPr>
        <w:t>Javeriana —</w:t>
      </w:r>
      <w:r w:rsidRPr="00A83CF6">
        <w:rPr>
          <w:spacing w:val="-1"/>
          <w:w w:val="100"/>
        </w:rPr>
        <w:t xml:space="preserve"> </w:t>
      </w:r>
      <w:r w:rsidRPr="00A83CF6">
        <w:rPr>
          <w:w w:val="100"/>
        </w:rPr>
        <w:t>Cali</w:t>
      </w:r>
    </w:p>
    <w:p w14:paraId="0EDAC55C" w14:textId="79D21743" w:rsidR="0072598F" w:rsidRDefault="0072598F" w:rsidP="0072598F">
      <w:pPr>
        <w:pStyle w:val="BodyText"/>
        <w:spacing w:line="251" w:lineRule="exact"/>
        <w:ind w:left="0" w:hanging="142"/>
        <w:jc w:val="center"/>
        <w:rPr>
          <w:w w:val="100"/>
        </w:rPr>
      </w:pPr>
    </w:p>
    <w:p w14:paraId="0BD35210" w14:textId="04677BA3" w:rsidR="0072598F" w:rsidRDefault="0072598F" w:rsidP="0072598F">
      <w:pPr>
        <w:pStyle w:val="BodyText"/>
        <w:numPr>
          <w:ilvl w:val="0"/>
          <w:numId w:val="1"/>
        </w:numPr>
        <w:spacing w:line="251" w:lineRule="exact"/>
        <w:rPr>
          <w:b/>
          <w:bCs/>
          <w:w w:val="100"/>
          <w:sz w:val="24"/>
          <w:szCs w:val="24"/>
        </w:rPr>
      </w:pPr>
      <w:r w:rsidRPr="0072598F">
        <w:rPr>
          <w:b/>
          <w:bCs/>
          <w:w w:val="100"/>
          <w:sz w:val="24"/>
          <w:szCs w:val="24"/>
        </w:rPr>
        <w:t>Análisis descriptivo</w:t>
      </w:r>
    </w:p>
    <w:p w14:paraId="0DB2EDB4" w14:textId="4200BB80" w:rsidR="0072598F" w:rsidRDefault="0072598F" w:rsidP="0072598F">
      <w:pPr>
        <w:pStyle w:val="BodyText"/>
        <w:spacing w:line="251" w:lineRule="exact"/>
        <w:rPr>
          <w:b/>
          <w:bCs/>
          <w:w w:val="100"/>
          <w:sz w:val="24"/>
          <w:szCs w:val="24"/>
        </w:rPr>
      </w:pPr>
    </w:p>
    <w:p w14:paraId="5BBFAEC5" w14:textId="3A688853" w:rsidR="0072598F" w:rsidRPr="008A7C65" w:rsidRDefault="0072598F" w:rsidP="0072598F">
      <w:pPr>
        <w:pStyle w:val="BodyText"/>
        <w:spacing w:line="251" w:lineRule="exact"/>
        <w:ind w:left="0"/>
        <w:rPr>
          <w:color w:val="000000" w:themeColor="text1"/>
          <w:w w:val="100"/>
          <w:sz w:val="24"/>
          <w:szCs w:val="24"/>
          <w:vertAlign w:val="superscript"/>
        </w:rPr>
        <w:sectPr w:rsidR="0072598F" w:rsidRPr="008A7C65" w:rsidSect="005F01D0"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  <w:r w:rsidRPr="008A7C65">
        <w:rPr>
          <w:b/>
          <w:color w:val="000000" w:themeColor="text1"/>
          <w:w w:val="100"/>
          <w:sz w:val="24"/>
          <w:szCs w:val="24"/>
        </w:rPr>
        <w:t>Cuadro S1:</w:t>
      </w:r>
      <w:r w:rsidRPr="008A7C65">
        <w:rPr>
          <w:color w:val="000000" w:themeColor="text1"/>
          <w:w w:val="100"/>
          <w:sz w:val="24"/>
          <w:szCs w:val="24"/>
        </w:rPr>
        <w:t xml:space="preserve"> Prueba no-paramétrica de Mann-</w:t>
      </w:r>
      <w:proofErr w:type="spellStart"/>
      <w:r w:rsidRPr="008A7C65">
        <w:rPr>
          <w:color w:val="000000" w:themeColor="text1"/>
          <w:w w:val="100"/>
          <w:sz w:val="24"/>
          <w:szCs w:val="24"/>
        </w:rPr>
        <w:t>Whitney</w:t>
      </w:r>
      <w:r w:rsidRPr="008A7C65">
        <w:rPr>
          <w:color w:val="000000" w:themeColor="text1"/>
          <w:w w:val="100"/>
          <w:sz w:val="24"/>
          <w:szCs w:val="24"/>
          <w:vertAlign w:val="superscript"/>
        </w:rPr>
        <w:t>a</w:t>
      </w:r>
      <w:proofErr w:type="spellEnd"/>
    </w:p>
    <w:p w14:paraId="63A0903C" w14:textId="77777777" w:rsidR="0072598F" w:rsidRDefault="0072598F" w:rsidP="0072598F">
      <w:pPr>
        <w:pStyle w:val="BodyText"/>
        <w:spacing w:after="160" w:line="251" w:lineRule="exact"/>
        <w:ind w:left="0"/>
        <w:rPr>
          <w:color w:val="000000" w:themeColor="text1"/>
          <w:w w:val="100"/>
          <w:sz w:val="16"/>
          <w:szCs w:val="16"/>
        </w:rPr>
        <w:sectPr w:rsidR="0072598F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tbl>
      <w:tblPr>
        <w:tblStyle w:val="TableGrid"/>
        <w:tblW w:w="7797" w:type="dxa"/>
        <w:jc w:val="center"/>
        <w:tblLook w:val="04A0" w:firstRow="1" w:lastRow="0" w:firstColumn="1" w:lastColumn="0" w:noHBand="0" w:noVBand="1"/>
      </w:tblPr>
      <w:tblGrid>
        <w:gridCol w:w="2897"/>
        <w:gridCol w:w="1232"/>
        <w:gridCol w:w="1116"/>
        <w:gridCol w:w="1276"/>
        <w:gridCol w:w="1276"/>
      </w:tblGrid>
      <w:tr w:rsidR="0072598F" w:rsidRPr="00AE2BFA" w14:paraId="77DE9DBD" w14:textId="56EC7A2C" w:rsidTr="00AE2BFA">
        <w:trPr>
          <w:trHeight w:val="267"/>
          <w:jc w:val="center"/>
        </w:trPr>
        <w:tc>
          <w:tcPr>
            <w:tcW w:w="289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1CA3161" w14:textId="77777777" w:rsidR="0072598F" w:rsidRPr="00AE2BFA" w:rsidRDefault="0072598F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</w:p>
        </w:tc>
        <w:tc>
          <w:tcPr>
            <w:tcW w:w="234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E2FC8A4" w14:textId="60790608" w:rsidR="0072598F" w:rsidRPr="00AE2BFA" w:rsidRDefault="0072598F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Sexo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917CA6B" w14:textId="1D5602F5" w:rsidR="0072598F" w:rsidRPr="00AE2BFA" w:rsidRDefault="0072598F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Condición</w:t>
            </w:r>
          </w:p>
        </w:tc>
      </w:tr>
      <w:tr w:rsidR="0072598F" w:rsidRPr="00AE2BFA" w14:paraId="1EAC4DC5" w14:textId="30BD3BF2" w:rsidTr="00AE2BFA">
        <w:trPr>
          <w:trHeight w:val="267"/>
          <w:jc w:val="center"/>
        </w:trPr>
        <w:tc>
          <w:tcPr>
            <w:tcW w:w="289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5F323AB" w14:textId="77777777" w:rsidR="0072598F" w:rsidRPr="00AE2BFA" w:rsidRDefault="0072598F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BAC2FFD" w14:textId="30025DFA" w:rsidR="0072598F" w:rsidRPr="00AE2BFA" w:rsidRDefault="0072598F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W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7B9C0B9" w14:textId="3E512074" w:rsidR="0072598F" w:rsidRPr="00AE2BFA" w:rsidRDefault="0072598F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valor-p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C233B71" w14:textId="547B5A2E" w:rsidR="0072598F" w:rsidRPr="00AE2BFA" w:rsidRDefault="0072598F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6B17AEB" w14:textId="1822214F" w:rsidR="0072598F" w:rsidRPr="00AE2BFA" w:rsidRDefault="0072598F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valor-p</w:t>
            </w:r>
          </w:p>
        </w:tc>
      </w:tr>
      <w:tr w:rsidR="0072598F" w:rsidRPr="00AE2BFA" w14:paraId="243B4D12" w14:textId="41C57891" w:rsidTr="00AE2BFA">
        <w:trPr>
          <w:trHeight w:val="57"/>
          <w:jc w:val="center"/>
        </w:trPr>
        <w:tc>
          <w:tcPr>
            <w:tcW w:w="289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25654BF" w14:textId="7DB6C13C" w:rsidR="0072598F" w:rsidRPr="00AE2BFA" w:rsidRDefault="0072598F" w:rsidP="0088362C">
            <w:pPr>
              <w:pStyle w:val="BodyText"/>
              <w:spacing w:line="251" w:lineRule="exact"/>
              <w:ind w:left="0"/>
              <w:jc w:val="left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Edad</w:t>
            </w:r>
          </w:p>
        </w:tc>
        <w:tc>
          <w:tcPr>
            <w:tcW w:w="123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4FDEB3E" w14:textId="744CC702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w w:val="100"/>
                <w:sz w:val="16"/>
                <w:szCs w:val="16"/>
                <w:lang w:val="en-US"/>
              </w:rPr>
              <w:t>421 358</w:t>
            </w:r>
          </w:p>
        </w:tc>
        <w:tc>
          <w:tcPr>
            <w:tcW w:w="11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C368AC9" w14:textId="61049142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0,2438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376EBA8" w14:textId="784F1D2D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358 133,5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FAF1B6E" w14:textId="31FB372F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rFonts w:eastAsiaTheme="minorEastAsia"/>
                <w:w w:val="100"/>
                <w:sz w:val="16"/>
                <w:szCs w:val="16"/>
              </w:rPr>
              <w:t>0,000</w:t>
            </w:r>
            <w:r w:rsidRPr="00AE2BFA">
              <w:rPr>
                <w:rFonts w:eastAsiaTheme="minorEastAsia"/>
                <w:w w:val="100"/>
                <w:sz w:val="16"/>
                <w:szCs w:val="16"/>
              </w:rPr>
              <w:t>***</w:t>
            </w:r>
          </w:p>
        </w:tc>
      </w:tr>
      <w:tr w:rsidR="0072598F" w:rsidRPr="00AE2BFA" w14:paraId="7043B83E" w14:textId="7E1B4D81" w:rsidTr="00AE2BFA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5472237E" w14:textId="52258DEF" w:rsidR="0072598F" w:rsidRPr="00AE2BFA" w:rsidRDefault="0072598F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Tiempo de permanencia UCI,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39C88D10" w14:textId="4855931E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426 576,5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5DD8750E" w14:textId="086491C3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0,4673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0F768C" w14:textId="21833F8B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945 516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794D77" w14:textId="72DEF1B9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 xml:space="preserve">0,000 </w:t>
            </w:r>
            <w:r w:rsidRPr="00AE2BFA">
              <w:rPr>
                <w:rFonts w:eastAsiaTheme="minorEastAsia"/>
                <w:w w:val="100"/>
                <w:sz w:val="16"/>
                <w:szCs w:val="16"/>
              </w:rPr>
              <w:t>***</w:t>
            </w:r>
          </w:p>
        </w:tc>
      </w:tr>
      <w:tr w:rsidR="0072598F" w:rsidRPr="00AE2BFA" w14:paraId="526CAD5C" w14:textId="035D9144" w:rsidTr="00AE2BFA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660E1822" w14:textId="0D501782" w:rsidR="0072598F" w:rsidRPr="00AE2BFA" w:rsidRDefault="0072598F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Tiempo desde el inicio de síntomas hasta la admisión en UCI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45C0D02E" w14:textId="7914CEBC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459 781,5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10FF49E8" w14:textId="7CA23728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0,0385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CC310EA" w14:textId="4D70DD71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470 060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9A9FF1" w14:textId="59BDA05D" w:rsidR="0072598F" w:rsidRPr="00AE2BFA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>0.8275</w:t>
            </w:r>
          </w:p>
        </w:tc>
      </w:tr>
      <w:tr w:rsidR="0072598F" w:rsidRPr="00AE2BFA" w14:paraId="20CEBA71" w14:textId="41F6A9E8" w:rsidTr="00AE2BFA">
        <w:trPr>
          <w:trHeight w:val="57"/>
          <w:jc w:val="center"/>
        </w:trPr>
        <w:tc>
          <w:tcPr>
            <w:tcW w:w="6521" w:type="dxa"/>
            <w:gridSpan w:val="4"/>
            <w:tcBorders>
              <w:top w:val="nil"/>
              <w:left w:val="nil"/>
              <w:right w:val="nil"/>
            </w:tcBorders>
          </w:tcPr>
          <w:p w14:paraId="2E437FC9" w14:textId="2FA8DD0F" w:rsidR="0072598F" w:rsidRPr="00AE2BFA" w:rsidRDefault="0072598F" w:rsidP="0088362C">
            <w:pPr>
              <w:pStyle w:val="BodyText"/>
              <w:spacing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AE2BFA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a</w:t>
            </w:r>
            <w:r w:rsidRPr="00AE2BFA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Hipótesis</w:t>
            </w:r>
            <w:proofErr w:type="spellEnd"/>
            <w:r w:rsidRPr="00AE2BFA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 xml:space="preserve"> nula: </w:t>
            </w:r>
            <w:r w:rsidRPr="00AE2BFA">
              <w:rPr>
                <w:color w:val="000000" w:themeColor="text1"/>
                <w:w w:val="100"/>
                <w:sz w:val="16"/>
                <w:szCs w:val="16"/>
              </w:rPr>
              <w:t xml:space="preserve">ambas poblaciones tienen distribuciones idénticas. </w:t>
            </w:r>
          </w:p>
          <w:p w14:paraId="6E8A01EE" w14:textId="1E6AA46A" w:rsidR="0072598F" w:rsidRPr="00AE2BFA" w:rsidRDefault="0072598F" w:rsidP="0088362C">
            <w:pPr>
              <w:pStyle w:val="BodyText"/>
              <w:spacing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AE2BFA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b</w:t>
            </w:r>
            <w:r w:rsidRPr="00AE2BFA">
              <w:rPr>
                <w:color w:val="000000" w:themeColor="text1"/>
                <w:w w:val="100"/>
                <w:sz w:val="16"/>
                <w:szCs w:val="16"/>
              </w:rPr>
              <w:t>Sexo</w:t>
            </w:r>
            <w:proofErr w:type="spellEnd"/>
            <w:r w:rsidRPr="00AE2BFA">
              <w:rPr>
                <w:color w:val="000000" w:themeColor="text1"/>
                <w:w w:val="100"/>
                <w:sz w:val="16"/>
                <w:szCs w:val="16"/>
              </w:rPr>
              <w:t xml:space="preserve"> = 1 si es femenino, 0 si es masculino</w:t>
            </w:r>
          </w:p>
          <w:p w14:paraId="2DEE5E49" w14:textId="5DC1E6CE" w:rsidR="0072598F" w:rsidRPr="00AE2BFA" w:rsidRDefault="0072598F" w:rsidP="0072598F">
            <w:pPr>
              <w:pStyle w:val="BodyText"/>
              <w:spacing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AE2BFA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c</w:t>
            </w:r>
            <w:r w:rsidRPr="00AE2BFA">
              <w:rPr>
                <w:color w:val="000000" w:themeColor="text1"/>
                <w:w w:val="100"/>
                <w:sz w:val="16"/>
                <w:szCs w:val="16"/>
              </w:rPr>
              <w:t>Condición</w:t>
            </w:r>
            <w:proofErr w:type="spellEnd"/>
            <w:r w:rsidRPr="00AE2BFA">
              <w:rPr>
                <w:color w:val="000000" w:themeColor="text1"/>
                <w:w w:val="100"/>
                <w:sz w:val="16"/>
                <w:szCs w:val="16"/>
              </w:rPr>
              <w:t xml:space="preserve"> = 1 si pertenece al grupo de pacientes CC (</w:t>
            </w:r>
            <m:oMath>
              <m:r>
                <w:rPr>
                  <w:rFonts w:ascii="Cambria Math" w:hAnsi="Cambria Math"/>
                  <w:color w:val="000000" w:themeColor="text1"/>
                  <w:w w:val="100"/>
                  <w:sz w:val="16"/>
                  <w:szCs w:val="16"/>
                </w:rPr>
                <m:t>T≥21</m:t>
              </m:r>
            </m:oMath>
            <w:r w:rsidRPr="00AE2BFA">
              <w:rPr>
                <w:color w:val="000000" w:themeColor="text1"/>
                <w:w w:val="100"/>
                <w:sz w:val="16"/>
                <w:szCs w:val="16"/>
              </w:rPr>
              <w:t>); 0 si pertenece al grupo no-CC (</w:t>
            </w:r>
            <m:oMath>
              <m:r>
                <w:rPr>
                  <w:rFonts w:ascii="Cambria Math" w:hAnsi="Cambria Math"/>
                  <w:color w:val="000000" w:themeColor="text1"/>
                  <w:w w:val="100"/>
                  <w:sz w:val="16"/>
                  <w:szCs w:val="16"/>
                </w:rPr>
                <m:t>T&lt;21</m:t>
              </m:r>
            </m:oMath>
            <w:r w:rsidRPr="00AE2BFA">
              <w:rPr>
                <w:color w:val="000000" w:themeColor="text1"/>
                <w:w w:val="100"/>
                <w:sz w:val="16"/>
                <w:szCs w:val="16"/>
              </w:rPr>
              <w:t>).</w:t>
            </w:r>
          </w:p>
          <w:p w14:paraId="370C532E" w14:textId="13EEFA63" w:rsidR="0072598F" w:rsidRPr="00AE2BFA" w:rsidRDefault="0072598F" w:rsidP="0088362C">
            <w:pPr>
              <w:pStyle w:val="BodyText"/>
              <w:spacing w:line="251" w:lineRule="exact"/>
              <w:ind w:left="0"/>
              <w:rPr>
                <w:rFonts w:eastAsiaTheme="minorEastAsia"/>
                <w:w w:val="100"/>
                <w:sz w:val="16"/>
                <w:szCs w:val="16"/>
              </w:rPr>
            </w:pPr>
            <w:proofErr w:type="spellStart"/>
            <w:r w:rsidRPr="00AE2BFA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d</w:t>
            </w:r>
            <w:r w:rsidRPr="00AE2BFA">
              <w:rPr>
                <w:color w:val="000000" w:themeColor="text1"/>
                <w:w w:val="100"/>
                <w:sz w:val="16"/>
                <w:szCs w:val="16"/>
              </w:rPr>
              <w:t>W</w:t>
            </w:r>
            <w:proofErr w:type="spellEnd"/>
            <w:r w:rsidRPr="00AE2BFA">
              <w:rPr>
                <w:color w:val="000000" w:themeColor="text1"/>
                <w:w w:val="100"/>
                <w:sz w:val="16"/>
                <w:szCs w:val="16"/>
              </w:rPr>
              <w:t xml:space="preserve"> = estadístico asociado a la prueba (</w:t>
            </w:r>
            <w:r w:rsidRPr="00AE2BFA">
              <w:rPr>
                <w:rFonts w:eastAsiaTheme="minorEastAsia"/>
                <w:w w:val="100"/>
                <w:sz w:val="16"/>
                <w:szCs w:val="16"/>
              </w:rPr>
              <w:t>***valor-p &lt; 0,01, **valor-p &lt; 0,05, *valor-p &lt; 0,1).</w:t>
            </w:r>
          </w:p>
          <w:p w14:paraId="3F790557" w14:textId="77777777" w:rsidR="0072598F" w:rsidRPr="00AE2BFA" w:rsidRDefault="0072598F" w:rsidP="0088362C">
            <w:pPr>
              <w:pStyle w:val="BodyText"/>
              <w:spacing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AE2BFA">
              <w:rPr>
                <w:color w:val="000000" w:themeColor="text1"/>
                <w:w w:val="100"/>
                <w:sz w:val="16"/>
                <w:szCs w:val="16"/>
              </w:rPr>
              <w:t xml:space="preserve">Cálculos con base en los reportes diarios publicados por el Instituto Nacional de Salud. Período de estudio: </w:t>
            </w:r>
            <w:r w:rsidRPr="00AE2BFA">
              <w:rPr>
                <w:w w:val="100"/>
                <w:sz w:val="16"/>
                <w:szCs w:val="16"/>
              </w:rPr>
              <w:t>20/04/2020 – 30/10/2021.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2EE0FC74" w14:textId="77777777" w:rsidR="0072598F" w:rsidRPr="00AE2BFA" w:rsidRDefault="0072598F" w:rsidP="0088362C">
            <w:pPr>
              <w:pStyle w:val="BodyText"/>
              <w:spacing w:line="251" w:lineRule="exact"/>
              <w:ind w:left="0"/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</w:pPr>
          </w:p>
        </w:tc>
      </w:tr>
    </w:tbl>
    <w:p w14:paraId="192C9E39" w14:textId="77777777" w:rsidR="00AE2BFA" w:rsidRDefault="00AE2BFA" w:rsidP="00AE2BFA">
      <w:pPr>
        <w:pStyle w:val="BodyText"/>
        <w:spacing w:after="160" w:line="251" w:lineRule="exact"/>
        <w:ind w:left="0"/>
        <w:rPr>
          <w:color w:val="000000" w:themeColor="text1"/>
          <w:w w:val="100"/>
        </w:rPr>
      </w:pPr>
    </w:p>
    <w:p w14:paraId="3277C09C" w14:textId="77777777" w:rsidR="00AE2BFA" w:rsidRDefault="00AE2BFA" w:rsidP="0072598F">
      <w:pPr>
        <w:pStyle w:val="BodyText"/>
        <w:spacing w:after="160" w:line="251" w:lineRule="exact"/>
        <w:rPr>
          <w:color w:val="000000" w:themeColor="text1"/>
          <w:w w:val="100"/>
        </w:rPr>
      </w:pPr>
    </w:p>
    <w:p w14:paraId="3724F2A5" w14:textId="04CB162A" w:rsidR="00AE2BFA" w:rsidRPr="008A7C65" w:rsidRDefault="00AE2BFA" w:rsidP="00AE2BFA">
      <w:pPr>
        <w:pStyle w:val="BodyText"/>
        <w:spacing w:line="251" w:lineRule="exact"/>
        <w:ind w:left="0"/>
        <w:rPr>
          <w:color w:val="000000" w:themeColor="text1"/>
          <w:w w:val="100"/>
          <w:sz w:val="24"/>
          <w:szCs w:val="24"/>
          <w:vertAlign w:val="superscript"/>
        </w:rPr>
        <w:sectPr w:rsidR="00AE2BFA" w:rsidRPr="008A7C65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  <w:r w:rsidRPr="008A7C65">
        <w:rPr>
          <w:b/>
          <w:color w:val="000000" w:themeColor="text1"/>
          <w:w w:val="100"/>
          <w:sz w:val="24"/>
          <w:szCs w:val="24"/>
        </w:rPr>
        <w:t>Cuadro S2:</w:t>
      </w:r>
      <w:r w:rsidRPr="008A7C65">
        <w:rPr>
          <w:color w:val="000000" w:themeColor="text1"/>
          <w:w w:val="100"/>
          <w:sz w:val="24"/>
          <w:szCs w:val="24"/>
        </w:rPr>
        <w:t xml:space="preserve"> Prueba de normalidad de </w:t>
      </w:r>
      <w:proofErr w:type="spellStart"/>
      <w:r w:rsidRPr="008A7C65">
        <w:rPr>
          <w:color w:val="000000" w:themeColor="text1"/>
          <w:w w:val="100"/>
          <w:sz w:val="24"/>
          <w:szCs w:val="24"/>
        </w:rPr>
        <w:t>Shapiro-Wilk</w:t>
      </w:r>
      <w:r w:rsidRPr="008A7C65">
        <w:rPr>
          <w:color w:val="000000" w:themeColor="text1"/>
          <w:w w:val="100"/>
          <w:sz w:val="24"/>
          <w:szCs w:val="24"/>
          <w:vertAlign w:val="superscript"/>
        </w:rPr>
        <w:t>a</w:t>
      </w:r>
      <w:proofErr w:type="spellEnd"/>
    </w:p>
    <w:p w14:paraId="1F7D72D8" w14:textId="77777777" w:rsidR="00AE2BFA" w:rsidRDefault="00AE2BFA" w:rsidP="00AE2BFA">
      <w:pPr>
        <w:pStyle w:val="BodyText"/>
        <w:spacing w:after="160" w:line="251" w:lineRule="exact"/>
        <w:ind w:left="0"/>
        <w:rPr>
          <w:color w:val="000000" w:themeColor="text1"/>
          <w:w w:val="100"/>
          <w:sz w:val="16"/>
          <w:szCs w:val="16"/>
        </w:rPr>
        <w:sectPr w:rsidR="00AE2BFA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tbl>
      <w:tblPr>
        <w:tblStyle w:val="TableGrid"/>
        <w:tblW w:w="7797" w:type="dxa"/>
        <w:jc w:val="center"/>
        <w:tblLook w:val="04A0" w:firstRow="1" w:lastRow="0" w:firstColumn="1" w:lastColumn="0" w:noHBand="0" w:noVBand="1"/>
      </w:tblPr>
      <w:tblGrid>
        <w:gridCol w:w="2897"/>
        <w:gridCol w:w="1232"/>
        <w:gridCol w:w="1116"/>
        <w:gridCol w:w="1276"/>
        <w:gridCol w:w="1276"/>
      </w:tblGrid>
      <w:tr w:rsidR="005F01D0" w:rsidRPr="00277858" w14:paraId="30F7F6F9" w14:textId="77777777" w:rsidTr="0011347A">
        <w:trPr>
          <w:trHeight w:val="267"/>
          <w:jc w:val="center"/>
        </w:trPr>
        <w:tc>
          <w:tcPr>
            <w:tcW w:w="289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8861ED3" w14:textId="77777777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C593A3A" w14:textId="37864DC8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Skewness</w:t>
            </w:r>
            <w:proofErr w:type="spellEnd"/>
          </w:p>
        </w:tc>
        <w:tc>
          <w:tcPr>
            <w:tcW w:w="111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61B980A" w14:textId="76713548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Kurtosis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BA490B9" w14:textId="0FA56875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W</w:t>
            </w:r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350E1EC" w14:textId="77777777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valor-p</w:t>
            </w:r>
          </w:p>
        </w:tc>
      </w:tr>
      <w:tr w:rsidR="00AE2BFA" w:rsidRPr="00277858" w14:paraId="01B85F8C" w14:textId="77777777" w:rsidTr="0088362C">
        <w:trPr>
          <w:trHeight w:val="57"/>
          <w:jc w:val="center"/>
        </w:trPr>
        <w:tc>
          <w:tcPr>
            <w:tcW w:w="289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3CA78F0" w14:textId="77777777" w:rsidR="00AE2BFA" w:rsidRPr="00277858" w:rsidRDefault="00AE2BFA" w:rsidP="0088362C">
            <w:pPr>
              <w:pStyle w:val="BodyText"/>
              <w:spacing w:line="251" w:lineRule="exact"/>
              <w:ind w:left="0"/>
              <w:jc w:val="left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>Edad</w:t>
            </w:r>
          </w:p>
        </w:tc>
        <w:tc>
          <w:tcPr>
            <w:tcW w:w="123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98E57CA" w14:textId="7F64C899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w w:val="100"/>
                <w:sz w:val="16"/>
                <w:szCs w:val="16"/>
                <w:lang w:val="en-US"/>
              </w:rPr>
              <w:t>−0,7328</w:t>
            </w:r>
          </w:p>
        </w:tc>
        <w:tc>
          <w:tcPr>
            <w:tcW w:w="11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4CAE0F5" w14:textId="07D13181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w w:val="100"/>
                <w:sz w:val="16"/>
                <w:szCs w:val="16"/>
                <w:lang w:val="en-US"/>
              </w:rPr>
              <w:t>3,3296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6250B84" w14:textId="0D1F60CC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w w:val="100"/>
                <w:sz w:val="16"/>
                <w:szCs w:val="16"/>
                <w:lang w:val="en-US"/>
              </w:rPr>
              <w:t>0,9623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637B219" w14:textId="232690AD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rFonts w:eastAsiaTheme="minorEastAsia"/>
                <w:w w:val="100"/>
                <w:sz w:val="16"/>
                <w:szCs w:val="16"/>
              </w:rPr>
              <w:t>0,000***</w:t>
            </w:r>
          </w:p>
        </w:tc>
      </w:tr>
      <w:tr w:rsidR="00AE2BFA" w:rsidRPr="00277858" w14:paraId="7F483A8A" w14:textId="77777777" w:rsidTr="0088362C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9363802" w14:textId="77777777" w:rsidR="00AE2BFA" w:rsidRPr="00277858" w:rsidRDefault="00AE2BFA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>Tiempo de permanencia UCI,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500F5668" w14:textId="58709243" w:rsidR="00AE2BFA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w w:val="100"/>
                <w:sz w:val="16"/>
                <w:szCs w:val="16"/>
                <w:lang w:val="en-US"/>
              </w:rPr>
              <w:t>2,2575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772AEAB" w14:textId="4B0D7725" w:rsidR="00AE2BFA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w w:val="100"/>
                <w:sz w:val="16"/>
                <w:szCs w:val="16"/>
                <w:lang w:val="en-US"/>
              </w:rPr>
              <w:t>8,4785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5A3BCA0" w14:textId="329805B3" w:rsidR="00AE2BFA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w w:val="100"/>
                <w:sz w:val="16"/>
                <w:szCs w:val="16"/>
                <w:lang w:val="en-US"/>
              </w:rPr>
              <w:t>0,7129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880C2E" w14:textId="3627C9F0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rFonts w:eastAsiaTheme="minorEastAsia"/>
                <w:w w:val="100"/>
                <w:sz w:val="16"/>
                <w:szCs w:val="16"/>
              </w:rPr>
              <w:t>0,000***</w:t>
            </w:r>
          </w:p>
        </w:tc>
      </w:tr>
      <w:tr w:rsidR="00AE2BFA" w:rsidRPr="00277858" w14:paraId="3B743455" w14:textId="77777777" w:rsidTr="0088362C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0FACDD3" w14:textId="77777777" w:rsidR="00AE2BFA" w:rsidRPr="00277858" w:rsidRDefault="00AE2BFA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>Tiempo desde el inicio de síntomas hasta la admisión en UCI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00B6DDB7" w14:textId="71A7F7C4" w:rsidR="00AE2BFA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w w:val="100"/>
                <w:sz w:val="16"/>
                <w:szCs w:val="16"/>
                <w:lang w:val="en-US"/>
              </w:rPr>
              <w:t>2,8088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02646297" w14:textId="53D91BD4" w:rsidR="00AE2BFA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w w:val="100"/>
                <w:sz w:val="16"/>
                <w:szCs w:val="16"/>
                <w:lang w:val="en-US"/>
              </w:rPr>
              <w:t>15,3450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26FBAB" w14:textId="2E8E4925" w:rsidR="00AE2BFA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w w:val="100"/>
                <w:sz w:val="16"/>
                <w:szCs w:val="16"/>
                <w:lang w:val="en-US"/>
              </w:rPr>
              <w:t>0,7498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91B907" w14:textId="0B91B587" w:rsidR="00AE2BFA" w:rsidRPr="00277858" w:rsidRDefault="00AE2BFA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>0,000</w:t>
            </w:r>
            <w:r w:rsidRPr="00277858">
              <w:rPr>
                <w:rFonts w:eastAsiaTheme="minorEastAsia"/>
                <w:w w:val="100"/>
                <w:sz w:val="16"/>
                <w:szCs w:val="16"/>
              </w:rPr>
              <w:t>***</w:t>
            </w:r>
          </w:p>
        </w:tc>
      </w:tr>
      <w:tr w:rsidR="00AE2BFA" w:rsidRPr="00277858" w14:paraId="228F4894" w14:textId="77777777" w:rsidTr="0011347A">
        <w:trPr>
          <w:trHeight w:val="57"/>
          <w:jc w:val="center"/>
        </w:trPr>
        <w:tc>
          <w:tcPr>
            <w:tcW w:w="6521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4088534" w14:textId="73A65758" w:rsidR="00AE2BFA" w:rsidRPr="00277858" w:rsidRDefault="00AE2BFA" w:rsidP="0088362C">
            <w:pPr>
              <w:pStyle w:val="BodyText"/>
              <w:spacing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a</w:t>
            </w:r>
            <w:r w:rsidRPr="00277858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Hipótesis</w:t>
            </w:r>
            <w:proofErr w:type="spellEnd"/>
            <w:r w:rsidRPr="00277858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 xml:space="preserve"> nula: </w:t>
            </w:r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 la muestra proviene de una distribución gaussiana.</w:t>
            </w:r>
          </w:p>
          <w:p w14:paraId="4DA0FD52" w14:textId="5847AE4A" w:rsidR="00AE2BFA" w:rsidRPr="00277858" w:rsidRDefault="00AE2BFA" w:rsidP="0088362C">
            <w:pPr>
              <w:pStyle w:val="BodyText"/>
              <w:spacing w:line="251" w:lineRule="exact"/>
              <w:ind w:left="0"/>
              <w:rPr>
                <w:rFonts w:eastAsiaTheme="minorEastAsia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b</w:t>
            </w:r>
            <w:r w:rsidRPr="00277858">
              <w:rPr>
                <w:color w:val="000000" w:themeColor="text1"/>
                <w:w w:val="100"/>
                <w:sz w:val="16"/>
                <w:szCs w:val="16"/>
              </w:rPr>
              <w:t>W</w:t>
            </w:r>
            <w:proofErr w:type="spellEnd"/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 = estadístico asociado a la prueba (</w:t>
            </w:r>
            <w:r w:rsidRPr="00277858">
              <w:rPr>
                <w:rFonts w:eastAsiaTheme="minorEastAsia"/>
                <w:w w:val="100"/>
                <w:sz w:val="16"/>
                <w:szCs w:val="16"/>
              </w:rPr>
              <w:t>***valor-p &lt; 0,01, **valor-p &lt; 0,05, *valor-p &lt; 0,1).</w:t>
            </w:r>
          </w:p>
          <w:p w14:paraId="3423225C" w14:textId="77777777" w:rsidR="00AE2BFA" w:rsidRPr="00277858" w:rsidRDefault="00AE2BFA" w:rsidP="0088362C">
            <w:pPr>
              <w:pStyle w:val="BodyText"/>
              <w:spacing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Cálculos con base en los reportes diarios publicados por el Instituto Nacional de Salud. Período de estudio: </w:t>
            </w:r>
            <w:r w:rsidRPr="00277858">
              <w:rPr>
                <w:w w:val="100"/>
                <w:sz w:val="16"/>
                <w:szCs w:val="16"/>
              </w:rPr>
              <w:t>20/04/2020 – 30/10/2021.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2E9E8A8" w14:textId="77777777" w:rsidR="00AE2BFA" w:rsidRPr="00277858" w:rsidRDefault="00AE2BFA" w:rsidP="0088362C">
            <w:pPr>
              <w:pStyle w:val="BodyText"/>
              <w:spacing w:line="251" w:lineRule="exact"/>
              <w:ind w:left="0"/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</w:pPr>
          </w:p>
        </w:tc>
      </w:tr>
    </w:tbl>
    <w:p w14:paraId="0BEFE844" w14:textId="77777777" w:rsidR="00AE2BFA" w:rsidRDefault="00AE2BFA" w:rsidP="00277858">
      <w:pPr>
        <w:pStyle w:val="BodyText"/>
        <w:spacing w:after="160" w:line="251" w:lineRule="exact"/>
        <w:ind w:left="0"/>
        <w:rPr>
          <w:color w:val="000000" w:themeColor="text1"/>
          <w:w w:val="100"/>
        </w:rPr>
      </w:pPr>
    </w:p>
    <w:p w14:paraId="0DAE358C" w14:textId="22444415" w:rsidR="00277858" w:rsidRPr="008A7C65" w:rsidRDefault="00277858" w:rsidP="00277858">
      <w:pPr>
        <w:pStyle w:val="BodyText"/>
        <w:spacing w:line="251" w:lineRule="exact"/>
        <w:ind w:left="0"/>
        <w:rPr>
          <w:color w:val="000000" w:themeColor="text1"/>
          <w:w w:val="100"/>
          <w:sz w:val="24"/>
          <w:szCs w:val="24"/>
          <w:vertAlign w:val="superscript"/>
        </w:rPr>
        <w:sectPr w:rsidR="00277858" w:rsidRPr="008A7C65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  <w:r w:rsidRPr="008A7C65">
        <w:rPr>
          <w:b/>
          <w:color w:val="000000" w:themeColor="text1"/>
          <w:w w:val="100"/>
          <w:sz w:val="24"/>
          <w:szCs w:val="24"/>
        </w:rPr>
        <w:t>Cuadro S3:</w:t>
      </w:r>
      <w:r w:rsidRPr="008A7C65">
        <w:rPr>
          <w:color w:val="000000" w:themeColor="text1"/>
          <w:w w:val="100"/>
          <w:sz w:val="24"/>
          <w:szCs w:val="24"/>
        </w:rPr>
        <w:t xml:space="preserve"> Prueba </w:t>
      </w:r>
      <w:r w:rsidRPr="008A7C65">
        <w:rPr>
          <w:color w:val="000000" w:themeColor="text1"/>
          <w:w w:val="100"/>
          <w:sz w:val="24"/>
          <w:szCs w:val="24"/>
          <w:lang w:val="el-GR"/>
        </w:rPr>
        <w:t>χ</w:t>
      </w:r>
      <w:r w:rsidRPr="008A7C65">
        <w:rPr>
          <w:color w:val="000000" w:themeColor="text1"/>
          <w:w w:val="100"/>
          <w:sz w:val="24"/>
          <w:szCs w:val="24"/>
          <w:vertAlign w:val="superscript"/>
        </w:rPr>
        <w:t>2</w:t>
      </w:r>
      <w:r w:rsidRPr="008A7C65">
        <w:rPr>
          <w:color w:val="000000" w:themeColor="text1"/>
          <w:w w:val="100"/>
          <w:sz w:val="24"/>
          <w:szCs w:val="24"/>
        </w:rPr>
        <w:t xml:space="preserve"> de </w:t>
      </w:r>
      <w:proofErr w:type="spellStart"/>
      <w:r w:rsidRPr="008A7C65">
        <w:rPr>
          <w:color w:val="000000" w:themeColor="text1"/>
          <w:w w:val="100"/>
          <w:sz w:val="24"/>
          <w:szCs w:val="24"/>
        </w:rPr>
        <w:t>independencia</w:t>
      </w:r>
      <w:r w:rsidRPr="008A7C65">
        <w:rPr>
          <w:color w:val="000000" w:themeColor="text1"/>
          <w:w w:val="100"/>
          <w:sz w:val="24"/>
          <w:szCs w:val="24"/>
          <w:vertAlign w:val="superscript"/>
        </w:rPr>
        <w:t>a</w:t>
      </w:r>
      <w:proofErr w:type="spellEnd"/>
    </w:p>
    <w:p w14:paraId="6F490237" w14:textId="77777777" w:rsidR="00277858" w:rsidRDefault="00277858" w:rsidP="00277858">
      <w:pPr>
        <w:pStyle w:val="BodyText"/>
        <w:spacing w:after="160" w:line="251" w:lineRule="exact"/>
        <w:ind w:left="0"/>
        <w:rPr>
          <w:color w:val="000000" w:themeColor="text1"/>
          <w:w w:val="100"/>
          <w:sz w:val="16"/>
          <w:szCs w:val="16"/>
        </w:rPr>
        <w:sectPr w:rsidR="00277858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tbl>
      <w:tblPr>
        <w:tblStyle w:val="TableGrid"/>
        <w:tblW w:w="7797" w:type="dxa"/>
        <w:jc w:val="center"/>
        <w:tblLook w:val="04A0" w:firstRow="1" w:lastRow="0" w:firstColumn="1" w:lastColumn="0" w:noHBand="0" w:noVBand="1"/>
      </w:tblPr>
      <w:tblGrid>
        <w:gridCol w:w="2897"/>
        <w:gridCol w:w="1232"/>
        <w:gridCol w:w="1116"/>
        <w:gridCol w:w="1276"/>
        <w:gridCol w:w="1276"/>
      </w:tblGrid>
      <w:tr w:rsidR="005F01D0" w:rsidRPr="00277858" w14:paraId="61C51D4E" w14:textId="77777777" w:rsidTr="0011347A">
        <w:trPr>
          <w:trHeight w:val="267"/>
          <w:jc w:val="center"/>
        </w:trPr>
        <w:tc>
          <w:tcPr>
            <w:tcW w:w="289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EE6E753" w14:textId="0741E84C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color w:val="000000" w:themeColor="text1"/>
                <w:w w:val="100"/>
                <w:sz w:val="16"/>
                <w:szCs w:val="16"/>
              </w:rPr>
              <w:t>Variable 1</w:t>
            </w:r>
          </w:p>
        </w:tc>
        <w:tc>
          <w:tcPr>
            <w:tcW w:w="123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B4531FE" w14:textId="0DC58A49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>Variable 2</w:t>
            </w:r>
          </w:p>
        </w:tc>
        <w:tc>
          <w:tcPr>
            <w:tcW w:w="111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89BCB1F" w14:textId="38D0F9D4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r>
              <w:rPr>
                <w:color w:val="000000" w:themeColor="text1"/>
                <w:w w:val="100"/>
                <w:sz w:val="18"/>
                <w:szCs w:val="18"/>
                <w:lang w:val="el-GR"/>
              </w:rPr>
              <w:t>χ</w:t>
            </w:r>
            <w:r w:rsidRPr="00277858">
              <w:rPr>
                <w:color w:val="000000" w:themeColor="text1"/>
                <w:w w:val="1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BCC22AD" w14:textId="592D6433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</w:rPr>
              <w:t>gl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15B2C73" w14:textId="6D1BA3B5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>valor-p</w:t>
            </w:r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 xml:space="preserve"> e</w:t>
            </w:r>
          </w:p>
        </w:tc>
      </w:tr>
      <w:tr w:rsidR="00277858" w:rsidRPr="00277858" w14:paraId="661D38C5" w14:textId="77777777" w:rsidTr="0088362C">
        <w:trPr>
          <w:trHeight w:val="57"/>
          <w:jc w:val="center"/>
        </w:trPr>
        <w:tc>
          <w:tcPr>
            <w:tcW w:w="289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20217E5" w14:textId="60F5D7E1" w:rsidR="00277858" w:rsidRPr="00277858" w:rsidRDefault="00277858" w:rsidP="0088362C">
            <w:pPr>
              <w:pStyle w:val="BodyText"/>
              <w:spacing w:line="251" w:lineRule="exact"/>
              <w:ind w:left="0"/>
              <w:jc w:val="left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w w:val="100"/>
                <w:sz w:val="16"/>
                <w:szCs w:val="16"/>
              </w:rPr>
              <w:t>Sexo</w:t>
            </w:r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55B8EE0" w14:textId="2008AE34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>
              <w:rPr>
                <w:w w:val="100"/>
                <w:sz w:val="16"/>
                <w:szCs w:val="16"/>
                <w:lang w:val="en-US"/>
              </w:rPr>
              <w:t>Condición</w:t>
            </w:r>
            <w:proofErr w:type="spellEnd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1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484E352" w14:textId="59BE6EEB" w:rsidR="00277858" w:rsidRPr="00277858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color w:val="000000" w:themeColor="text1"/>
                <w:w w:val="100"/>
                <w:sz w:val="16"/>
                <w:szCs w:val="16"/>
              </w:rPr>
              <w:t>0,0078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9118042" w14:textId="43B19ECB" w:rsidR="00277858" w:rsidRPr="00277858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w w:val="100"/>
                <w:sz w:val="16"/>
                <w:szCs w:val="16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F7211AF" w14:textId="316B47DE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rFonts w:eastAsiaTheme="minorEastAsia"/>
                <w:w w:val="100"/>
                <w:sz w:val="16"/>
                <w:szCs w:val="16"/>
              </w:rPr>
              <w:t>0,</w:t>
            </w:r>
            <w:r w:rsidR="008A7C65">
              <w:rPr>
                <w:rFonts w:eastAsiaTheme="minorEastAsia"/>
                <w:w w:val="100"/>
                <w:sz w:val="16"/>
                <w:szCs w:val="16"/>
              </w:rPr>
              <w:t>9294</w:t>
            </w:r>
          </w:p>
        </w:tc>
      </w:tr>
      <w:tr w:rsidR="00277858" w:rsidRPr="00277858" w14:paraId="4DD4C2B6" w14:textId="77777777" w:rsidTr="0088362C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0A17C160" w14:textId="67298012" w:rsidR="00277858" w:rsidRPr="00277858" w:rsidRDefault="00277858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color w:val="000000" w:themeColor="text1"/>
                <w:w w:val="100"/>
                <w:sz w:val="16"/>
                <w:szCs w:val="16"/>
              </w:rPr>
              <w:t>Sexo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4C623141" w14:textId="5BB46DC5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w w:val="100"/>
                <w:sz w:val="16"/>
                <w:szCs w:val="16"/>
              </w:rPr>
              <w:t>Desenlace</w:t>
            </w:r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d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6E0858FC" w14:textId="0C376175" w:rsidR="00277858" w:rsidRPr="00277858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color w:val="000000" w:themeColor="text1"/>
                <w:w w:val="100"/>
                <w:sz w:val="16"/>
                <w:szCs w:val="16"/>
              </w:rPr>
              <w:t>4,1818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4ABB99" w14:textId="113FBF24" w:rsidR="00277858" w:rsidRPr="00277858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w w:val="100"/>
                <w:sz w:val="16"/>
                <w:szCs w:val="16"/>
                <w:lang w:val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B0BC6C2" w14:textId="32C2DEBC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rFonts w:eastAsiaTheme="minorEastAsia"/>
                <w:w w:val="100"/>
                <w:sz w:val="16"/>
                <w:szCs w:val="16"/>
              </w:rPr>
              <w:t>0,</w:t>
            </w:r>
            <w:r w:rsidR="008A7C65">
              <w:rPr>
                <w:rFonts w:eastAsiaTheme="minorEastAsia"/>
                <w:w w:val="100"/>
                <w:sz w:val="16"/>
                <w:szCs w:val="16"/>
              </w:rPr>
              <w:t>1236</w:t>
            </w:r>
          </w:p>
        </w:tc>
      </w:tr>
      <w:tr w:rsidR="00277858" w:rsidRPr="00277858" w14:paraId="432359E8" w14:textId="77777777" w:rsidTr="0088362C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763EAFD5" w14:textId="4651EE19" w:rsidR="00277858" w:rsidRPr="00277858" w:rsidRDefault="00277858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color w:val="000000" w:themeColor="text1"/>
                <w:w w:val="100"/>
                <w:sz w:val="16"/>
                <w:szCs w:val="16"/>
              </w:rPr>
              <w:t>Condición</w:t>
            </w:r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5DEC77E9" w14:textId="03C33193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>
              <w:rPr>
                <w:w w:val="100"/>
                <w:sz w:val="16"/>
                <w:szCs w:val="16"/>
                <w:lang w:val="en-US"/>
              </w:rPr>
              <w:t>Desenlace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53C11776" w14:textId="554027C9" w:rsidR="00277858" w:rsidRPr="00277858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color w:val="000000" w:themeColor="text1"/>
                <w:w w:val="100"/>
                <w:sz w:val="16"/>
                <w:szCs w:val="16"/>
              </w:rPr>
              <w:t>327,9942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ADE056" w14:textId="3C51E863" w:rsidR="00277858" w:rsidRPr="00277858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>
              <w:rPr>
                <w:w w:val="100"/>
                <w:sz w:val="16"/>
                <w:szCs w:val="16"/>
                <w:lang w:val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840E3E" w14:textId="77777777" w:rsidR="00277858" w:rsidRPr="00277858" w:rsidRDefault="00277858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>0,000</w:t>
            </w:r>
            <w:r w:rsidRPr="00277858">
              <w:rPr>
                <w:rFonts w:eastAsiaTheme="minorEastAsia"/>
                <w:w w:val="100"/>
                <w:sz w:val="16"/>
                <w:szCs w:val="16"/>
              </w:rPr>
              <w:t>***</w:t>
            </w:r>
          </w:p>
        </w:tc>
      </w:tr>
      <w:tr w:rsidR="00277858" w:rsidRPr="00277858" w14:paraId="3C3750B7" w14:textId="77777777" w:rsidTr="0088362C">
        <w:trPr>
          <w:trHeight w:val="57"/>
          <w:jc w:val="center"/>
        </w:trPr>
        <w:tc>
          <w:tcPr>
            <w:tcW w:w="6521" w:type="dxa"/>
            <w:gridSpan w:val="4"/>
            <w:tcBorders>
              <w:top w:val="nil"/>
              <w:left w:val="nil"/>
              <w:right w:val="nil"/>
            </w:tcBorders>
          </w:tcPr>
          <w:p w14:paraId="3E3CFD03" w14:textId="5267C48E" w:rsidR="00277858" w:rsidRDefault="00277858" w:rsidP="00277858">
            <w:pPr>
              <w:pStyle w:val="BodyText"/>
              <w:spacing w:line="251" w:lineRule="exact"/>
              <w:ind w:left="0" w:right="32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a</w:t>
            </w:r>
            <w:r w:rsidRPr="00277858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>Hipótesis</w:t>
            </w:r>
            <w:proofErr w:type="spellEnd"/>
            <w:r w:rsidRPr="00277858">
              <w:rPr>
                <w:b/>
                <w:bCs/>
                <w:color w:val="000000" w:themeColor="text1"/>
                <w:w w:val="100"/>
                <w:sz w:val="16"/>
                <w:szCs w:val="16"/>
              </w:rPr>
              <w:t xml:space="preserve"> nula: </w:t>
            </w:r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 ambas variables son independientes</w:t>
            </w:r>
          </w:p>
          <w:p w14:paraId="3221447D" w14:textId="77777777" w:rsidR="00277858" w:rsidRPr="00277858" w:rsidRDefault="00277858" w:rsidP="00277858">
            <w:pPr>
              <w:pStyle w:val="BodyText"/>
              <w:spacing w:line="251" w:lineRule="exact"/>
              <w:ind w:left="0" w:right="32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b</w:t>
            </w:r>
            <w:r w:rsidRPr="00277858">
              <w:rPr>
                <w:color w:val="000000" w:themeColor="text1"/>
                <w:w w:val="100"/>
                <w:sz w:val="16"/>
                <w:szCs w:val="16"/>
              </w:rPr>
              <w:t>Sexo</w:t>
            </w:r>
            <w:proofErr w:type="spellEnd"/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 = 1 si es femenino, 0 si es masculino</w:t>
            </w:r>
          </w:p>
          <w:p w14:paraId="31129D17" w14:textId="3B2487F0" w:rsidR="00277858" w:rsidRPr="00277858" w:rsidRDefault="00277858" w:rsidP="00277858">
            <w:pPr>
              <w:pStyle w:val="BodyText"/>
              <w:spacing w:line="251" w:lineRule="exact"/>
              <w:ind w:left="0" w:right="32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c</w:t>
            </w:r>
            <w:r w:rsidRPr="00277858">
              <w:rPr>
                <w:color w:val="000000" w:themeColor="text1"/>
                <w:w w:val="100"/>
                <w:sz w:val="16"/>
                <w:szCs w:val="16"/>
              </w:rPr>
              <w:t>Condición</w:t>
            </w:r>
            <w:proofErr w:type="spellEnd"/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 = 1 si pertenece al grupo de pacientes CC (</w:t>
            </w:r>
            <m:oMath>
              <m:r>
                <w:rPr>
                  <w:rFonts w:ascii="Cambria Math" w:hAnsi="Cambria Math"/>
                  <w:color w:val="000000" w:themeColor="text1"/>
                  <w:w w:val="100"/>
                  <w:sz w:val="16"/>
                  <w:szCs w:val="16"/>
                </w:rPr>
                <m:t>T≥21</m:t>
              </m:r>
            </m:oMath>
            <w:r w:rsidRPr="00277858">
              <w:rPr>
                <w:color w:val="000000" w:themeColor="text1"/>
                <w:w w:val="100"/>
                <w:sz w:val="16"/>
                <w:szCs w:val="16"/>
              </w:rPr>
              <w:t>); 0 si pertenece al grupo no-CC (</w:t>
            </w:r>
            <m:oMath>
              <m:r>
                <w:rPr>
                  <w:rFonts w:ascii="Cambria Math" w:hAnsi="Cambria Math"/>
                  <w:color w:val="000000" w:themeColor="text1"/>
                  <w:w w:val="100"/>
                  <w:sz w:val="16"/>
                  <w:szCs w:val="16"/>
                </w:rPr>
                <m:t>T&lt;21</m:t>
              </m:r>
            </m:oMath>
            <w:r w:rsidRPr="00277858">
              <w:rPr>
                <w:color w:val="000000" w:themeColor="text1"/>
                <w:w w:val="100"/>
                <w:sz w:val="16"/>
                <w:szCs w:val="16"/>
              </w:rPr>
              <w:t>).</w:t>
            </w:r>
          </w:p>
          <w:p w14:paraId="037FE41F" w14:textId="3AB5AE29" w:rsidR="00277858" w:rsidRPr="00277858" w:rsidRDefault="00277858" w:rsidP="00277858">
            <w:pPr>
              <w:pStyle w:val="BodyText"/>
              <w:spacing w:line="251" w:lineRule="exact"/>
              <w:ind w:left="0" w:right="32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d</w:t>
            </w:r>
            <w:r w:rsidRPr="00277858">
              <w:rPr>
                <w:color w:val="000000" w:themeColor="text1"/>
                <w:w w:val="100"/>
                <w:sz w:val="16"/>
                <w:szCs w:val="16"/>
              </w:rPr>
              <w:t>Desenlace</w:t>
            </w:r>
            <w:proofErr w:type="spellEnd"/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 = 0 si el dato es censurado; 1 si el paciente sobrevive; 2 si el paciente muere por COVID-19.</w:t>
            </w:r>
          </w:p>
          <w:p w14:paraId="44C32CDD" w14:textId="58645588" w:rsidR="00277858" w:rsidRPr="00277858" w:rsidRDefault="00277858" w:rsidP="00277858">
            <w:pPr>
              <w:pStyle w:val="BodyText"/>
              <w:spacing w:line="251" w:lineRule="exact"/>
              <w:ind w:left="0" w:right="32"/>
              <w:rPr>
                <w:rFonts w:eastAsiaTheme="minorEastAsia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e</w:t>
            </w:r>
            <w:r w:rsidRPr="00277858">
              <w:rPr>
                <w:rFonts w:eastAsiaTheme="minorEastAsia"/>
                <w:w w:val="100"/>
                <w:sz w:val="16"/>
                <w:szCs w:val="16"/>
              </w:rPr>
              <w:t>***valor-p &lt; 0,01, **valor-p &lt; 0,05, *valor-p &lt; 0,1.</w:t>
            </w:r>
          </w:p>
          <w:p w14:paraId="0E9CECC9" w14:textId="10719AFA" w:rsidR="00277858" w:rsidRPr="00277858" w:rsidRDefault="00277858" w:rsidP="00277858">
            <w:pPr>
              <w:pStyle w:val="BodyText"/>
              <w:spacing w:line="251" w:lineRule="exact"/>
              <w:ind w:left="0" w:right="32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Cálculos con base en los reportes diarios publicados por el Instituto Nacional de Salud. Período de estudio: </w:t>
            </w:r>
            <w:r w:rsidRPr="00277858">
              <w:rPr>
                <w:w w:val="100"/>
                <w:sz w:val="16"/>
                <w:szCs w:val="16"/>
              </w:rPr>
              <w:t xml:space="preserve">20/04/2020 – 30/10/2021. (Los resultados encontrados en la prueba </w:t>
            </w:r>
            <w:r w:rsidRPr="00277858">
              <w:rPr>
                <w:color w:val="000000" w:themeColor="text1"/>
                <w:w w:val="100"/>
                <w:sz w:val="16"/>
                <w:szCs w:val="16"/>
                <w:lang w:val="el-GR"/>
              </w:rPr>
              <w:t>χ</w:t>
            </w:r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2</w:t>
            </w:r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 son cualitativamente idénticos a los resultados de la prueba exacta de Fisher).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35348DF9" w14:textId="5FB7288E" w:rsidR="00277858" w:rsidRPr="00277858" w:rsidRDefault="00277858" w:rsidP="0088362C">
            <w:pPr>
              <w:pStyle w:val="BodyText"/>
              <w:spacing w:line="251" w:lineRule="exact"/>
              <w:ind w:left="0"/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</w:pPr>
            <w:r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 xml:space="preserve"> </w:t>
            </w:r>
          </w:p>
        </w:tc>
      </w:tr>
    </w:tbl>
    <w:p w14:paraId="7DACF6A9" w14:textId="77777777" w:rsidR="00277858" w:rsidRDefault="00277858" w:rsidP="00277858">
      <w:pPr>
        <w:pStyle w:val="BodyText"/>
        <w:spacing w:line="251" w:lineRule="exact"/>
        <w:ind w:left="218"/>
        <w:rPr>
          <w:b/>
          <w:bCs/>
          <w:w w:val="100"/>
          <w:sz w:val="24"/>
          <w:szCs w:val="24"/>
        </w:rPr>
      </w:pPr>
    </w:p>
    <w:p w14:paraId="3C8956AE" w14:textId="77777777" w:rsidR="00487121" w:rsidRDefault="00487121" w:rsidP="00487121">
      <w:pPr>
        <w:pStyle w:val="BodyText"/>
        <w:spacing w:line="251" w:lineRule="exact"/>
        <w:ind w:left="218"/>
        <w:rPr>
          <w:b/>
          <w:bCs/>
          <w:w w:val="100"/>
          <w:sz w:val="24"/>
          <w:szCs w:val="24"/>
        </w:rPr>
      </w:pPr>
    </w:p>
    <w:p w14:paraId="18F30FBC" w14:textId="5CD04238" w:rsidR="008A7C65" w:rsidRDefault="00277858" w:rsidP="008A7C65">
      <w:pPr>
        <w:pStyle w:val="BodyText"/>
        <w:numPr>
          <w:ilvl w:val="0"/>
          <w:numId w:val="1"/>
        </w:numPr>
        <w:spacing w:line="251" w:lineRule="exact"/>
        <w:rPr>
          <w:b/>
          <w:bCs/>
          <w:w w:val="100"/>
          <w:sz w:val="24"/>
          <w:szCs w:val="24"/>
        </w:rPr>
      </w:pPr>
      <w:r w:rsidRPr="0072598F">
        <w:rPr>
          <w:b/>
          <w:bCs/>
          <w:w w:val="100"/>
          <w:sz w:val="24"/>
          <w:szCs w:val="24"/>
        </w:rPr>
        <w:t>Estimador no-paramétrico de Kaplan-</w:t>
      </w:r>
      <w:proofErr w:type="spellStart"/>
      <w:r w:rsidRPr="0072598F">
        <w:rPr>
          <w:b/>
          <w:bCs/>
          <w:w w:val="100"/>
          <w:sz w:val="24"/>
          <w:szCs w:val="24"/>
        </w:rPr>
        <w:t>Meier</w:t>
      </w:r>
      <w:proofErr w:type="spellEnd"/>
    </w:p>
    <w:p w14:paraId="634A5211" w14:textId="77777777" w:rsidR="008A7C65" w:rsidRDefault="008A7C65" w:rsidP="008A7C65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</w:pPr>
    </w:p>
    <w:p w14:paraId="09726B43" w14:textId="5E4F1A92" w:rsidR="008A7C65" w:rsidRPr="008A7C65" w:rsidRDefault="008A7C65" w:rsidP="008A7C65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  <w:sectPr w:rsidR="008A7C65" w:rsidRPr="008A7C65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  <w:r w:rsidRPr="008A7C65">
        <w:rPr>
          <w:b/>
          <w:w w:val="100"/>
          <w:sz w:val="24"/>
          <w:szCs w:val="24"/>
        </w:rPr>
        <w:t xml:space="preserve">Figura </w:t>
      </w:r>
      <w:r>
        <w:rPr>
          <w:b/>
          <w:w w:val="100"/>
          <w:sz w:val="24"/>
          <w:szCs w:val="24"/>
        </w:rPr>
        <w:t>S1</w:t>
      </w:r>
      <w:r w:rsidRPr="008A7C65">
        <w:rPr>
          <w:b/>
          <w:w w:val="100"/>
          <w:sz w:val="24"/>
          <w:szCs w:val="24"/>
        </w:rPr>
        <w:t xml:space="preserve">: </w:t>
      </w:r>
      <w:r w:rsidR="0011347A">
        <w:rPr>
          <w:w w:val="100"/>
          <w:sz w:val="24"/>
          <w:szCs w:val="24"/>
        </w:rPr>
        <w:t>Curva</w:t>
      </w:r>
      <w:r w:rsidRPr="008A7C65">
        <w:rPr>
          <w:w w:val="100"/>
          <w:sz w:val="24"/>
          <w:szCs w:val="24"/>
        </w:rPr>
        <w:t xml:space="preserve"> de supervivencia de Kaplan-</w:t>
      </w:r>
      <w:proofErr w:type="spellStart"/>
      <w:r w:rsidRPr="008A7C65">
        <w:rPr>
          <w:w w:val="100"/>
          <w:sz w:val="24"/>
          <w:szCs w:val="24"/>
        </w:rPr>
        <w:t>Meier</w:t>
      </w:r>
      <w:proofErr w:type="spellEnd"/>
      <w:r w:rsidRPr="008A7C65">
        <w:rPr>
          <w:w w:val="100"/>
          <w:sz w:val="24"/>
          <w:szCs w:val="24"/>
        </w:rPr>
        <w:t xml:space="preserve"> para pacientes </w:t>
      </w:r>
      <w:r w:rsidR="0011347A">
        <w:rPr>
          <w:w w:val="100"/>
          <w:sz w:val="24"/>
          <w:szCs w:val="24"/>
        </w:rPr>
        <w:t xml:space="preserve">en </w:t>
      </w:r>
      <w:r>
        <w:rPr>
          <w:w w:val="100"/>
          <w:sz w:val="24"/>
          <w:szCs w:val="24"/>
        </w:rPr>
        <w:t>UCI por</w:t>
      </w:r>
      <w:r w:rsidRPr="008A7C65">
        <w:rPr>
          <w:w w:val="100"/>
          <w:sz w:val="24"/>
          <w:szCs w:val="24"/>
        </w:rPr>
        <w:t xml:space="preserve"> COVID-1</w:t>
      </w:r>
      <w:r w:rsidR="00487121">
        <w:rPr>
          <w:w w:val="100"/>
          <w:sz w:val="24"/>
          <w:szCs w:val="24"/>
        </w:rPr>
        <w:t>9</w:t>
      </w:r>
    </w:p>
    <w:p w14:paraId="6323A84A" w14:textId="77777777" w:rsidR="008A7C65" w:rsidRDefault="008A7C65" w:rsidP="00487121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</w:pPr>
    </w:p>
    <w:p w14:paraId="66CDEA04" w14:textId="1BBB4B14" w:rsidR="00487121" w:rsidRDefault="00487121" w:rsidP="00487121">
      <w:pPr>
        <w:pStyle w:val="BodyText"/>
        <w:spacing w:before="96" w:after="160" w:line="249" w:lineRule="auto"/>
        <w:ind w:left="0" w:right="1110"/>
        <w:jc w:val="center"/>
        <w:rPr>
          <w:w w:val="100"/>
          <w:sz w:val="18"/>
          <w:szCs w:val="18"/>
        </w:rPr>
      </w:pPr>
      <w:r>
        <w:rPr>
          <w:rFonts w:eastAsiaTheme="minorEastAsia"/>
          <w:noProof/>
          <w:color w:val="000000" w:themeColor="text1"/>
          <w:w w:val="100"/>
          <w:sz w:val="18"/>
          <w:szCs w:val="18"/>
        </w:rPr>
        <w:drawing>
          <wp:inline distT="0" distB="0" distL="0" distR="0" wp14:anchorId="314963ED" wp14:editId="65D07139">
            <wp:extent cx="3600000" cy="2625918"/>
            <wp:effectExtent l="0" t="0" r="0" b="3175"/>
            <wp:docPr id="10" name="Picture 10" descr="A graph of a patient's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a patient's temperatu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F14A" w14:textId="43D26DF6" w:rsidR="00487121" w:rsidRDefault="00487121" w:rsidP="00487121">
      <w:pPr>
        <w:pStyle w:val="BodyText"/>
        <w:spacing w:before="96" w:after="160" w:line="249" w:lineRule="auto"/>
        <w:ind w:left="0" w:right="1110"/>
        <w:jc w:val="center"/>
        <w:rPr>
          <w:w w:val="100"/>
          <w:sz w:val="18"/>
          <w:szCs w:val="18"/>
        </w:rPr>
      </w:pPr>
      <w:r>
        <w:rPr>
          <w:w w:val="100"/>
          <w:sz w:val="18"/>
          <w:szCs w:val="18"/>
        </w:rPr>
        <w:t>(a)</w:t>
      </w:r>
    </w:p>
    <w:p w14:paraId="7AD154A0" w14:textId="2AF429A1" w:rsidR="00487121" w:rsidRDefault="00487121" w:rsidP="00487121">
      <w:pPr>
        <w:pStyle w:val="BodyText"/>
        <w:spacing w:before="96" w:after="160" w:line="249" w:lineRule="auto"/>
        <w:ind w:left="0" w:right="1110"/>
        <w:jc w:val="center"/>
        <w:rPr>
          <w:w w:val="100"/>
          <w:sz w:val="18"/>
          <w:szCs w:val="18"/>
        </w:rPr>
      </w:pPr>
      <w:r>
        <w:rPr>
          <w:noProof/>
          <w:w w:val="100"/>
          <w:sz w:val="18"/>
          <w:szCs w:val="18"/>
        </w:rPr>
        <w:lastRenderedPageBreak/>
        <w:drawing>
          <wp:inline distT="0" distB="0" distL="0" distR="0" wp14:anchorId="73EDDDC0" wp14:editId="556F26F3">
            <wp:extent cx="3600000" cy="2625918"/>
            <wp:effectExtent l="0" t="0" r="0" b="3175"/>
            <wp:docPr id="11" name="Picture 11" descr="A graph of a patient's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a patient's temperatu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C384" w14:textId="65BAA17F" w:rsidR="00487121" w:rsidRDefault="00487121" w:rsidP="00487121">
      <w:pPr>
        <w:pStyle w:val="BodyText"/>
        <w:spacing w:before="96" w:after="160" w:line="249" w:lineRule="auto"/>
        <w:ind w:left="0" w:right="1110"/>
        <w:jc w:val="center"/>
        <w:rPr>
          <w:w w:val="100"/>
          <w:sz w:val="18"/>
          <w:szCs w:val="18"/>
        </w:rPr>
      </w:pPr>
      <w:r>
        <w:rPr>
          <w:w w:val="100"/>
          <w:sz w:val="18"/>
          <w:szCs w:val="18"/>
        </w:rPr>
        <w:t>(b)</w:t>
      </w:r>
    </w:p>
    <w:p w14:paraId="3E4BC1EE" w14:textId="0768A8AF" w:rsidR="00487121" w:rsidRPr="00DB130F" w:rsidRDefault="008A7C65" w:rsidP="005F01D0">
      <w:pPr>
        <w:pStyle w:val="BodyText"/>
        <w:spacing w:before="96" w:after="160" w:line="249" w:lineRule="auto"/>
        <w:ind w:left="0" w:right="1110"/>
        <w:rPr>
          <w:rFonts w:eastAsiaTheme="minorEastAsia"/>
          <w:color w:val="000000" w:themeColor="text1"/>
          <w:w w:val="100"/>
          <w:sz w:val="18"/>
          <w:szCs w:val="18"/>
        </w:rPr>
        <w:sectPr w:rsidR="00487121" w:rsidRPr="00DB130F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  <w:r w:rsidRPr="00483510">
        <w:rPr>
          <w:w w:val="100"/>
          <w:sz w:val="18"/>
          <w:szCs w:val="18"/>
        </w:rPr>
        <w:t xml:space="preserve">Tasa de supervivencia acumulada a los 90 días </w:t>
      </w:r>
      <w:r w:rsidRPr="00483510">
        <w:rPr>
          <w:rFonts w:eastAsiaTheme="minorEastAsia"/>
          <w:color w:val="000000" w:themeColor="text1"/>
          <w:w w:val="100"/>
          <w:sz w:val="18"/>
          <w:szCs w:val="18"/>
        </w:rPr>
        <w:t xml:space="preserve">de acuerdo con (a) el sexo (Log-rank test: </w:t>
      </w:r>
      <m:oMath>
        <m:r>
          <w:rPr>
            <w:rFonts w:ascii="Cambria Math" w:eastAsiaTheme="minorEastAsia" w:hAnsi="Cambria Math"/>
            <w:color w:val="000000" w:themeColor="text1"/>
            <w:w w:val="100"/>
            <w:sz w:val="18"/>
            <w:szCs w:val="18"/>
          </w:rPr>
          <m:t>p=0,12</m:t>
        </m:r>
      </m:oMath>
      <w:r w:rsidRPr="00483510">
        <w:rPr>
          <w:rFonts w:eastAsiaTheme="minorEastAsia"/>
          <w:color w:val="000000" w:themeColor="text1"/>
          <w:w w:val="100"/>
          <w:sz w:val="18"/>
          <w:szCs w:val="18"/>
        </w:rPr>
        <w:t xml:space="preserve">) y (b) la edad (Log-rank test: </w:t>
      </w:r>
      <m:oMath>
        <m:r>
          <w:rPr>
            <w:rFonts w:ascii="Cambria Math" w:eastAsiaTheme="minorEastAsia" w:hAnsi="Cambria Math"/>
            <w:color w:val="000000" w:themeColor="text1"/>
            <w:w w:val="100"/>
            <w:sz w:val="18"/>
            <w:szCs w:val="18"/>
          </w:rPr>
          <m:t>p=0,00</m:t>
        </m:r>
      </m:oMath>
      <w:r w:rsidRPr="00483510">
        <w:rPr>
          <w:rFonts w:eastAsiaTheme="minorEastAsia"/>
          <w:color w:val="000000" w:themeColor="text1"/>
          <w:w w:val="100"/>
          <w:sz w:val="18"/>
          <w:szCs w:val="18"/>
        </w:rPr>
        <w:t>). El símbolo “+” representa los datos censurados.</w:t>
      </w:r>
      <w:r>
        <w:rPr>
          <w:rFonts w:eastAsiaTheme="minorEastAsia"/>
          <w:color w:val="000000" w:themeColor="text1"/>
          <w:w w:val="100"/>
          <w:sz w:val="18"/>
          <w:szCs w:val="18"/>
        </w:rPr>
        <w:t xml:space="preserve"> (</w:t>
      </w:r>
      <w:r>
        <w:rPr>
          <w:rFonts w:eastAsiaTheme="minorEastAsia"/>
          <w:b/>
          <w:bCs/>
          <w:color w:val="000000" w:themeColor="text1"/>
          <w:w w:val="100"/>
          <w:sz w:val="18"/>
          <w:szCs w:val="18"/>
        </w:rPr>
        <w:t xml:space="preserve">Fuente: </w:t>
      </w:r>
      <w:r>
        <w:rPr>
          <w:rFonts w:eastAsiaTheme="minorEastAsia"/>
          <w:color w:val="000000" w:themeColor="text1"/>
          <w:w w:val="100"/>
          <w:sz w:val="18"/>
          <w:szCs w:val="18"/>
        </w:rPr>
        <w:t>cálculos propios a partir de la información del estudio).</w:t>
      </w:r>
    </w:p>
    <w:p w14:paraId="0F41A60C" w14:textId="77777777" w:rsidR="008A7C65" w:rsidRDefault="008A7C65" w:rsidP="00487121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</w:pPr>
    </w:p>
    <w:p w14:paraId="36C5CA0E" w14:textId="7E8D1410" w:rsidR="005F01D0" w:rsidRPr="00487121" w:rsidRDefault="00277858" w:rsidP="00487121">
      <w:pPr>
        <w:pStyle w:val="BodyText"/>
        <w:numPr>
          <w:ilvl w:val="0"/>
          <w:numId w:val="1"/>
        </w:numPr>
        <w:spacing w:line="251" w:lineRule="exact"/>
        <w:rPr>
          <w:b/>
          <w:bCs/>
          <w:w w:val="100"/>
          <w:sz w:val="24"/>
          <w:szCs w:val="24"/>
        </w:rPr>
      </w:pPr>
      <w:r w:rsidRPr="0072598F">
        <w:rPr>
          <w:b/>
          <w:bCs/>
          <w:w w:val="100"/>
          <w:sz w:val="24"/>
          <w:szCs w:val="24"/>
        </w:rPr>
        <w:t>Model</w:t>
      </w:r>
      <w:r w:rsidR="008A7C65">
        <w:rPr>
          <w:b/>
          <w:bCs/>
          <w:w w:val="100"/>
          <w:sz w:val="24"/>
          <w:szCs w:val="24"/>
        </w:rPr>
        <w:t>os</w:t>
      </w:r>
      <w:r w:rsidRPr="0072598F">
        <w:rPr>
          <w:b/>
          <w:bCs/>
          <w:w w:val="100"/>
          <w:sz w:val="24"/>
          <w:szCs w:val="24"/>
        </w:rPr>
        <w:t xml:space="preserve"> paramétrico</w:t>
      </w:r>
      <w:r w:rsidR="008A7C65">
        <w:rPr>
          <w:b/>
          <w:bCs/>
          <w:w w:val="100"/>
          <w:sz w:val="24"/>
          <w:szCs w:val="24"/>
        </w:rPr>
        <w:t>s</w:t>
      </w:r>
    </w:p>
    <w:p w14:paraId="6F8859C8" w14:textId="2EF06A3D" w:rsidR="005F01D0" w:rsidRDefault="005F01D0" w:rsidP="005F01D0">
      <w:pPr>
        <w:pStyle w:val="BodyText"/>
        <w:spacing w:before="96" w:after="240" w:line="480" w:lineRule="auto"/>
        <w:ind w:left="0" w:right="-1"/>
        <w:rPr>
          <w:rFonts w:eastAsiaTheme="minorEastAsia"/>
          <w:w w:val="100"/>
          <w:sz w:val="24"/>
          <w:szCs w:val="24"/>
        </w:rPr>
      </w:pPr>
      <w:r w:rsidRPr="009B56B2">
        <w:rPr>
          <w:rFonts w:eastAsiaTheme="minorEastAsia"/>
          <w:b/>
          <w:w w:val="100"/>
          <w:sz w:val="24"/>
          <w:szCs w:val="24"/>
        </w:rPr>
        <w:t>Figura</w:t>
      </w:r>
      <w:r>
        <w:rPr>
          <w:rFonts w:eastAsiaTheme="minorEastAsia"/>
          <w:b/>
          <w:w w:val="100"/>
          <w:sz w:val="24"/>
          <w:szCs w:val="24"/>
        </w:rPr>
        <w:t xml:space="preserve"> S2</w:t>
      </w:r>
      <w:r w:rsidRPr="009B56B2">
        <w:rPr>
          <w:rFonts w:eastAsiaTheme="minorEastAsia"/>
          <w:b/>
          <w:w w:val="100"/>
          <w:sz w:val="24"/>
          <w:szCs w:val="24"/>
        </w:rPr>
        <w:t xml:space="preserve">: </w:t>
      </w:r>
      <w:r w:rsidRPr="009B56B2">
        <w:rPr>
          <w:rFonts w:eastAsiaTheme="minorEastAsia"/>
          <w:w w:val="100"/>
          <w:sz w:val="24"/>
          <w:szCs w:val="24"/>
        </w:rPr>
        <w:t>Fu</w:t>
      </w:r>
      <w:r w:rsidR="00487121">
        <w:rPr>
          <w:rFonts w:eastAsiaTheme="minorEastAsia"/>
          <w:w w:val="100"/>
          <w:sz w:val="24"/>
          <w:szCs w:val="24"/>
        </w:rPr>
        <w:t>n</w:t>
      </w:r>
      <w:r w:rsidRPr="009B56B2">
        <w:rPr>
          <w:rFonts w:eastAsiaTheme="minorEastAsia"/>
          <w:w w:val="100"/>
          <w:sz w:val="24"/>
          <w:szCs w:val="24"/>
        </w:rPr>
        <w:t>ción de densidad del tiempo de permanencia en UCI (días)</w:t>
      </w:r>
    </w:p>
    <w:p w14:paraId="1E9918C0" w14:textId="72573C8A" w:rsidR="005F01D0" w:rsidRDefault="005F01D0" w:rsidP="005F01D0">
      <w:pPr>
        <w:pStyle w:val="BodyText"/>
        <w:spacing w:before="96" w:after="240" w:line="480" w:lineRule="auto"/>
        <w:ind w:left="0" w:right="-1"/>
        <w:jc w:val="center"/>
        <w:rPr>
          <w:rFonts w:eastAsiaTheme="minorEastAsia"/>
          <w:w w:val="100"/>
          <w:sz w:val="24"/>
          <w:szCs w:val="24"/>
        </w:rPr>
      </w:pPr>
      <w:r w:rsidRPr="009B56B2">
        <w:rPr>
          <w:rFonts w:eastAsiaTheme="minorEastAsia"/>
          <w:noProof/>
          <w:w w:val="100"/>
          <w:sz w:val="24"/>
          <w:szCs w:val="24"/>
        </w:rPr>
        <w:drawing>
          <wp:inline distT="0" distB="0" distL="0" distR="0" wp14:anchorId="17BA5C37" wp14:editId="1F492D1B">
            <wp:extent cx="3433488" cy="3944679"/>
            <wp:effectExtent l="0" t="0" r="0" b="5080"/>
            <wp:docPr id="6" name="Imagen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56" cy="396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B1D0" w14:textId="77777777" w:rsidR="005F01D0" w:rsidRPr="00DB130F" w:rsidRDefault="005F01D0" w:rsidP="005F01D0">
      <w:pPr>
        <w:pStyle w:val="BodyText"/>
        <w:spacing w:before="96" w:after="240"/>
        <w:ind w:left="0" w:right="343"/>
        <w:rPr>
          <w:rFonts w:eastAsiaTheme="minorEastAsia"/>
          <w:w w:val="100"/>
          <w:sz w:val="18"/>
          <w:szCs w:val="18"/>
        </w:rPr>
      </w:pPr>
      <w:r>
        <w:rPr>
          <w:rFonts w:eastAsiaTheme="minorEastAsia"/>
          <w:w w:val="100"/>
          <w:sz w:val="18"/>
          <w:szCs w:val="18"/>
        </w:rPr>
        <w:t>Tiempo de permanencia para p</w:t>
      </w:r>
      <w:r w:rsidRPr="00DB130F">
        <w:rPr>
          <w:rFonts w:eastAsiaTheme="minorEastAsia"/>
          <w:w w:val="100"/>
          <w:sz w:val="18"/>
          <w:szCs w:val="18"/>
        </w:rPr>
        <w:t xml:space="preserve">acientes de </w:t>
      </w:r>
      <w:r w:rsidRPr="00DB130F">
        <w:rPr>
          <w:w w:val="100"/>
          <w:sz w:val="18"/>
          <w:szCs w:val="18"/>
        </w:rPr>
        <w:t xml:space="preserve">los grupos </w:t>
      </w:r>
      <w:r w:rsidRPr="00DB130F">
        <w:rPr>
          <w:bCs/>
          <w:color w:val="000000" w:themeColor="text1"/>
          <w:w w:val="100"/>
          <w:sz w:val="18"/>
          <w:szCs w:val="18"/>
        </w:rPr>
        <w:t>CC (</w:t>
      </w:r>
      <m:oMath>
        <m:r>
          <w:rPr>
            <w:rFonts w:ascii="Cambria Math" w:hAnsi="Cambria Math"/>
            <w:color w:val="000000" w:themeColor="text1"/>
            <w:w w:val="100"/>
            <w:sz w:val="18"/>
            <w:szCs w:val="18"/>
          </w:rPr>
          <m:t>T≥21</m:t>
        </m:r>
      </m:oMath>
      <w:r w:rsidRPr="00DB130F">
        <w:rPr>
          <w:bCs/>
          <w:color w:val="000000" w:themeColor="text1"/>
          <w:w w:val="100"/>
          <w:sz w:val="18"/>
          <w:szCs w:val="18"/>
        </w:rPr>
        <w:t>)</w:t>
      </w:r>
      <w:r w:rsidRPr="00DB130F">
        <w:rPr>
          <w:w w:val="100"/>
          <w:sz w:val="18"/>
          <w:szCs w:val="18"/>
        </w:rPr>
        <w:t xml:space="preserve"> y </w:t>
      </w:r>
      <w:r w:rsidRPr="00DB130F">
        <w:rPr>
          <w:bCs/>
          <w:color w:val="000000" w:themeColor="text1"/>
          <w:w w:val="100"/>
          <w:sz w:val="18"/>
          <w:szCs w:val="18"/>
        </w:rPr>
        <w:t>no-CC</w:t>
      </w:r>
      <m:oMath>
        <m:r>
          <w:rPr>
            <w:rFonts w:ascii="Cambria Math" w:hAnsi="Cambria Math"/>
            <w:color w:val="000000" w:themeColor="text1"/>
            <w:w w:val="100"/>
            <w:sz w:val="18"/>
            <w:szCs w:val="18"/>
          </w:rPr>
          <m:t xml:space="preserve"> (T&lt;21)</m:t>
        </m:r>
      </m:oMath>
      <w:r w:rsidRPr="00DB130F">
        <w:rPr>
          <w:rFonts w:eastAsiaTheme="minorEastAsia"/>
          <w:w w:val="100"/>
          <w:sz w:val="18"/>
          <w:szCs w:val="18"/>
        </w:rPr>
        <w:t>. Prueba de Kolmogorov-</w:t>
      </w:r>
      <w:r w:rsidRPr="00DB130F">
        <w:rPr>
          <w:rFonts w:eastAsiaTheme="minorEastAsia"/>
          <w:w w:val="100"/>
          <w:sz w:val="18"/>
          <w:szCs w:val="18"/>
        </w:rPr>
        <w:lastRenderedPageBreak/>
        <w:t xml:space="preserve">Smirnov: </w:t>
      </w:r>
      <m:oMath>
        <m:r>
          <w:rPr>
            <w:rFonts w:ascii="Cambria Math" w:eastAsiaTheme="minorEastAsia" w:hAnsi="Cambria Math"/>
            <w:w w:val="100"/>
            <w:sz w:val="18"/>
            <w:szCs w:val="18"/>
          </w:rPr>
          <m:t>p</m:t>
        </m:r>
        <m:r>
          <w:rPr>
            <w:rFonts w:ascii="Cambria Math" w:hAnsi="Cambria Math"/>
            <w:color w:val="000000" w:themeColor="text1"/>
            <w:w w:val="100"/>
            <w:sz w:val="18"/>
            <w:szCs w:val="18"/>
          </w:rPr>
          <m:t>&lt;0,01</m:t>
        </m:r>
      </m:oMath>
      <w:r>
        <w:rPr>
          <w:rFonts w:eastAsiaTheme="minorEastAsia"/>
          <w:color w:val="000000" w:themeColor="text1"/>
          <w:w w:val="100"/>
          <w:sz w:val="18"/>
          <w:szCs w:val="18"/>
        </w:rPr>
        <w:t>. (</w:t>
      </w:r>
      <w:r>
        <w:rPr>
          <w:rFonts w:eastAsiaTheme="minorEastAsia"/>
          <w:b/>
          <w:bCs/>
          <w:color w:val="000000" w:themeColor="text1"/>
          <w:w w:val="100"/>
          <w:sz w:val="18"/>
          <w:szCs w:val="18"/>
        </w:rPr>
        <w:t xml:space="preserve">Fuente: </w:t>
      </w:r>
      <w:r>
        <w:rPr>
          <w:rFonts w:eastAsiaTheme="minorEastAsia"/>
          <w:color w:val="000000" w:themeColor="text1"/>
          <w:w w:val="100"/>
          <w:sz w:val="18"/>
          <w:szCs w:val="18"/>
        </w:rPr>
        <w:t>cálculos propios a partir de la información del estudio).</w:t>
      </w:r>
    </w:p>
    <w:p w14:paraId="1325E638" w14:textId="77777777" w:rsidR="005F01D0" w:rsidRPr="009B56B2" w:rsidRDefault="005F01D0" w:rsidP="005F01D0">
      <w:pPr>
        <w:pStyle w:val="BodyText"/>
        <w:spacing w:before="96" w:after="240" w:line="480" w:lineRule="auto"/>
        <w:ind w:left="0" w:right="-1"/>
        <w:rPr>
          <w:rFonts w:eastAsiaTheme="minorEastAsia"/>
          <w:w w:val="100"/>
          <w:sz w:val="24"/>
          <w:szCs w:val="24"/>
        </w:rPr>
      </w:pPr>
    </w:p>
    <w:p w14:paraId="79932691" w14:textId="5158C7D9" w:rsidR="008A7C65" w:rsidRPr="008A7C65" w:rsidRDefault="008A7C65" w:rsidP="008A7C65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  <w:sectPr w:rsidR="008A7C65" w:rsidRPr="008A7C65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  <w:r w:rsidRPr="008A7C65">
        <w:rPr>
          <w:b/>
          <w:w w:val="100"/>
          <w:sz w:val="24"/>
          <w:szCs w:val="24"/>
        </w:rPr>
        <w:t xml:space="preserve">Figura </w:t>
      </w:r>
      <w:r>
        <w:rPr>
          <w:b/>
          <w:w w:val="100"/>
          <w:sz w:val="24"/>
          <w:szCs w:val="24"/>
        </w:rPr>
        <w:t>S</w:t>
      </w:r>
      <w:r w:rsidR="005F01D0">
        <w:rPr>
          <w:b/>
          <w:w w:val="100"/>
          <w:sz w:val="24"/>
          <w:szCs w:val="24"/>
        </w:rPr>
        <w:t>3</w:t>
      </w:r>
      <w:r w:rsidRPr="008A7C65">
        <w:rPr>
          <w:b/>
          <w:w w:val="100"/>
          <w:sz w:val="24"/>
          <w:szCs w:val="24"/>
        </w:rPr>
        <w:t xml:space="preserve">: </w:t>
      </w:r>
      <w:r w:rsidR="0011347A">
        <w:rPr>
          <w:w w:val="100"/>
          <w:sz w:val="24"/>
          <w:szCs w:val="24"/>
        </w:rPr>
        <w:t>Modelos paramétricos de supervivencia para pacientes en UCI por COVID-1</w:t>
      </w:r>
      <w:r w:rsidR="00487121">
        <w:rPr>
          <w:w w:val="100"/>
          <w:sz w:val="24"/>
          <w:szCs w:val="24"/>
        </w:rPr>
        <w:t>9</w:t>
      </w:r>
    </w:p>
    <w:p w14:paraId="34B65188" w14:textId="77777777" w:rsidR="008A7C65" w:rsidRDefault="008A7C65" w:rsidP="00487121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</w:pPr>
    </w:p>
    <w:p w14:paraId="51629B82" w14:textId="77777777" w:rsidR="008A7C65" w:rsidRDefault="008A7C65" w:rsidP="008A7C65">
      <w:pPr>
        <w:pStyle w:val="BodyText"/>
        <w:spacing w:line="251" w:lineRule="exact"/>
        <w:ind w:left="218"/>
        <w:rPr>
          <w:b/>
          <w:bCs/>
          <w:w w:val="100"/>
          <w:sz w:val="24"/>
          <w:szCs w:val="24"/>
        </w:rPr>
      </w:pPr>
    </w:p>
    <w:p w14:paraId="179EA9E6" w14:textId="4AFEFACC" w:rsidR="00487121" w:rsidRDefault="00487121" w:rsidP="00487121">
      <w:pPr>
        <w:pStyle w:val="BodyText"/>
        <w:spacing w:before="96" w:after="160" w:line="249" w:lineRule="auto"/>
        <w:ind w:left="0" w:right="-1"/>
        <w:jc w:val="center"/>
        <w:rPr>
          <w:w w:val="100"/>
          <w:sz w:val="18"/>
          <w:szCs w:val="18"/>
        </w:rPr>
      </w:pPr>
      <w:r>
        <w:rPr>
          <w:noProof/>
          <w:w w:val="100"/>
          <w:sz w:val="18"/>
          <w:szCs w:val="18"/>
        </w:rPr>
        <w:drawing>
          <wp:inline distT="0" distB="0" distL="0" distR="0" wp14:anchorId="32E84AD6" wp14:editId="427C85B7">
            <wp:extent cx="3960000" cy="3564186"/>
            <wp:effectExtent l="0" t="0" r="2540" b="5080"/>
            <wp:docPr id="12" name="Picture 1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different colore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EC3D" w14:textId="555421B9" w:rsidR="0011347A" w:rsidRDefault="008A7C65" w:rsidP="005F01D0">
      <w:pPr>
        <w:pStyle w:val="BodyText"/>
        <w:spacing w:before="96" w:after="160" w:line="249" w:lineRule="auto"/>
        <w:ind w:left="0" w:right="-1"/>
        <w:rPr>
          <w:rFonts w:eastAsiaTheme="minorEastAsia"/>
          <w:color w:val="000000" w:themeColor="text1"/>
          <w:w w:val="100"/>
          <w:sz w:val="18"/>
          <w:szCs w:val="18"/>
        </w:rPr>
      </w:pPr>
      <w:r w:rsidRPr="00483510">
        <w:rPr>
          <w:w w:val="100"/>
          <w:sz w:val="18"/>
          <w:szCs w:val="18"/>
        </w:rPr>
        <w:t xml:space="preserve">Tasa de supervivencia acumulada a los 90 días </w:t>
      </w:r>
      <w:r w:rsidRPr="00483510">
        <w:rPr>
          <w:rFonts w:eastAsiaTheme="minorEastAsia"/>
          <w:color w:val="000000" w:themeColor="text1"/>
          <w:w w:val="100"/>
          <w:sz w:val="18"/>
          <w:szCs w:val="18"/>
        </w:rPr>
        <w:t>de acuerdo</w:t>
      </w:r>
      <w:r w:rsidR="0011347A">
        <w:rPr>
          <w:rFonts w:eastAsiaTheme="minorEastAsia"/>
          <w:color w:val="000000" w:themeColor="text1"/>
          <w:w w:val="100"/>
          <w:sz w:val="18"/>
          <w:szCs w:val="18"/>
        </w:rPr>
        <w:t>. Las estimaciones paramétricas son comparadas con la estimación no-paramétrica de Kaplan-</w:t>
      </w:r>
      <w:proofErr w:type="spellStart"/>
      <w:r w:rsidR="0011347A">
        <w:rPr>
          <w:rFonts w:eastAsiaTheme="minorEastAsia"/>
          <w:color w:val="000000" w:themeColor="text1"/>
          <w:w w:val="100"/>
          <w:sz w:val="18"/>
          <w:szCs w:val="18"/>
        </w:rPr>
        <w:t>Meier</w:t>
      </w:r>
      <w:proofErr w:type="spellEnd"/>
      <w:r w:rsidR="0011347A">
        <w:rPr>
          <w:rFonts w:eastAsiaTheme="minorEastAsia"/>
          <w:color w:val="000000" w:themeColor="text1"/>
          <w:w w:val="100"/>
          <w:sz w:val="18"/>
          <w:szCs w:val="18"/>
        </w:rPr>
        <w:t>. (La función escalonada representa el estimador de Kaplan-</w:t>
      </w:r>
      <w:proofErr w:type="spellStart"/>
      <w:r w:rsidR="0011347A">
        <w:rPr>
          <w:rFonts w:eastAsiaTheme="minorEastAsia"/>
          <w:color w:val="000000" w:themeColor="text1"/>
          <w:w w:val="100"/>
          <w:sz w:val="18"/>
          <w:szCs w:val="18"/>
        </w:rPr>
        <w:t>Meier</w:t>
      </w:r>
      <w:proofErr w:type="spellEnd"/>
      <w:r w:rsidR="0011347A">
        <w:rPr>
          <w:rFonts w:eastAsiaTheme="minorEastAsia"/>
          <w:color w:val="000000" w:themeColor="text1"/>
          <w:w w:val="100"/>
          <w:sz w:val="18"/>
          <w:szCs w:val="18"/>
        </w:rPr>
        <w:t xml:space="preserve">. </w:t>
      </w:r>
      <w:r w:rsidR="0011347A">
        <w:rPr>
          <w:rFonts w:eastAsiaTheme="minorEastAsia"/>
          <w:b/>
          <w:bCs/>
          <w:color w:val="000000" w:themeColor="text1"/>
          <w:w w:val="100"/>
          <w:sz w:val="18"/>
          <w:szCs w:val="18"/>
        </w:rPr>
        <w:t xml:space="preserve">Fuente: </w:t>
      </w:r>
      <w:r w:rsidR="0011347A">
        <w:rPr>
          <w:rFonts w:eastAsiaTheme="minorEastAsia"/>
          <w:color w:val="000000" w:themeColor="text1"/>
          <w:w w:val="100"/>
          <w:sz w:val="18"/>
          <w:szCs w:val="18"/>
        </w:rPr>
        <w:t>cálculos propios a partir de la información del estudio).</w:t>
      </w:r>
    </w:p>
    <w:p w14:paraId="0EA34167" w14:textId="77777777" w:rsidR="008A7C65" w:rsidRDefault="008A7C65" w:rsidP="00487121">
      <w:pPr>
        <w:pStyle w:val="BodyText"/>
        <w:spacing w:before="96" w:after="160" w:line="249" w:lineRule="auto"/>
        <w:ind w:left="0" w:right="1110"/>
        <w:rPr>
          <w:rFonts w:eastAsiaTheme="minorEastAsia"/>
          <w:color w:val="000000" w:themeColor="text1"/>
          <w:w w:val="100"/>
          <w:sz w:val="18"/>
          <w:szCs w:val="18"/>
        </w:rPr>
      </w:pPr>
    </w:p>
    <w:p w14:paraId="2810CFEE" w14:textId="501BBF45" w:rsidR="008A7C65" w:rsidRPr="008A7C65" w:rsidRDefault="008A7C65" w:rsidP="008A7C65">
      <w:pPr>
        <w:pStyle w:val="BodyText"/>
        <w:spacing w:line="251" w:lineRule="exact"/>
        <w:ind w:left="0"/>
        <w:rPr>
          <w:color w:val="000000" w:themeColor="text1"/>
          <w:w w:val="100"/>
          <w:sz w:val="24"/>
          <w:szCs w:val="24"/>
          <w:vertAlign w:val="superscript"/>
        </w:rPr>
        <w:sectPr w:rsidR="008A7C65" w:rsidRPr="008A7C65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  <w:r w:rsidRPr="008A7C65">
        <w:rPr>
          <w:b/>
          <w:color w:val="000000" w:themeColor="text1"/>
          <w:w w:val="100"/>
          <w:sz w:val="24"/>
          <w:szCs w:val="24"/>
        </w:rPr>
        <w:t>Cuadro S</w:t>
      </w:r>
      <w:r>
        <w:rPr>
          <w:b/>
          <w:color w:val="000000" w:themeColor="text1"/>
          <w:w w:val="100"/>
          <w:sz w:val="24"/>
          <w:szCs w:val="24"/>
        </w:rPr>
        <w:t>4</w:t>
      </w:r>
      <w:r w:rsidRPr="008A7C65">
        <w:rPr>
          <w:b/>
          <w:color w:val="000000" w:themeColor="text1"/>
          <w:w w:val="100"/>
          <w:sz w:val="24"/>
          <w:szCs w:val="24"/>
        </w:rPr>
        <w:t>:</w:t>
      </w:r>
      <w:r w:rsidRPr="008A7C65">
        <w:rPr>
          <w:color w:val="000000" w:themeColor="text1"/>
          <w:w w:val="100"/>
          <w:sz w:val="24"/>
          <w:szCs w:val="24"/>
        </w:rPr>
        <w:t xml:space="preserve"> </w:t>
      </w:r>
      <w:r>
        <w:rPr>
          <w:color w:val="000000" w:themeColor="text1"/>
          <w:w w:val="100"/>
          <w:sz w:val="24"/>
          <w:szCs w:val="24"/>
        </w:rPr>
        <w:t xml:space="preserve">Criterios de información de </w:t>
      </w:r>
      <w:proofErr w:type="spellStart"/>
      <w:r>
        <w:rPr>
          <w:color w:val="000000" w:themeColor="text1"/>
          <w:w w:val="100"/>
          <w:sz w:val="24"/>
          <w:szCs w:val="24"/>
        </w:rPr>
        <w:t>Akaike</w:t>
      </w:r>
      <w:proofErr w:type="spellEnd"/>
      <w:r>
        <w:rPr>
          <w:color w:val="000000" w:themeColor="text1"/>
          <w:w w:val="100"/>
          <w:sz w:val="24"/>
          <w:szCs w:val="24"/>
        </w:rPr>
        <w:t xml:space="preserve"> y </w:t>
      </w:r>
      <w:proofErr w:type="spellStart"/>
      <w:r>
        <w:rPr>
          <w:color w:val="000000" w:themeColor="text1"/>
          <w:w w:val="100"/>
          <w:sz w:val="24"/>
          <w:szCs w:val="24"/>
        </w:rPr>
        <w:t>Schwarz</w:t>
      </w:r>
      <w:proofErr w:type="spellEnd"/>
    </w:p>
    <w:p w14:paraId="2805AA30" w14:textId="77777777" w:rsidR="008A7C65" w:rsidRDefault="008A7C65" w:rsidP="008A7C65">
      <w:pPr>
        <w:pStyle w:val="BodyText"/>
        <w:spacing w:after="160" w:line="251" w:lineRule="exact"/>
        <w:ind w:left="0"/>
        <w:rPr>
          <w:color w:val="000000" w:themeColor="text1"/>
          <w:w w:val="100"/>
          <w:sz w:val="16"/>
          <w:szCs w:val="16"/>
        </w:rPr>
        <w:sectPr w:rsidR="008A7C65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tbl>
      <w:tblPr>
        <w:tblStyle w:val="TableGrid"/>
        <w:tblW w:w="6521" w:type="dxa"/>
        <w:jc w:val="center"/>
        <w:tblLook w:val="04A0" w:firstRow="1" w:lastRow="0" w:firstColumn="1" w:lastColumn="0" w:noHBand="0" w:noVBand="1"/>
      </w:tblPr>
      <w:tblGrid>
        <w:gridCol w:w="2897"/>
        <w:gridCol w:w="1232"/>
        <w:gridCol w:w="1116"/>
        <w:gridCol w:w="1276"/>
      </w:tblGrid>
      <w:tr w:rsidR="008A7C65" w:rsidRPr="00277858" w14:paraId="33BAC424" w14:textId="77777777" w:rsidTr="0011347A">
        <w:trPr>
          <w:trHeight w:val="267"/>
          <w:jc w:val="center"/>
        </w:trPr>
        <w:tc>
          <w:tcPr>
            <w:tcW w:w="289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C5ECD46" w14:textId="5385ACEE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BF5EE77" w14:textId="6237BF9A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11347A">
              <w:rPr>
                <w:color w:val="000000" w:themeColor="text1"/>
                <w:w w:val="100"/>
                <w:sz w:val="16"/>
                <w:szCs w:val="16"/>
              </w:rPr>
              <w:t>AIC</w:t>
            </w:r>
            <w:r w:rsidR="0011347A" w:rsidRPr="0011347A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11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4CA24C6" w14:textId="4665B55A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b/>
                <w:bCs/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11347A">
              <w:rPr>
                <w:color w:val="000000" w:themeColor="text1"/>
                <w:w w:val="100"/>
                <w:sz w:val="16"/>
                <w:szCs w:val="16"/>
              </w:rPr>
              <w:t>BIC</w:t>
            </w:r>
            <w:r w:rsidR="0011347A" w:rsidRPr="0011347A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9F175BA" w14:textId="78442846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11347A">
              <w:rPr>
                <w:color w:val="000000" w:themeColor="text1"/>
                <w:w w:val="100"/>
                <w:sz w:val="16"/>
                <w:szCs w:val="16"/>
              </w:rPr>
              <w:t>LRV</w:t>
            </w:r>
            <w:r w:rsidR="0011347A" w:rsidRPr="0011347A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c</w:t>
            </w:r>
            <w:proofErr w:type="spellEnd"/>
          </w:p>
        </w:tc>
      </w:tr>
      <w:tr w:rsidR="008A7C65" w:rsidRPr="00277858" w14:paraId="62ABEC90" w14:textId="77777777" w:rsidTr="008A7C65">
        <w:trPr>
          <w:trHeight w:val="57"/>
          <w:jc w:val="center"/>
        </w:trPr>
        <w:tc>
          <w:tcPr>
            <w:tcW w:w="289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F0372EB" w14:textId="0C51B8A7" w:rsidR="008A7C65" w:rsidRPr="0011347A" w:rsidRDefault="008A7C65" w:rsidP="0088362C">
            <w:pPr>
              <w:pStyle w:val="BodyText"/>
              <w:spacing w:line="251" w:lineRule="exact"/>
              <w:ind w:left="0"/>
              <w:jc w:val="left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11347A">
              <w:rPr>
                <w:color w:val="000000" w:themeColor="text1"/>
                <w:w w:val="100"/>
                <w:sz w:val="16"/>
                <w:szCs w:val="16"/>
              </w:rPr>
              <w:t>Weibull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25C730B" w14:textId="60815B3F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5667,16</w:t>
            </w:r>
          </w:p>
        </w:tc>
        <w:tc>
          <w:tcPr>
            <w:tcW w:w="11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B64664" w14:textId="3385964E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color w:val="000000" w:themeColor="text1"/>
                <w:w w:val="100"/>
                <w:sz w:val="16"/>
                <w:szCs w:val="16"/>
              </w:rPr>
              <w:t>5677,16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EB71230" w14:textId="1239B5ED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color w:val="000000" w:themeColor="text1"/>
                <w:w w:val="100"/>
                <w:sz w:val="16"/>
                <w:szCs w:val="16"/>
              </w:rPr>
              <w:t>-2831,58</w:t>
            </w:r>
          </w:p>
        </w:tc>
      </w:tr>
      <w:tr w:rsidR="008A7C65" w:rsidRPr="00277858" w14:paraId="0EB93052" w14:textId="77777777" w:rsidTr="008A7C65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789F3131" w14:textId="0809C68F" w:rsidR="008A7C65" w:rsidRPr="0011347A" w:rsidRDefault="008A7C65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color w:val="000000" w:themeColor="text1"/>
                <w:w w:val="100"/>
                <w:sz w:val="16"/>
                <w:szCs w:val="16"/>
              </w:rPr>
              <w:t>Log-normal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0E2F1FB0" w14:textId="243AD0E2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5506.72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40DF5238" w14:textId="50667F12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5516.73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61F96C" w14:textId="12E1B101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-2751.36</w:t>
            </w:r>
          </w:p>
        </w:tc>
      </w:tr>
      <w:tr w:rsidR="008A7C65" w:rsidRPr="00277858" w14:paraId="450C5C37" w14:textId="77777777" w:rsidTr="008A7C65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717F6492" w14:textId="46DF4C03" w:rsidR="008A7C65" w:rsidRPr="0011347A" w:rsidRDefault="008A7C65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color w:val="000000" w:themeColor="text1"/>
                <w:w w:val="100"/>
                <w:sz w:val="16"/>
                <w:szCs w:val="16"/>
              </w:rPr>
              <w:t>Gamma generalizada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3F422A61" w14:textId="7DDAA352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5533.54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68609018" w14:textId="0ED0F835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5548.54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84E626" w14:textId="509E289E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-2763.77</w:t>
            </w:r>
          </w:p>
        </w:tc>
      </w:tr>
      <w:tr w:rsidR="008A7C65" w:rsidRPr="00277858" w14:paraId="7B6F2327" w14:textId="77777777" w:rsidTr="008A7C65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4C6EB69B" w14:textId="3EF27F78" w:rsidR="008A7C65" w:rsidRPr="0011347A" w:rsidRDefault="008A7C65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color w:val="000000" w:themeColor="text1"/>
                <w:w w:val="100"/>
                <w:sz w:val="16"/>
                <w:szCs w:val="16"/>
              </w:rPr>
              <w:t>Log-logística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4E6042B5" w14:textId="1038BB34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w w:val="100"/>
                <w:sz w:val="16"/>
                <w:szCs w:val="16"/>
                <w:lang w:val="en-US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5564.40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5DEBF0E5" w14:textId="1F9583ED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5574.40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F85648C" w14:textId="4F8297AE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w w:val="100"/>
                <w:sz w:val="16"/>
                <w:szCs w:val="16"/>
                <w:lang w:val="en-US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-2780.20</w:t>
            </w:r>
          </w:p>
        </w:tc>
      </w:tr>
      <w:tr w:rsidR="008A7C65" w:rsidRPr="00277858" w14:paraId="35587142" w14:textId="77777777" w:rsidTr="008A7C65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62892988" w14:textId="316260A6" w:rsidR="008A7C65" w:rsidRPr="0011347A" w:rsidRDefault="008A7C65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11347A">
              <w:rPr>
                <w:color w:val="000000" w:themeColor="text1"/>
                <w:w w:val="100"/>
                <w:sz w:val="16"/>
                <w:szCs w:val="16"/>
              </w:rPr>
              <w:t>Gompertz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430B3693" w14:textId="76FBBA02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w w:val="100"/>
                <w:sz w:val="16"/>
                <w:szCs w:val="16"/>
                <w:lang w:val="en-US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5208.52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20397C06" w14:textId="03349249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5218.60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57A4C1" w14:textId="4F0A27B4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w w:val="100"/>
                <w:sz w:val="16"/>
                <w:szCs w:val="16"/>
                <w:lang w:val="en-US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-2602.26</w:t>
            </w:r>
          </w:p>
        </w:tc>
      </w:tr>
      <w:tr w:rsidR="008A7C65" w:rsidRPr="00277858" w14:paraId="16635B8E" w14:textId="77777777" w:rsidTr="008A7C65">
        <w:trPr>
          <w:trHeight w:val="57"/>
          <w:jc w:val="center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438CBB27" w14:textId="33FE6390" w:rsidR="008A7C65" w:rsidRPr="0011347A" w:rsidRDefault="008A7C65" w:rsidP="0088362C">
            <w:pPr>
              <w:pStyle w:val="BodyText"/>
              <w:spacing w:after="160" w:line="251" w:lineRule="exact"/>
              <w:ind w:left="0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color w:val="000000" w:themeColor="text1"/>
                <w:w w:val="100"/>
                <w:sz w:val="16"/>
                <w:szCs w:val="16"/>
              </w:rPr>
              <w:t>Exponencial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08F49938" w14:textId="2C21E099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w w:val="100"/>
                <w:sz w:val="16"/>
                <w:szCs w:val="16"/>
                <w:lang w:val="en-US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6352.83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2AA6A8DA" w14:textId="71481A2A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color w:val="000000" w:themeColor="text1"/>
                <w:w w:val="100"/>
                <w:sz w:val="16"/>
                <w:szCs w:val="16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6357.83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A86CD0" w14:textId="53CEBC9A" w:rsidR="008A7C65" w:rsidRPr="0011347A" w:rsidRDefault="008A7C65" w:rsidP="0088362C">
            <w:pPr>
              <w:pStyle w:val="BodyText"/>
              <w:spacing w:after="160" w:line="251" w:lineRule="exact"/>
              <w:ind w:left="0"/>
              <w:jc w:val="center"/>
              <w:rPr>
                <w:w w:val="100"/>
                <w:sz w:val="16"/>
                <w:szCs w:val="16"/>
                <w:lang w:val="en-US"/>
              </w:rPr>
            </w:pPr>
            <w:r w:rsidRPr="0011347A">
              <w:rPr>
                <w:w w:val="100"/>
                <w:sz w:val="16"/>
                <w:szCs w:val="16"/>
                <w:lang w:val="en-US"/>
              </w:rPr>
              <w:t>-3175.41</w:t>
            </w:r>
          </w:p>
        </w:tc>
      </w:tr>
      <w:tr w:rsidR="008A7C65" w:rsidRPr="00277858" w14:paraId="64F2FA67" w14:textId="77777777" w:rsidTr="008A7C65">
        <w:trPr>
          <w:trHeight w:val="57"/>
          <w:jc w:val="center"/>
        </w:trPr>
        <w:tc>
          <w:tcPr>
            <w:tcW w:w="6521" w:type="dxa"/>
            <w:gridSpan w:val="4"/>
            <w:tcBorders>
              <w:top w:val="nil"/>
              <w:left w:val="nil"/>
              <w:right w:val="nil"/>
            </w:tcBorders>
          </w:tcPr>
          <w:p w14:paraId="063A90B6" w14:textId="77F7CC7D" w:rsidR="008A7C65" w:rsidRPr="0011347A" w:rsidRDefault="008A7C65" w:rsidP="0088362C">
            <w:pPr>
              <w:pStyle w:val="BodyText"/>
              <w:spacing w:line="251" w:lineRule="exact"/>
              <w:ind w:left="0" w:right="32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a</w:t>
            </w:r>
            <w:r w:rsidRPr="0011347A">
              <w:rPr>
                <w:color w:val="000000" w:themeColor="text1"/>
                <w:w w:val="100"/>
                <w:sz w:val="16"/>
                <w:szCs w:val="16"/>
              </w:rPr>
              <w:t>AIC</w:t>
            </w:r>
            <w:proofErr w:type="spellEnd"/>
            <w:r w:rsidRPr="0011347A">
              <w:rPr>
                <w:color w:val="000000" w:themeColor="text1"/>
                <w:w w:val="100"/>
                <w:sz w:val="16"/>
                <w:szCs w:val="16"/>
              </w:rPr>
              <w:t xml:space="preserve"> = Criterio de información de </w:t>
            </w:r>
            <w:proofErr w:type="spellStart"/>
            <w:r w:rsidRPr="0011347A">
              <w:rPr>
                <w:color w:val="000000" w:themeColor="text1"/>
                <w:w w:val="100"/>
                <w:sz w:val="16"/>
                <w:szCs w:val="16"/>
              </w:rPr>
              <w:t>Akaike</w:t>
            </w:r>
            <w:proofErr w:type="spellEnd"/>
          </w:p>
          <w:p w14:paraId="0FCE4AB8" w14:textId="37158239" w:rsidR="008A7C65" w:rsidRPr="00277858" w:rsidRDefault="008A7C65" w:rsidP="0088362C">
            <w:pPr>
              <w:pStyle w:val="BodyText"/>
              <w:spacing w:line="251" w:lineRule="exact"/>
              <w:ind w:left="0" w:right="32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b</w:t>
            </w:r>
            <w:r w:rsidR="0011347A">
              <w:rPr>
                <w:color w:val="000000" w:themeColor="text1"/>
                <w:w w:val="100"/>
                <w:sz w:val="16"/>
                <w:szCs w:val="16"/>
              </w:rPr>
              <w:t>BIC</w:t>
            </w:r>
            <w:proofErr w:type="spellEnd"/>
            <w:r w:rsidR="0011347A">
              <w:rPr>
                <w:color w:val="000000" w:themeColor="text1"/>
                <w:w w:val="100"/>
                <w:sz w:val="16"/>
                <w:szCs w:val="16"/>
              </w:rPr>
              <w:t xml:space="preserve"> = Criterio de información Bayesiano (o criterio de </w:t>
            </w:r>
            <w:proofErr w:type="spellStart"/>
            <w:r w:rsidR="0011347A">
              <w:rPr>
                <w:color w:val="000000" w:themeColor="text1"/>
                <w:w w:val="100"/>
                <w:sz w:val="16"/>
                <w:szCs w:val="16"/>
              </w:rPr>
              <w:t>Schwarz</w:t>
            </w:r>
            <w:proofErr w:type="spellEnd"/>
            <w:r w:rsidR="0011347A">
              <w:rPr>
                <w:color w:val="000000" w:themeColor="text1"/>
                <w:w w:val="100"/>
                <w:sz w:val="16"/>
                <w:szCs w:val="16"/>
              </w:rPr>
              <w:t>)</w:t>
            </w:r>
          </w:p>
          <w:p w14:paraId="78153BF3" w14:textId="558D7198" w:rsidR="008A7C65" w:rsidRPr="00277858" w:rsidRDefault="008A7C65" w:rsidP="0088362C">
            <w:pPr>
              <w:pStyle w:val="BodyText"/>
              <w:spacing w:line="251" w:lineRule="exact"/>
              <w:ind w:left="0" w:right="32"/>
              <w:rPr>
                <w:color w:val="000000" w:themeColor="text1"/>
                <w:w w:val="100"/>
                <w:sz w:val="16"/>
                <w:szCs w:val="16"/>
              </w:rPr>
            </w:pPr>
            <w:proofErr w:type="spellStart"/>
            <w:r w:rsidRPr="00277858">
              <w:rPr>
                <w:color w:val="000000" w:themeColor="text1"/>
                <w:w w:val="100"/>
                <w:sz w:val="16"/>
                <w:szCs w:val="16"/>
                <w:vertAlign w:val="superscript"/>
              </w:rPr>
              <w:t>c</w:t>
            </w:r>
            <w:r w:rsidR="0011347A">
              <w:rPr>
                <w:color w:val="000000" w:themeColor="text1"/>
                <w:w w:val="100"/>
                <w:sz w:val="16"/>
                <w:szCs w:val="16"/>
              </w:rPr>
              <w:t>LRV</w:t>
            </w:r>
            <w:proofErr w:type="spellEnd"/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 = </w:t>
            </w:r>
            <w:r w:rsidR="0011347A">
              <w:rPr>
                <w:color w:val="000000" w:themeColor="text1"/>
                <w:w w:val="100"/>
                <w:sz w:val="16"/>
                <w:szCs w:val="16"/>
              </w:rPr>
              <w:t xml:space="preserve">Logaritmo de la Razón de Verosimilitud. </w:t>
            </w:r>
          </w:p>
          <w:p w14:paraId="29C72A54" w14:textId="11BD78CE" w:rsidR="008A7C65" w:rsidRPr="00277858" w:rsidRDefault="008A7C65" w:rsidP="0088362C">
            <w:pPr>
              <w:pStyle w:val="BodyText"/>
              <w:spacing w:line="251" w:lineRule="exact"/>
              <w:ind w:left="0" w:right="32"/>
              <w:rPr>
                <w:color w:val="000000" w:themeColor="text1"/>
                <w:w w:val="100"/>
                <w:sz w:val="16"/>
                <w:szCs w:val="16"/>
              </w:rPr>
            </w:pPr>
            <w:r w:rsidRPr="00277858">
              <w:rPr>
                <w:color w:val="000000" w:themeColor="text1"/>
                <w:w w:val="100"/>
                <w:sz w:val="16"/>
                <w:szCs w:val="16"/>
              </w:rPr>
              <w:t xml:space="preserve">Cálculos con base en los reportes diarios publicados por el Instituto Nacional de Salud. Período de </w:t>
            </w:r>
            <w:r w:rsidRPr="00277858">
              <w:rPr>
                <w:color w:val="000000" w:themeColor="text1"/>
                <w:w w:val="100"/>
                <w:sz w:val="16"/>
                <w:szCs w:val="16"/>
              </w:rPr>
              <w:lastRenderedPageBreak/>
              <w:t xml:space="preserve">estudio: </w:t>
            </w:r>
            <w:r w:rsidRPr="00277858">
              <w:rPr>
                <w:w w:val="100"/>
                <w:sz w:val="16"/>
                <w:szCs w:val="16"/>
              </w:rPr>
              <w:t xml:space="preserve">20/04/2020 – 30/10/2021. </w:t>
            </w:r>
          </w:p>
        </w:tc>
      </w:tr>
    </w:tbl>
    <w:p w14:paraId="6FCB7A5C" w14:textId="35F18C61" w:rsidR="008A7C65" w:rsidRPr="00DB130F" w:rsidRDefault="008A7C65" w:rsidP="008A7C65">
      <w:pPr>
        <w:pStyle w:val="BodyText"/>
        <w:spacing w:before="96" w:after="160" w:line="249" w:lineRule="auto"/>
        <w:ind w:left="720" w:right="1110"/>
        <w:rPr>
          <w:rFonts w:eastAsiaTheme="minorEastAsia"/>
          <w:color w:val="000000" w:themeColor="text1"/>
          <w:w w:val="100"/>
          <w:sz w:val="18"/>
          <w:szCs w:val="18"/>
        </w:rPr>
        <w:sectPr w:rsidR="008A7C65" w:rsidRPr="00DB130F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p w14:paraId="0A4AFB30" w14:textId="6C21FE66" w:rsidR="008A7C65" w:rsidRDefault="008A7C65" w:rsidP="008A7C65">
      <w:pPr>
        <w:pStyle w:val="BodyText"/>
        <w:spacing w:line="251" w:lineRule="exact"/>
        <w:rPr>
          <w:b/>
          <w:bCs/>
          <w:w w:val="100"/>
          <w:sz w:val="24"/>
          <w:szCs w:val="24"/>
        </w:rPr>
      </w:pPr>
    </w:p>
    <w:p w14:paraId="3DD7BC61" w14:textId="7372E018" w:rsidR="008A7C65" w:rsidRPr="008A7C65" w:rsidRDefault="008A7C65" w:rsidP="008A7C65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  <w:sectPr w:rsidR="008A7C65" w:rsidRPr="008A7C65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  <w:r w:rsidRPr="008A7C65">
        <w:rPr>
          <w:b/>
          <w:w w:val="100"/>
          <w:sz w:val="24"/>
          <w:szCs w:val="24"/>
        </w:rPr>
        <w:t xml:space="preserve">Figura </w:t>
      </w:r>
      <w:r>
        <w:rPr>
          <w:b/>
          <w:w w:val="100"/>
          <w:sz w:val="24"/>
          <w:szCs w:val="24"/>
        </w:rPr>
        <w:t>S</w:t>
      </w:r>
      <w:r w:rsidR="005F01D0">
        <w:rPr>
          <w:b/>
          <w:w w:val="100"/>
          <w:sz w:val="24"/>
          <w:szCs w:val="24"/>
        </w:rPr>
        <w:t>4</w:t>
      </w:r>
      <w:r w:rsidRPr="008A7C65">
        <w:rPr>
          <w:b/>
          <w:w w:val="100"/>
          <w:sz w:val="24"/>
          <w:szCs w:val="24"/>
        </w:rPr>
        <w:t xml:space="preserve">: </w:t>
      </w:r>
      <w:r w:rsidR="0011347A">
        <w:rPr>
          <w:w w:val="100"/>
          <w:sz w:val="24"/>
          <w:szCs w:val="24"/>
        </w:rPr>
        <w:t>Modelos paramétricos de riesgo acumulado para pacientes UCI por COVID-19</w:t>
      </w:r>
    </w:p>
    <w:p w14:paraId="1857A71E" w14:textId="77777777" w:rsidR="00487121" w:rsidRDefault="00487121" w:rsidP="00487121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</w:pPr>
    </w:p>
    <w:p w14:paraId="214E8AB1" w14:textId="6AE8BCE2" w:rsidR="00487121" w:rsidRDefault="00487121" w:rsidP="00487121">
      <w:pPr>
        <w:pStyle w:val="BodyText"/>
        <w:spacing w:before="96" w:after="160" w:line="249" w:lineRule="auto"/>
        <w:ind w:left="0" w:right="827"/>
        <w:jc w:val="center"/>
        <w:rPr>
          <w:w w:val="100"/>
          <w:sz w:val="18"/>
          <w:szCs w:val="18"/>
        </w:rPr>
      </w:pPr>
      <w:r>
        <w:rPr>
          <w:noProof/>
          <w:w w:val="100"/>
          <w:sz w:val="18"/>
          <w:szCs w:val="18"/>
        </w:rPr>
        <w:drawing>
          <wp:inline distT="0" distB="0" distL="0" distR="0" wp14:anchorId="7DA3086F" wp14:editId="0023C0A9">
            <wp:extent cx="3960000" cy="3564186"/>
            <wp:effectExtent l="0" t="0" r="2540" b="5080"/>
            <wp:docPr id="19" name="Picture 19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graph of different colored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88B1" w14:textId="76A2C3DF" w:rsidR="005F01D0" w:rsidRPr="00487121" w:rsidRDefault="0011347A" w:rsidP="00487121">
      <w:pPr>
        <w:pStyle w:val="BodyText"/>
        <w:spacing w:before="96" w:after="160" w:line="249" w:lineRule="auto"/>
        <w:ind w:left="0" w:right="827"/>
        <w:rPr>
          <w:rFonts w:eastAsiaTheme="minorEastAsia"/>
          <w:color w:val="000000" w:themeColor="text1"/>
          <w:w w:val="100"/>
          <w:sz w:val="18"/>
          <w:szCs w:val="18"/>
        </w:rPr>
      </w:pPr>
      <w:r w:rsidRPr="00483510">
        <w:rPr>
          <w:w w:val="100"/>
          <w:sz w:val="18"/>
          <w:szCs w:val="18"/>
        </w:rPr>
        <w:t xml:space="preserve">Tasa de </w:t>
      </w:r>
      <w:r>
        <w:rPr>
          <w:w w:val="100"/>
          <w:sz w:val="18"/>
          <w:szCs w:val="18"/>
        </w:rPr>
        <w:t>riesgo acumulado</w:t>
      </w:r>
      <w:r>
        <w:rPr>
          <w:rFonts w:eastAsiaTheme="minorEastAsia"/>
          <w:color w:val="000000" w:themeColor="text1"/>
          <w:w w:val="100"/>
          <w:sz w:val="18"/>
          <w:szCs w:val="18"/>
        </w:rPr>
        <w:t>. (La función escalonada representa l estimador de Kaplan-</w:t>
      </w:r>
      <w:proofErr w:type="spellStart"/>
      <w:r>
        <w:rPr>
          <w:rFonts w:eastAsiaTheme="minorEastAsia"/>
          <w:color w:val="000000" w:themeColor="text1"/>
          <w:w w:val="100"/>
          <w:sz w:val="18"/>
          <w:szCs w:val="18"/>
        </w:rPr>
        <w:t>Meier</w:t>
      </w:r>
      <w:proofErr w:type="spellEnd"/>
      <w:r>
        <w:rPr>
          <w:rFonts w:eastAsiaTheme="minorEastAsia"/>
          <w:color w:val="000000" w:themeColor="text1"/>
          <w:w w:val="100"/>
          <w:sz w:val="18"/>
          <w:szCs w:val="18"/>
        </w:rPr>
        <w:t xml:space="preserve">. </w:t>
      </w:r>
      <w:r>
        <w:rPr>
          <w:rFonts w:eastAsiaTheme="minorEastAsia"/>
          <w:b/>
          <w:bCs/>
          <w:color w:val="000000" w:themeColor="text1"/>
          <w:w w:val="100"/>
          <w:sz w:val="18"/>
          <w:szCs w:val="18"/>
        </w:rPr>
        <w:t xml:space="preserve">Fuente: </w:t>
      </w:r>
      <w:r>
        <w:rPr>
          <w:rFonts w:eastAsiaTheme="minorEastAsia"/>
          <w:color w:val="000000" w:themeColor="text1"/>
          <w:w w:val="100"/>
          <w:sz w:val="18"/>
          <w:szCs w:val="18"/>
        </w:rPr>
        <w:t>cálculos propios a partir de la información del estudio).</w:t>
      </w:r>
    </w:p>
    <w:p w14:paraId="1CC1B101" w14:textId="77777777" w:rsidR="005F01D0" w:rsidRDefault="005F01D0" w:rsidP="00487121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</w:pPr>
    </w:p>
    <w:p w14:paraId="4553E07C" w14:textId="77777777" w:rsidR="008A7C65" w:rsidRPr="0072598F" w:rsidRDefault="008A7C65" w:rsidP="005F01D0">
      <w:pPr>
        <w:pStyle w:val="BodyText"/>
        <w:spacing w:line="251" w:lineRule="exact"/>
        <w:ind w:left="851" w:hanging="142"/>
        <w:rPr>
          <w:b/>
          <w:bCs/>
          <w:w w:val="100"/>
          <w:sz w:val="24"/>
          <w:szCs w:val="24"/>
        </w:rPr>
      </w:pPr>
    </w:p>
    <w:p w14:paraId="00047ADD" w14:textId="4E56BE0A" w:rsidR="005F01D0" w:rsidRPr="005F01D0" w:rsidRDefault="00277858" w:rsidP="005F01D0">
      <w:pPr>
        <w:pStyle w:val="BodyText"/>
        <w:numPr>
          <w:ilvl w:val="0"/>
          <w:numId w:val="1"/>
        </w:numPr>
        <w:spacing w:line="251" w:lineRule="exact"/>
        <w:ind w:left="0" w:firstLine="0"/>
        <w:rPr>
          <w:b/>
          <w:bCs/>
          <w:w w:val="100"/>
          <w:sz w:val="24"/>
          <w:szCs w:val="24"/>
        </w:rPr>
      </w:pPr>
      <w:r w:rsidRPr="0072598F">
        <w:rPr>
          <w:b/>
          <w:bCs/>
          <w:w w:val="100"/>
          <w:sz w:val="24"/>
          <w:szCs w:val="24"/>
        </w:rPr>
        <w:t>Modelo de riesgos proporcionales de Co</w:t>
      </w:r>
      <w:r>
        <w:rPr>
          <w:b/>
          <w:bCs/>
          <w:w w:val="100"/>
          <w:sz w:val="24"/>
          <w:szCs w:val="24"/>
        </w:rPr>
        <w:t>x</w:t>
      </w:r>
    </w:p>
    <w:p w14:paraId="5879FA7B" w14:textId="77777777" w:rsidR="00C9769B" w:rsidRDefault="00C9769B" w:rsidP="00C9769B">
      <w:pPr>
        <w:pStyle w:val="BodyText"/>
        <w:spacing w:before="96" w:after="160" w:line="249" w:lineRule="auto"/>
        <w:ind w:left="0" w:right="1110"/>
        <w:rPr>
          <w:b/>
          <w:bCs/>
          <w:w w:val="100"/>
          <w:sz w:val="24"/>
          <w:szCs w:val="24"/>
        </w:rPr>
      </w:pPr>
    </w:p>
    <w:p w14:paraId="7C6CE07B" w14:textId="141082E3" w:rsidR="005F01D0" w:rsidRPr="00DB130F" w:rsidRDefault="005F01D0" w:rsidP="00C9769B">
      <w:pPr>
        <w:pStyle w:val="BodyText"/>
        <w:spacing w:before="96" w:after="160" w:line="249" w:lineRule="auto"/>
        <w:ind w:left="0" w:right="-1"/>
        <w:rPr>
          <w:rFonts w:eastAsiaTheme="minorEastAsia"/>
          <w:w w:val="100"/>
          <w:sz w:val="24"/>
          <w:szCs w:val="24"/>
        </w:rPr>
        <w:sectPr w:rsidR="005F01D0" w:rsidRPr="00DB130F" w:rsidSect="00C9769B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  <w:r w:rsidRPr="00DB130F">
        <w:rPr>
          <w:rFonts w:eastAsiaTheme="minorEastAsia"/>
          <w:b/>
          <w:w w:val="100"/>
          <w:sz w:val="24"/>
          <w:szCs w:val="24"/>
        </w:rPr>
        <w:t xml:space="preserve">Cuadro </w:t>
      </w:r>
      <w:r>
        <w:rPr>
          <w:rFonts w:eastAsiaTheme="minorEastAsia"/>
          <w:b/>
          <w:w w:val="100"/>
          <w:sz w:val="24"/>
          <w:szCs w:val="24"/>
        </w:rPr>
        <w:t>S5</w:t>
      </w:r>
      <w:r w:rsidRPr="00DB130F">
        <w:rPr>
          <w:rFonts w:eastAsiaTheme="minorEastAsia"/>
          <w:b/>
          <w:w w:val="100"/>
          <w:sz w:val="24"/>
          <w:szCs w:val="24"/>
        </w:rPr>
        <w:t>:</w:t>
      </w:r>
      <w:r w:rsidRPr="00DB130F">
        <w:rPr>
          <w:rFonts w:eastAsiaTheme="minorEastAsia"/>
          <w:w w:val="100"/>
          <w:sz w:val="24"/>
          <w:szCs w:val="24"/>
        </w:rPr>
        <w:t xml:space="preserve"> modelo multivariante de Cox para factores de riesgo asociados con la mortalidad en UCI de pacientes con COVID-19</w:t>
      </w:r>
      <w:r>
        <w:rPr>
          <w:rFonts w:eastAsiaTheme="minorEastAsia"/>
          <w:w w:val="100"/>
          <w:sz w:val="24"/>
          <w:szCs w:val="24"/>
        </w:rPr>
        <w:t xml:space="preserve"> (edad como variable continua)</w:t>
      </w:r>
    </w:p>
    <w:p w14:paraId="77ECD5A0" w14:textId="77777777" w:rsidR="005F01D0" w:rsidRDefault="005F01D0" w:rsidP="005F01D0">
      <w:pPr>
        <w:pStyle w:val="BodyText"/>
        <w:spacing w:before="96" w:after="160" w:line="249" w:lineRule="auto"/>
        <w:ind w:left="0" w:right="-1"/>
        <w:rPr>
          <w:rFonts w:eastAsiaTheme="minorEastAsia"/>
          <w:w w:val="100"/>
        </w:rPr>
        <w:sectPr w:rsidR="005F01D0" w:rsidSect="00DA708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9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1580"/>
        <w:gridCol w:w="993"/>
        <w:gridCol w:w="1753"/>
        <w:gridCol w:w="993"/>
        <w:gridCol w:w="1795"/>
        <w:gridCol w:w="1134"/>
      </w:tblGrid>
      <w:tr w:rsidR="005F01D0" w:rsidRPr="00C9769B" w14:paraId="0AB0DE63" w14:textId="77777777" w:rsidTr="00C9769B">
        <w:trPr>
          <w:jc w:val="center"/>
        </w:trPr>
        <w:tc>
          <w:tcPr>
            <w:tcW w:w="1387" w:type="dxa"/>
            <w:tcBorders>
              <w:top w:val="double" w:sz="4" w:space="0" w:color="auto"/>
            </w:tcBorders>
          </w:tcPr>
          <w:p w14:paraId="53CC6092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rPr>
                <w:rFonts w:eastAsiaTheme="minorEastAsia"/>
                <w:w w:val="100"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14:paraId="62A1AE35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b/>
                <w:bCs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b/>
                <w:bCs/>
                <w:w w:val="100"/>
                <w:sz w:val="18"/>
                <w:szCs w:val="18"/>
              </w:rPr>
              <w:t>Total</w:t>
            </w:r>
          </w:p>
        </w:tc>
        <w:tc>
          <w:tcPr>
            <w:tcW w:w="2746" w:type="dxa"/>
            <w:gridSpan w:val="2"/>
            <w:tcBorders>
              <w:top w:val="double" w:sz="4" w:space="0" w:color="auto"/>
            </w:tcBorders>
          </w:tcPr>
          <w:p w14:paraId="6FA51A0B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proofErr w:type="spellStart"/>
            <w:r w:rsidRPr="00C9769B">
              <w:rPr>
                <w:b/>
                <w:bCs/>
                <w:color w:val="000000" w:themeColor="text1"/>
                <w:w w:val="100"/>
                <w:sz w:val="18"/>
                <w:szCs w:val="18"/>
              </w:rPr>
              <w:t>CC</w:t>
            </w:r>
            <w:r w:rsidRPr="00C9769B">
              <w:rPr>
                <w:rFonts w:eastAsiaTheme="minorEastAsia"/>
                <w:w w:val="100"/>
                <w:sz w:val="18"/>
                <w:szCs w:val="18"/>
                <w:vertAlign w:val="superscript"/>
              </w:rPr>
              <w:t>a</w:t>
            </w:r>
            <w:proofErr w:type="spellEnd"/>
            <w:r w:rsidRPr="00C9769B">
              <w:rPr>
                <w:b/>
                <w:bCs/>
                <w:color w:val="000000" w:themeColor="text1"/>
                <w:w w:val="100"/>
                <w:sz w:val="18"/>
                <w:szCs w:val="18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w w:val="100"/>
                  <w:sz w:val="18"/>
                  <w:szCs w:val="18"/>
                </w:rPr>
                <m:t>T≥21</m:t>
              </m:r>
            </m:oMath>
            <w:r w:rsidRPr="00C9769B">
              <w:rPr>
                <w:b/>
                <w:bCs/>
                <w:color w:val="000000" w:themeColor="text1"/>
                <w:w w:val="100"/>
                <w:sz w:val="18"/>
                <w:szCs w:val="18"/>
              </w:rPr>
              <w:t>)</w:t>
            </w:r>
          </w:p>
        </w:tc>
        <w:tc>
          <w:tcPr>
            <w:tcW w:w="2929" w:type="dxa"/>
            <w:gridSpan w:val="2"/>
            <w:tcBorders>
              <w:top w:val="double" w:sz="4" w:space="0" w:color="auto"/>
            </w:tcBorders>
          </w:tcPr>
          <w:p w14:paraId="2BE4FC54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b/>
                <w:bCs/>
                <w:color w:val="000000" w:themeColor="text1"/>
                <w:w w:val="100"/>
                <w:sz w:val="18"/>
                <w:szCs w:val="18"/>
              </w:rPr>
              <w:t>No-</w:t>
            </w:r>
            <w:proofErr w:type="spellStart"/>
            <w:r w:rsidRPr="00C9769B">
              <w:rPr>
                <w:b/>
                <w:bCs/>
                <w:color w:val="000000" w:themeColor="text1"/>
                <w:w w:val="100"/>
                <w:sz w:val="18"/>
                <w:szCs w:val="18"/>
              </w:rPr>
              <w:t>CC</w:t>
            </w:r>
            <w:r w:rsidRPr="00C9769B">
              <w:rPr>
                <w:rFonts w:eastAsiaTheme="minorEastAsia"/>
                <w:w w:val="100"/>
                <w:sz w:val="18"/>
                <w:szCs w:val="18"/>
                <w:vertAlign w:val="superscript"/>
              </w:rPr>
              <w:t>b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w w:val="100"/>
                  <w:sz w:val="18"/>
                  <w:szCs w:val="18"/>
                </w:rPr>
                <m:t xml:space="preserve"> (T&lt;21)</m:t>
              </m:r>
            </m:oMath>
          </w:p>
        </w:tc>
      </w:tr>
      <w:tr w:rsidR="005F01D0" w:rsidRPr="00C9769B" w14:paraId="1D54EC9F" w14:textId="77777777" w:rsidTr="00C9769B">
        <w:trPr>
          <w:jc w:val="center"/>
        </w:trPr>
        <w:tc>
          <w:tcPr>
            <w:tcW w:w="1387" w:type="dxa"/>
            <w:tcBorders>
              <w:bottom w:val="single" w:sz="12" w:space="0" w:color="auto"/>
            </w:tcBorders>
          </w:tcPr>
          <w:p w14:paraId="3E503476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left"/>
              <w:rPr>
                <w:rFonts w:eastAsiaTheme="minorEastAsia"/>
                <w:w w:val="100"/>
                <w:sz w:val="18"/>
                <w:szCs w:val="18"/>
              </w:rPr>
            </w:pPr>
          </w:p>
        </w:tc>
        <w:tc>
          <w:tcPr>
            <w:tcW w:w="1580" w:type="dxa"/>
            <w:tcBorders>
              <w:bottom w:val="single" w:sz="12" w:space="0" w:color="auto"/>
            </w:tcBorders>
          </w:tcPr>
          <w:p w14:paraId="25F96B0F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proofErr w:type="spellStart"/>
            <w:r w:rsidRPr="00C9769B">
              <w:rPr>
                <w:rFonts w:eastAsiaTheme="minorEastAsia"/>
                <w:w w:val="100"/>
                <w:sz w:val="18"/>
                <w:szCs w:val="18"/>
              </w:rPr>
              <w:t>HR</w:t>
            </w:r>
            <w:r w:rsidRPr="00C9769B">
              <w:rPr>
                <w:rFonts w:eastAsiaTheme="minorEastAsia"/>
                <w:w w:val="100"/>
                <w:sz w:val="18"/>
                <w:szCs w:val="18"/>
                <w:vertAlign w:val="superscript"/>
              </w:rPr>
              <w:t>c</w:t>
            </w:r>
            <w:proofErr w:type="spellEnd"/>
            <w:r w:rsidRPr="00C9769B">
              <w:rPr>
                <w:rFonts w:eastAsiaTheme="minorEastAsia"/>
                <w:w w:val="100"/>
                <w:sz w:val="18"/>
                <w:szCs w:val="18"/>
              </w:rPr>
              <w:t xml:space="preserve"> (95% CI)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6C8CF045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  <w:vertAlign w:val="superscript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valor-</w:t>
            </w:r>
            <w:proofErr w:type="spellStart"/>
            <w:r w:rsidRPr="00C9769B">
              <w:rPr>
                <w:rFonts w:eastAsiaTheme="minorEastAsia"/>
                <w:w w:val="100"/>
                <w:sz w:val="18"/>
                <w:szCs w:val="18"/>
              </w:rPr>
              <w:t>p</w:t>
            </w:r>
            <w:r w:rsidRPr="00C9769B">
              <w:rPr>
                <w:rFonts w:eastAsiaTheme="minorEastAsia"/>
                <w:w w:val="100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1753" w:type="dxa"/>
            <w:tcBorders>
              <w:bottom w:val="single" w:sz="12" w:space="0" w:color="auto"/>
            </w:tcBorders>
          </w:tcPr>
          <w:p w14:paraId="75EA6E64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HR (95% CI)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3D99DEC0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valor-p</w:t>
            </w:r>
          </w:p>
        </w:tc>
        <w:tc>
          <w:tcPr>
            <w:tcW w:w="1795" w:type="dxa"/>
            <w:tcBorders>
              <w:bottom w:val="single" w:sz="12" w:space="0" w:color="auto"/>
            </w:tcBorders>
          </w:tcPr>
          <w:p w14:paraId="53033F4B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HR (95% CI)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EA00E64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valor-p</w:t>
            </w:r>
          </w:p>
        </w:tc>
      </w:tr>
      <w:tr w:rsidR="005F01D0" w:rsidRPr="00C9769B" w14:paraId="09107470" w14:textId="77777777" w:rsidTr="00C9769B">
        <w:trPr>
          <w:jc w:val="center"/>
        </w:trPr>
        <w:tc>
          <w:tcPr>
            <w:tcW w:w="1387" w:type="dxa"/>
            <w:tcBorders>
              <w:top w:val="single" w:sz="12" w:space="0" w:color="auto"/>
            </w:tcBorders>
          </w:tcPr>
          <w:p w14:paraId="5E063E84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Sexo (Masculino vs. Femenino)</w:t>
            </w:r>
          </w:p>
        </w:tc>
        <w:tc>
          <w:tcPr>
            <w:tcW w:w="1580" w:type="dxa"/>
            <w:tcBorders>
              <w:top w:val="single" w:sz="12" w:space="0" w:color="auto"/>
            </w:tcBorders>
          </w:tcPr>
          <w:p w14:paraId="309934FB" w14:textId="5E393FAD" w:rsidR="005F01D0" w:rsidRPr="00C9769B" w:rsidRDefault="00C9769B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w w:val="100"/>
                <w:sz w:val="18"/>
                <w:szCs w:val="18"/>
                <w:lang w:val="en-US"/>
              </w:rPr>
              <w:t>1.09 (0.92 – 1.29)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009251A9" w14:textId="512534E4" w:rsidR="005F01D0" w:rsidRPr="00C9769B" w:rsidRDefault="00C9769B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w w:val="100"/>
                <w:sz w:val="18"/>
                <w:szCs w:val="18"/>
                <w:lang w:val="en-US"/>
              </w:rPr>
              <w:t>0.3417</w:t>
            </w:r>
          </w:p>
        </w:tc>
        <w:tc>
          <w:tcPr>
            <w:tcW w:w="1753" w:type="dxa"/>
            <w:tcBorders>
              <w:top w:val="single" w:sz="12" w:space="0" w:color="auto"/>
            </w:tcBorders>
          </w:tcPr>
          <w:p w14:paraId="08537705" w14:textId="26E6DD7F" w:rsidR="005F01D0" w:rsidRPr="00C9769B" w:rsidRDefault="00C9769B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w w:val="100"/>
                <w:sz w:val="18"/>
                <w:szCs w:val="18"/>
                <w:lang w:val="en-US"/>
              </w:rPr>
              <w:t>1.1</w:t>
            </w:r>
            <w:r>
              <w:rPr>
                <w:w w:val="100"/>
                <w:sz w:val="18"/>
                <w:szCs w:val="18"/>
                <w:lang w:val="en-US"/>
              </w:rPr>
              <w:t>6</w:t>
            </w:r>
            <w:r w:rsidRPr="00C9769B">
              <w:rPr>
                <w:w w:val="100"/>
                <w:sz w:val="18"/>
                <w:szCs w:val="18"/>
                <w:lang w:val="en-US"/>
              </w:rPr>
              <w:t xml:space="preserve"> (0.69 - 1.93)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0509BE42" w14:textId="7DC05B2A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0,</w:t>
            </w:r>
            <w:r w:rsidR="00C9769B" w:rsidRPr="00C9769B">
              <w:rPr>
                <w:rFonts w:eastAsiaTheme="minorEastAsia"/>
                <w:w w:val="100"/>
                <w:sz w:val="18"/>
                <w:szCs w:val="18"/>
              </w:rPr>
              <w:t>5785</w:t>
            </w:r>
          </w:p>
        </w:tc>
        <w:tc>
          <w:tcPr>
            <w:tcW w:w="1795" w:type="dxa"/>
            <w:tcBorders>
              <w:top w:val="single" w:sz="12" w:space="0" w:color="auto"/>
            </w:tcBorders>
          </w:tcPr>
          <w:p w14:paraId="61D494DF" w14:textId="3F9F4266" w:rsidR="005F01D0" w:rsidRPr="00C9769B" w:rsidRDefault="00C9769B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w w:val="100"/>
                <w:sz w:val="18"/>
                <w:szCs w:val="18"/>
                <w:lang w:val="en-US"/>
              </w:rPr>
              <w:t>1.</w:t>
            </w:r>
            <w:r>
              <w:rPr>
                <w:w w:val="100"/>
                <w:sz w:val="18"/>
                <w:szCs w:val="18"/>
                <w:lang w:val="en-US"/>
              </w:rPr>
              <w:t>10</w:t>
            </w:r>
            <w:r w:rsidRPr="00C9769B">
              <w:rPr>
                <w:w w:val="100"/>
                <w:sz w:val="18"/>
                <w:szCs w:val="18"/>
                <w:lang w:val="en-US"/>
              </w:rPr>
              <w:t xml:space="preserve"> (0.9</w:t>
            </w:r>
            <w:r>
              <w:rPr>
                <w:w w:val="100"/>
                <w:sz w:val="18"/>
                <w:szCs w:val="18"/>
                <w:lang w:val="en-US"/>
              </w:rPr>
              <w:t>2</w:t>
            </w:r>
            <w:r w:rsidRPr="00C9769B">
              <w:rPr>
                <w:w w:val="100"/>
                <w:sz w:val="18"/>
                <w:szCs w:val="18"/>
                <w:lang w:val="en-US"/>
              </w:rPr>
              <w:t xml:space="preserve"> - 1.31)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3601B9F" w14:textId="3A9B58E0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0,3</w:t>
            </w:r>
            <w:r w:rsidR="00C9769B" w:rsidRPr="00C9769B">
              <w:rPr>
                <w:rFonts w:eastAsiaTheme="minorEastAsia"/>
                <w:w w:val="100"/>
                <w:sz w:val="18"/>
                <w:szCs w:val="18"/>
              </w:rPr>
              <w:t>145</w:t>
            </w:r>
          </w:p>
        </w:tc>
      </w:tr>
      <w:tr w:rsidR="005F01D0" w:rsidRPr="00C9769B" w14:paraId="22873964" w14:textId="77777777" w:rsidTr="00C9769B">
        <w:trPr>
          <w:jc w:val="center"/>
        </w:trPr>
        <w:tc>
          <w:tcPr>
            <w:tcW w:w="1387" w:type="dxa"/>
          </w:tcPr>
          <w:p w14:paraId="574F9FB6" w14:textId="1689410E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Edad            (</w:t>
            </w:r>
            <w:r w:rsidR="00C9769B" w:rsidRPr="00C9769B">
              <w:rPr>
                <w:rFonts w:eastAsiaTheme="minorEastAsia"/>
                <w:w w:val="100"/>
                <w:sz w:val="18"/>
                <w:szCs w:val="18"/>
              </w:rPr>
              <w:t>año adicional</w:t>
            </w:r>
            <w:r w:rsidRPr="00C9769B">
              <w:rPr>
                <w:rFonts w:eastAsiaTheme="minorEastAsia"/>
                <w:w w:val="100"/>
                <w:sz w:val="18"/>
                <w:szCs w:val="18"/>
              </w:rPr>
              <w:t>)</w:t>
            </w:r>
          </w:p>
        </w:tc>
        <w:tc>
          <w:tcPr>
            <w:tcW w:w="1580" w:type="dxa"/>
          </w:tcPr>
          <w:p w14:paraId="24AEFDB5" w14:textId="0398ED51" w:rsidR="005F01D0" w:rsidRPr="00C9769B" w:rsidRDefault="00C9769B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w w:val="100"/>
                <w:sz w:val="18"/>
                <w:szCs w:val="18"/>
                <w:lang w:val="en-US"/>
              </w:rPr>
              <w:t>1.03 (1.0</w:t>
            </w:r>
            <w:r>
              <w:rPr>
                <w:w w:val="100"/>
                <w:sz w:val="18"/>
                <w:szCs w:val="18"/>
                <w:lang w:val="en-US"/>
              </w:rPr>
              <w:t>3</w:t>
            </w:r>
            <w:r w:rsidRPr="00C9769B">
              <w:rPr>
                <w:w w:val="100"/>
                <w:sz w:val="18"/>
                <w:szCs w:val="18"/>
                <w:lang w:val="en-US"/>
              </w:rPr>
              <w:t xml:space="preserve"> - 1.04)</w:t>
            </w:r>
          </w:p>
        </w:tc>
        <w:tc>
          <w:tcPr>
            <w:tcW w:w="993" w:type="dxa"/>
          </w:tcPr>
          <w:p w14:paraId="6847D481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&lt;0,001***</w:t>
            </w:r>
          </w:p>
        </w:tc>
        <w:tc>
          <w:tcPr>
            <w:tcW w:w="1753" w:type="dxa"/>
          </w:tcPr>
          <w:p w14:paraId="26B04B35" w14:textId="4C344DBA" w:rsidR="005F01D0" w:rsidRPr="00C9769B" w:rsidRDefault="00C9769B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w w:val="100"/>
                <w:sz w:val="18"/>
                <w:szCs w:val="18"/>
                <w:lang w:val="en-US"/>
              </w:rPr>
              <w:t>1.0</w:t>
            </w:r>
            <w:r>
              <w:rPr>
                <w:w w:val="100"/>
                <w:sz w:val="18"/>
                <w:szCs w:val="18"/>
                <w:lang w:val="en-US"/>
              </w:rPr>
              <w:t>5</w:t>
            </w:r>
            <w:r w:rsidRPr="00C9769B">
              <w:rPr>
                <w:w w:val="100"/>
                <w:sz w:val="18"/>
                <w:szCs w:val="18"/>
                <w:lang w:val="en-US"/>
              </w:rPr>
              <w:t xml:space="preserve"> (1.0</w:t>
            </w:r>
            <w:r>
              <w:rPr>
                <w:w w:val="100"/>
                <w:sz w:val="18"/>
                <w:szCs w:val="18"/>
                <w:lang w:val="en-US"/>
              </w:rPr>
              <w:t>3</w:t>
            </w:r>
            <w:r w:rsidRPr="00C9769B">
              <w:rPr>
                <w:w w:val="100"/>
                <w:sz w:val="18"/>
                <w:szCs w:val="18"/>
                <w:lang w:val="en-US"/>
              </w:rPr>
              <w:t xml:space="preserve"> - 1.0</w:t>
            </w:r>
            <w:r>
              <w:rPr>
                <w:w w:val="100"/>
                <w:sz w:val="18"/>
                <w:szCs w:val="18"/>
                <w:lang w:val="en-US"/>
              </w:rPr>
              <w:t>7</w:t>
            </w:r>
            <w:r w:rsidRPr="00C9769B">
              <w:rPr>
                <w:w w:val="100"/>
                <w:sz w:val="18"/>
                <w:szCs w:val="18"/>
                <w:lang w:val="en-US"/>
              </w:rPr>
              <w:t>)</w:t>
            </w:r>
          </w:p>
        </w:tc>
        <w:tc>
          <w:tcPr>
            <w:tcW w:w="993" w:type="dxa"/>
          </w:tcPr>
          <w:p w14:paraId="5441EAC6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&lt;0,001***</w:t>
            </w:r>
          </w:p>
        </w:tc>
        <w:tc>
          <w:tcPr>
            <w:tcW w:w="1795" w:type="dxa"/>
          </w:tcPr>
          <w:p w14:paraId="7FD88272" w14:textId="59180033" w:rsidR="005F01D0" w:rsidRPr="00C9769B" w:rsidRDefault="00C9769B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w w:val="100"/>
                <w:sz w:val="18"/>
                <w:szCs w:val="18"/>
                <w:lang w:val="en-US"/>
              </w:rPr>
              <w:t>1.0</w:t>
            </w:r>
            <w:r>
              <w:rPr>
                <w:w w:val="100"/>
                <w:sz w:val="18"/>
                <w:szCs w:val="18"/>
                <w:lang w:val="en-US"/>
              </w:rPr>
              <w:t>3</w:t>
            </w:r>
            <w:r w:rsidRPr="00C9769B">
              <w:rPr>
                <w:w w:val="100"/>
                <w:sz w:val="18"/>
                <w:szCs w:val="18"/>
                <w:lang w:val="en-US"/>
              </w:rPr>
              <w:t xml:space="preserve"> (1.02 - 1.0</w:t>
            </w:r>
            <w:r>
              <w:rPr>
                <w:w w:val="100"/>
                <w:sz w:val="18"/>
                <w:szCs w:val="18"/>
                <w:lang w:val="en-US"/>
              </w:rPr>
              <w:t>4</w:t>
            </w:r>
            <w:r w:rsidRPr="00C9769B">
              <w:rPr>
                <w:w w:val="100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0114B6C" w14:textId="77777777" w:rsidR="005F01D0" w:rsidRPr="00C9769B" w:rsidRDefault="005F01D0" w:rsidP="0088362C">
            <w:pPr>
              <w:pStyle w:val="BodyText"/>
              <w:spacing w:before="96" w:after="160" w:line="249" w:lineRule="auto"/>
              <w:ind w:left="0" w:right="-1"/>
              <w:jc w:val="center"/>
              <w:rPr>
                <w:rFonts w:eastAsiaTheme="minorEastAsia"/>
                <w:w w:val="100"/>
                <w:sz w:val="18"/>
                <w:szCs w:val="18"/>
              </w:rPr>
            </w:pPr>
            <w:r w:rsidRPr="00C9769B">
              <w:rPr>
                <w:rFonts w:eastAsiaTheme="minorEastAsia"/>
                <w:w w:val="100"/>
                <w:sz w:val="18"/>
                <w:szCs w:val="18"/>
              </w:rPr>
              <w:t>&lt;0,001***</w:t>
            </w:r>
          </w:p>
        </w:tc>
      </w:tr>
      <w:tr w:rsidR="005F01D0" w:rsidRPr="00C9769B" w14:paraId="4F9743C6" w14:textId="77777777" w:rsidTr="00C9769B">
        <w:trPr>
          <w:jc w:val="center"/>
        </w:trPr>
        <w:tc>
          <w:tcPr>
            <w:tcW w:w="9635" w:type="dxa"/>
            <w:gridSpan w:val="7"/>
            <w:tcBorders>
              <w:bottom w:val="single" w:sz="8" w:space="0" w:color="auto"/>
            </w:tcBorders>
          </w:tcPr>
          <w:p w14:paraId="38B16BEC" w14:textId="77777777" w:rsidR="005F01D0" w:rsidRPr="00C9769B" w:rsidRDefault="005F01D0" w:rsidP="0088362C">
            <w:pPr>
              <w:pStyle w:val="BodyText"/>
              <w:spacing w:line="249" w:lineRule="auto"/>
              <w:ind w:left="0" w:right="-1"/>
              <w:jc w:val="left"/>
              <w:rPr>
                <w:rFonts w:eastAsiaTheme="minorEastAsia"/>
                <w:w w:val="100"/>
                <w:sz w:val="18"/>
                <w:szCs w:val="18"/>
              </w:rPr>
            </w:pPr>
            <w:proofErr w:type="spellStart"/>
            <w:r w:rsidRPr="00C9769B">
              <w:rPr>
                <w:rFonts w:eastAsiaTheme="minorEastAsia"/>
                <w:w w:val="100"/>
                <w:sz w:val="18"/>
                <w:szCs w:val="18"/>
                <w:vertAlign w:val="superscript"/>
              </w:rPr>
              <w:t>a</w:t>
            </w:r>
            <w:r w:rsidRPr="00C9769B">
              <w:rPr>
                <w:rFonts w:eastAsiaTheme="minorEastAsia"/>
                <w:w w:val="100"/>
                <w:sz w:val="18"/>
                <w:szCs w:val="18"/>
              </w:rPr>
              <w:t>CC</w:t>
            </w:r>
            <w:proofErr w:type="spellEnd"/>
            <w:r w:rsidRPr="00C9769B">
              <w:rPr>
                <w:rFonts w:eastAsiaTheme="minorEastAsia"/>
                <w:w w:val="100"/>
                <w:sz w:val="18"/>
                <w:szCs w:val="18"/>
              </w:rPr>
              <w:t xml:space="preserve"> = Pacientes críticos crónicos.</w:t>
            </w:r>
          </w:p>
          <w:p w14:paraId="0986183A" w14:textId="77777777" w:rsidR="005F01D0" w:rsidRPr="00C9769B" w:rsidRDefault="005F01D0" w:rsidP="0088362C">
            <w:pPr>
              <w:pStyle w:val="BodyText"/>
              <w:spacing w:line="249" w:lineRule="auto"/>
              <w:ind w:left="0" w:right="-1"/>
              <w:jc w:val="left"/>
              <w:rPr>
                <w:rFonts w:eastAsiaTheme="minorEastAsia"/>
                <w:w w:val="100"/>
                <w:sz w:val="18"/>
                <w:szCs w:val="18"/>
              </w:rPr>
            </w:pPr>
            <w:proofErr w:type="spellStart"/>
            <w:r w:rsidRPr="00C9769B">
              <w:rPr>
                <w:rFonts w:eastAsiaTheme="minorEastAsia"/>
                <w:w w:val="100"/>
                <w:sz w:val="18"/>
                <w:szCs w:val="18"/>
                <w:vertAlign w:val="superscript"/>
              </w:rPr>
              <w:t>b</w:t>
            </w:r>
            <w:r w:rsidRPr="00C9769B">
              <w:rPr>
                <w:rFonts w:eastAsiaTheme="minorEastAsia"/>
                <w:w w:val="100"/>
                <w:sz w:val="18"/>
                <w:szCs w:val="18"/>
              </w:rPr>
              <w:t>No</w:t>
            </w:r>
            <w:proofErr w:type="spellEnd"/>
            <w:r w:rsidRPr="00C9769B">
              <w:rPr>
                <w:rFonts w:eastAsiaTheme="minorEastAsia"/>
                <w:w w:val="100"/>
                <w:sz w:val="18"/>
                <w:szCs w:val="18"/>
              </w:rPr>
              <w:t>-CC = Pacientes críticos no-crónicos.</w:t>
            </w:r>
          </w:p>
          <w:p w14:paraId="785C143A" w14:textId="77777777" w:rsidR="005F01D0" w:rsidRPr="00C9769B" w:rsidRDefault="005F01D0" w:rsidP="0088362C">
            <w:pPr>
              <w:pStyle w:val="BodyText"/>
              <w:spacing w:line="249" w:lineRule="auto"/>
              <w:ind w:left="0" w:right="-1"/>
              <w:jc w:val="left"/>
              <w:rPr>
                <w:rFonts w:eastAsiaTheme="minorEastAsia"/>
                <w:w w:val="100"/>
                <w:sz w:val="18"/>
                <w:szCs w:val="18"/>
              </w:rPr>
            </w:pPr>
            <w:proofErr w:type="spellStart"/>
            <w:r w:rsidRPr="00C9769B">
              <w:rPr>
                <w:rFonts w:eastAsiaTheme="minorEastAsia"/>
                <w:w w:val="100"/>
                <w:sz w:val="18"/>
                <w:szCs w:val="18"/>
                <w:vertAlign w:val="superscript"/>
              </w:rPr>
              <w:t>c</w:t>
            </w:r>
            <w:r w:rsidRPr="00C9769B">
              <w:rPr>
                <w:rFonts w:eastAsiaTheme="minorEastAsia"/>
                <w:w w:val="100"/>
                <w:sz w:val="18"/>
                <w:szCs w:val="18"/>
              </w:rPr>
              <w:t>HR</w:t>
            </w:r>
            <w:proofErr w:type="spellEnd"/>
            <w:r w:rsidRPr="00C9769B">
              <w:rPr>
                <w:rFonts w:eastAsiaTheme="minorEastAsia"/>
                <w:w w:val="100"/>
                <w:sz w:val="18"/>
                <w:szCs w:val="18"/>
              </w:rPr>
              <w:t>: Razón de riesgo. 95% IC: Intervalo de confianza al 95%.</w:t>
            </w:r>
          </w:p>
          <w:p w14:paraId="7F80E6E2" w14:textId="77777777" w:rsidR="005F01D0" w:rsidRPr="00C9769B" w:rsidRDefault="005F01D0" w:rsidP="0088362C">
            <w:pPr>
              <w:pStyle w:val="BodyText"/>
              <w:spacing w:line="249" w:lineRule="auto"/>
              <w:ind w:left="0" w:right="-1"/>
              <w:jc w:val="left"/>
              <w:rPr>
                <w:rFonts w:eastAsiaTheme="minorEastAsia"/>
                <w:w w:val="100"/>
                <w:sz w:val="18"/>
                <w:szCs w:val="18"/>
              </w:rPr>
            </w:pPr>
            <w:proofErr w:type="spellStart"/>
            <w:r w:rsidRPr="00C9769B">
              <w:rPr>
                <w:rFonts w:eastAsiaTheme="minorEastAsia"/>
                <w:w w:val="100"/>
                <w:sz w:val="18"/>
                <w:szCs w:val="18"/>
                <w:vertAlign w:val="superscript"/>
              </w:rPr>
              <w:lastRenderedPageBreak/>
              <w:t>d</w:t>
            </w:r>
            <w:r w:rsidRPr="00C9769B">
              <w:rPr>
                <w:rFonts w:eastAsiaTheme="minorEastAsia"/>
                <w:w w:val="100"/>
                <w:sz w:val="18"/>
                <w:szCs w:val="18"/>
              </w:rPr>
              <w:t>Valor</w:t>
            </w:r>
            <w:proofErr w:type="spellEnd"/>
            <w:r w:rsidRPr="00C9769B">
              <w:rPr>
                <w:rFonts w:eastAsiaTheme="minorEastAsia"/>
                <w:w w:val="100"/>
                <w:sz w:val="18"/>
                <w:szCs w:val="18"/>
              </w:rPr>
              <w:t xml:space="preserve">-p = Valor-p del estadístico de la prueba de </w:t>
            </w:r>
            <w:proofErr w:type="spellStart"/>
            <w:r w:rsidRPr="00C9769B">
              <w:rPr>
                <w:rFonts w:eastAsiaTheme="minorEastAsia"/>
                <w:w w:val="100"/>
                <w:sz w:val="18"/>
                <w:szCs w:val="18"/>
              </w:rPr>
              <w:t>Wald</w:t>
            </w:r>
            <w:proofErr w:type="spellEnd"/>
            <w:r w:rsidRPr="00C9769B">
              <w:rPr>
                <w:rFonts w:eastAsiaTheme="minorEastAsia"/>
                <w:w w:val="100"/>
                <w:sz w:val="18"/>
                <w:szCs w:val="18"/>
              </w:rPr>
              <w:t xml:space="preserve"> (***valor-p &lt; 0,01, **valor-p &lt; 0,05, *valor-p &lt; 0,1).</w:t>
            </w:r>
          </w:p>
          <w:p w14:paraId="0F266903" w14:textId="77777777" w:rsidR="005F01D0" w:rsidRPr="00C9769B" w:rsidRDefault="005F01D0" w:rsidP="0088362C">
            <w:pPr>
              <w:pStyle w:val="BodyText"/>
              <w:spacing w:line="249" w:lineRule="auto"/>
              <w:ind w:left="0" w:right="-1"/>
              <w:jc w:val="left"/>
              <w:rPr>
                <w:rFonts w:eastAsiaTheme="minorEastAsia"/>
                <w:w w:val="100"/>
                <w:sz w:val="18"/>
                <w:szCs w:val="18"/>
                <w:vertAlign w:val="superscript"/>
              </w:rPr>
            </w:pPr>
            <w:r w:rsidRPr="00C9769B">
              <w:rPr>
                <w:color w:val="000000" w:themeColor="text1"/>
                <w:w w:val="100"/>
                <w:sz w:val="18"/>
                <w:szCs w:val="18"/>
              </w:rPr>
              <w:t xml:space="preserve">Cálculos con base en los reportes diarios publicados por el Instituto Nacional de Salud. Período de estudio: </w:t>
            </w:r>
            <w:r w:rsidRPr="00C9769B">
              <w:rPr>
                <w:w w:val="100"/>
                <w:sz w:val="18"/>
                <w:szCs w:val="18"/>
              </w:rPr>
              <w:t>20/04/2020 – 30/10/2021.</w:t>
            </w:r>
          </w:p>
        </w:tc>
      </w:tr>
    </w:tbl>
    <w:p w14:paraId="2533AB9E" w14:textId="77777777" w:rsidR="00C9769B" w:rsidRDefault="00C9769B" w:rsidP="00C9769B">
      <w:pPr>
        <w:pStyle w:val="BodyText"/>
        <w:spacing w:before="96" w:line="249" w:lineRule="auto"/>
        <w:ind w:left="0" w:right="-1"/>
        <w:rPr>
          <w:b/>
          <w:w w:val="100"/>
          <w:sz w:val="24"/>
          <w:szCs w:val="24"/>
        </w:rPr>
      </w:pPr>
    </w:p>
    <w:p w14:paraId="0F869A6E" w14:textId="4A4B9827" w:rsidR="00C9769B" w:rsidRPr="002D3EBA" w:rsidRDefault="00C9769B" w:rsidP="00C9769B">
      <w:pPr>
        <w:pStyle w:val="BodyText"/>
        <w:spacing w:before="96" w:line="249" w:lineRule="auto"/>
        <w:ind w:left="0" w:right="-1"/>
        <w:rPr>
          <w:rFonts w:eastAsiaTheme="minorEastAsia"/>
          <w:w w:val="100"/>
          <w:sz w:val="24"/>
          <w:szCs w:val="24"/>
        </w:rPr>
        <w:sectPr w:rsidR="00C9769B" w:rsidRPr="002D3EBA" w:rsidSect="00E751E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D3EBA">
        <w:rPr>
          <w:b/>
          <w:w w:val="100"/>
          <w:sz w:val="24"/>
          <w:szCs w:val="24"/>
        </w:rPr>
        <w:t xml:space="preserve">Figura </w:t>
      </w:r>
      <w:r>
        <w:rPr>
          <w:b/>
          <w:w w:val="100"/>
          <w:sz w:val="24"/>
          <w:szCs w:val="24"/>
        </w:rPr>
        <w:t>S</w:t>
      </w:r>
      <w:r w:rsidRPr="002D3EBA">
        <w:rPr>
          <w:b/>
          <w:w w:val="100"/>
          <w:sz w:val="24"/>
          <w:szCs w:val="24"/>
        </w:rPr>
        <w:t xml:space="preserve">5: </w:t>
      </w:r>
      <w:r w:rsidRPr="002D3EBA">
        <w:rPr>
          <w:w w:val="100"/>
          <w:sz w:val="24"/>
          <w:szCs w:val="24"/>
        </w:rPr>
        <w:t xml:space="preserve">Residuos escalados de </w:t>
      </w:r>
      <w:proofErr w:type="spellStart"/>
      <w:r w:rsidRPr="002D3EBA">
        <w:rPr>
          <w:w w:val="100"/>
          <w:sz w:val="24"/>
          <w:szCs w:val="24"/>
        </w:rPr>
        <w:t>Schoenfeld</w:t>
      </w:r>
      <w:proofErr w:type="spellEnd"/>
      <w:r w:rsidRPr="002D3EBA">
        <w:rPr>
          <w:w w:val="100"/>
          <w:sz w:val="24"/>
          <w:szCs w:val="24"/>
        </w:rPr>
        <w:t xml:space="preserve"> vs. Tiempo transformado (modelos multivariados de Cox</w:t>
      </w:r>
      <w:r>
        <w:rPr>
          <w:w w:val="100"/>
          <w:sz w:val="24"/>
          <w:szCs w:val="24"/>
        </w:rPr>
        <w:t>)</w:t>
      </w:r>
    </w:p>
    <w:p w14:paraId="14746800" w14:textId="3236349C" w:rsidR="00C9769B" w:rsidRDefault="00C9769B" w:rsidP="005F01D0">
      <w:pPr>
        <w:pStyle w:val="BodyText"/>
        <w:spacing w:before="96" w:after="160" w:line="249" w:lineRule="auto"/>
        <w:ind w:left="0" w:right="1110"/>
        <w:rPr>
          <w:rFonts w:eastAsiaTheme="minorEastAsia"/>
          <w:color w:val="000000" w:themeColor="text1"/>
          <w:w w:val="100"/>
          <w:sz w:val="18"/>
          <w:szCs w:val="18"/>
        </w:rPr>
      </w:pPr>
    </w:p>
    <w:p w14:paraId="12B911B5" w14:textId="77777777" w:rsidR="00C9769B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</w:pPr>
    </w:p>
    <w:p w14:paraId="2A783677" w14:textId="77777777" w:rsidR="00C9769B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  <w:sectPr w:rsidR="00C9769B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p w14:paraId="6FF8B979" w14:textId="37048B87" w:rsidR="00C9769B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</w:pPr>
      <w:r>
        <w:rPr>
          <w:rFonts w:eastAsiaTheme="minorEastAsia"/>
          <w:noProof/>
          <w:w w:val="100"/>
        </w:rPr>
        <w:drawing>
          <wp:inline distT="0" distB="0" distL="0" distR="0" wp14:anchorId="5ECE9345" wp14:editId="25B649D1">
            <wp:extent cx="2520000" cy="1938899"/>
            <wp:effectExtent l="0" t="0" r="0" b="4445"/>
            <wp:docPr id="13" name="Imagen 13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A graph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8AD1" w14:textId="5F7AEA56" w:rsidR="00C9769B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</w:pPr>
      <w:r>
        <w:rPr>
          <w:rFonts w:eastAsiaTheme="minorEastAsia"/>
          <w:color w:val="000000" w:themeColor="text1"/>
          <w:w w:val="100"/>
          <w:sz w:val="18"/>
          <w:szCs w:val="18"/>
        </w:rPr>
        <w:t xml:space="preserve">                                     (a)</w:t>
      </w:r>
    </w:p>
    <w:p w14:paraId="5586BD82" w14:textId="0C6445C8" w:rsidR="00C9769B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</w:pPr>
      <w:r>
        <w:rPr>
          <w:rFonts w:eastAsiaTheme="minorEastAsia"/>
          <w:noProof/>
          <w:w w:val="100"/>
        </w:rPr>
        <w:drawing>
          <wp:inline distT="0" distB="0" distL="0" distR="0" wp14:anchorId="1FFFD7F4" wp14:editId="6878421A">
            <wp:extent cx="2520000" cy="1951563"/>
            <wp:effectExtent l="0" t="0" r="0" b="4445"/>
            <wp:docPr id="15" name="Imagen 15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A graph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BAF5" w14:textId="070621DA" w:rsidR="00C9769B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</w:pPr>
      <w:r>
        <w:rPr>
          <w:rFonts w:eastAsiaTheme="minorEastAsia"/>
          <w:color w:val="000000" w:themeColor="text1"/>
          <w:w w:val="100"/>
          <w:sz w:val="18"/>
          <w:szCs w:val="18"/>
        </w:rPr>
        <w:t xml:space="preserve">                                      (c)</w:t>
      </w:r>
    </w:p>
    <w:p w14:paraId="7EDC3E27" w14:textId="62496C9B" w:rsidR="00C9769B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</w:pPr>
      <w:r>
        <w:rPr>
          <w:rFonts w:eastAsiaTheme="minorEastAsia"/>
          <w:noProof/>
          <w:w w:val="100"/>
        </w:rPr>
        <w:drawing>
          <wp:inline distT="0" distB="0" distL="0" distR="0" wp14:anchorId="67D36BEC" wp14:editId="739F8930">
            <wp:extent cx="2520000" cy="1938318"/>
            <wp:effectExtent l="0" t="0" r="0" b="5080"/>
            <wp:docPr id="8" name="Imagen 13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A graph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5BB0" w14:textId="4E889F63" w:rsidR="00C9769B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</w:pPr>
      <w:r>
        <w:rPr>
          <w:rFonts w:eastAsiaTheme="minorEastAsia"/>
          <w:color w:val="000000" w:themeColor="text1"/>
          <w:w w:val="100"/>
          <w:sz w:val="18"/>
          <w:szCs w:val="18"/>
        </w:rPr>
        <w:t xml:space="preserve">                                    (b)</w:t>
      </w:r>
    </w:p>
    <w:p w14:paraId="28856C1F" w14:textId="77777777" w:rsidR="00C9769B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</w:pPr>
      <w:r>
        <w:rPr>
          <w:rFonts w:eastAsiaTheme="minorEastAsia"/>
          <w:noProof/>
          <w:w w:val="100"/>
        </w:rPr>
        <w:drawing>
          <wp:inline distT="0" distB="0" distL="0" distR="0" wp14:anchorId="2D091C37" wp14:editId="2C89D7E2">
            <wp:extent cx="2520000" cy="1970599"/>
            <wp:effectExtent l="0" t="0" r="0" b="0"/>
            <wp:docPr id="16" name="Imagen 16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A graph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7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6CF3" w14:textId="7ABBB750" w:rsidR="00C9769B" w:rsidRPr="00DB130F" w:rsidRDefault="00C9769B" w:rsidP="00C9769B">
      <w:pPr>
        <w:pStyle w:val="BodyText"/>
        <w:spacing w:before="96" w:after="160" w:line="249" w:lineRule="auto"/>
        <w:ind w:left="0" w:right="1110"/>
        <w:jc w:val="center"/>
        <w:rPr>
          <w:rFonts w:eastAsiaTheme="minorEastAsia"/>
          <w:color w:val="000000" w:themeColor="text1"/>
          <w:w w:val="100"/>
          <w:sz w:val="18"/>
          <w:szCs w:val="18"/>
        </w:rPr>
        <w:sectPr w:rsidR="00C9769B" w:rsidRPr="00DB130F" w:rsidSect="00C9769B">
          <w:type w:val="continuous"/>
          <w:pgSz w:w="11906" w:h="16838"/>
          <w:pgMar w:top="1440" w:right="1701" w:bottom="1440" w:left="1701" w:header="708" w:footer="708" w:gutter="0"/>
          <w:cols w:num="2" w:space="708"/>
          <w:docGrid w:linePitch="360"/>
        </w:sectPr>
      </w:pPr>
      <w:r>
        <w:rPr>
          <w:rFonts w:eastAsiaTheme="minorEastAsia"/>
          <w:color w:val="000000" w:themeColor="text1"/>
          <w:w w:val="100"/>
          <w:sz w:val="18"/>
          <w:szCs w:val="18"/>
        </w:rPr>
        <w:t xml:space="preserve">                                    (d</w:t>
      </w:r>
    </w:p>
    <w:p w14:paraId="0AE98C44" w14:textId="6645BA19" w:rsidR="00C9769B" w:rsidRDefault="00C9769B" w:rsidP="00C9769B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  <w:sectPr w:rsidR="00C9769B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p w14:paraId="57C33CAC" w14:textId="39AB5C23" w:rsidR="00C9769B" w:rsidRPr="007734FE" w:rsidRDefault="00C9769B" w:rsidP="00C9769B">
      <w:pPr>
        <w:pStyle w:val="BodyText"/>
        <w:spacing w:before="96" w:after="160" w:line="249" w:lineRule="auto"/>
        <w:ind w:left="709" w:right="1110"/>
        <w:rPr>
          <w:w w:val="100"/>
          <w:sz w:val="18"/>
          <w:szCs w:val="18"/>
        </w:rPr>
        <w:sectPr w:rsidR="00C9769B" w:rsidRPr="007734FE" w:rsidSect="0072733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734FE">
        <w:rPr>
          <w:w w:val="100"/>
          <w:sz w:val="18"/>
          <w:szCs w:val="18"/>
        </w:rPr>
        <w:t xml:space="preserve">Prueba del supuesto de riesgos proporcionales para factores de riesgo asociados a la mortalidad en UCI de pacientes </w:t>
      </w:r>
      <w:r w:rsidRPr="007734FE">
        <w:rPr>
          <w:bCs/>
          <w:color w:val="000000" w:themeColor="text1"/>
          <w:w w:val="100"/>
          <w:sz w:val="18"/>
          <w:szCs w:val="18"/>
        </w:rPr>
        <w:t>no-CC</w:t>
      </w:r>
      <m:oMath>
        <m:r>
          <w:rPr>
            <w:rFonts w:ascii="Cambria Math" w:hAnsi="Cambria Math"/>
            <w:color w:val="000000" w:themeColor="text1"/>
            <w:w w:val="100"/>
            <w:sz w:val="18"/>
            <w:szCs w:val="18"/>
          </w:rPr>
          <m:t xml:space="preserve"> (T&lt;21)</m:t>
        </m:r>
      </m:oMath>
      <w:r w:rsidRPr="007734FE">
        <w:rPr>
          <w:rFonts w:eastAsiaTheme="minorEastAsia"/>
          <w:color w:val="000000" w:themeColor="text1"/>
          <w:w w:val="100"/>
          <w:sz w:val="18"/>
          <w:szCs w:val="18"/>
        </w:rPr>
        <w:t xml:space="preserve"> de acuerdo con (a) el sexo (</w:t>
      </w:r>
      <m:oMath>
        <m:r>
          <w:rPr>
            <w:rFonts w:ascii="Cambria Math" w:eastAsiaTheme="minorEastAsia" w:hAnsi="Cambria Math"/>
            <w:w w:val="100"/>
            <w:sz w:val="18"/>
            <w:szCs w:val="18"/>
          </w:rPr>
          <m:t>p=0,1323</m:t>
        </m:r>
      </m:oMath>
      <w:r w:rsidRPr="007734FE">
        <w:rPr>
          <w:rFonts w:eastAsiaTheme="minorEastAsia"/>
          <w:color w:val="000000" w:themeColor="text1"/>
          <w:w w:val="100"/>
          <w:sz w:val="18"/>
          <w:szCs w:val="18"/>
        </w:rPr>
        <w:t>) y (b) el grupo etario (</w:t>
      </w:r>
      <m:oMath>
        <m:r>
          <w:rPr>
            <w:rFonts w:ascii="Cambria Math" w:eastAsiaTheme="minorEastAsia" w:hAnsi="Cambria Math"/>
            <w:w w:val="100"/>
            <w:sz w:val="18"/>
            <w:szCs w:val="18"/>
          </w:rPr>
          <m:t>p=0,5812</m:t>
        </m:r>
      </m:oMath>
      <w:r w:rsidRPr="007734FE">
        <w:rPr>
          <w:rFonts w:eastAsiaTheme="minorEastAsia"/>
          <w:color w:val="000000" w:themeColor="text1"/>
          <w:w w:val="100"/>
          <w:sz w:val="18"/>
          <w:szCs w:val="18"/>
        </w:rPr>
        <w:t xml:space="preserve">) (Test global: </w:t>
      </w:r>
      <m:oMath>
        <m:r>
          <w:rPr>
            <w:rFonts w:ascii="Cambria Math" w:eastAsiaTheme="minorEastAsia" w:hAnsi="Cambria Math"/>
            <w:w w:val="100"/>
            <w:sz w:val="18"/>
            <w:szCs w:val="18"/>
          </w:rPr>
          <m:t>p=0,2758</m:t>
        </m:r>
      </m:oMath>
      <w:r w:rsidRPr="007734FE">
        <w:rPr>
          <w:rFonts w:eastAsiaTheme="minorEastAsia"/>
          <w:color w:val="000000" w:themeColor="text1"/>
          <w:w w:val="100"/>
          <w:sz w:val="18"/>
          <w:szCs w:val="18"/>
        </w:rPr>
        <w:t xml:space="preserve">). </w:t>
      </w:r>
      <w:r w:rsidRPr="007734FE">
        <w:rPr>
          <w:w w:val="100"/>
          <w:sz w:val="18"/>
          <w:szCs w:val="18"/>
        </w:rPr>
        <w:t xml:space="preserve">Prueba del supuesto de riesgos proporcionales para factores de riesgo asociados a la mortalidad en UCI de pacientes </w:t>
      </w:r>
      <w:r w:rsidRPr="007734FE">
        <w:rPr>
          <w:bCs/>
          <w:color w:val="000000" w:themeColor="text1"/>
          <w:w w:val="100"/>
          <w:sz w:val="18"/>
          <w:szCs w:val="18"/>
        </w:rPr>
        <w:t>CC (</w:t>
      </w:r>
      <m:oMath>
        <m:r>
          <w:rPr>
            <w:rFonts w:ascii="Cambria Math" w:hAnsi="Cambria Math"/>
            <w:color w:val="000000" w:themeColor="text1"/>
            <w:w w:val="100"/>
            <w:sz w:val="18"/>
            <w:szCs w:val="18"/>
          </w:rPr>
          <m:t>T≥21</m:t>
        </m:r>
      </m:oMath>
      <w:r w:rsidRPr="007734FE">
        <w:rPr>
          <w:bCs/>
          <w:color w:val="000000" w:themeColor="text1"/>
          <w:w w:val="100"/>
          <w:sz w:val="18"/>
          <w:szCs w:val="18"/>
        </w:rPr>
        <w:t>)</w:t>
      </w:r>
      <w:r w:rsidRPr="007734FE">
        <w:rPr>
          <w:w w:val="100"/>
          <w:sz w:val="18"/>
          <w:szCs w:val="18"/>
        </w:rPr>
        <w:t xml:space="preserve"> </w:t>
      </w:r>
      <w:r w:rsidRPr="007734FE">
        <w:rPr>
          <w:rFonts w:eastAsiaTheme="minorEastAsia"/>
          <w:color w:val="000000" w:themeColor="text1"/>
          <w:w w:val="100"/>
          <w:sz w:val="18"/>
          <w:szCs w:val="18"/>
        </w:rPr>
        <w:t>de acuerdo con (c) el sexo (</w:t>
      </w:r>
      <m:oMath>
        <m:r>
          <w:rPr>
            <w:rFonts w:ascii="Cambria Math" w:eastAsiaTheme="minorEastAsia" w:hAnsi="Cambria Math"/>
            <w:w w:val="100"/>
            <w:sz w:val="18"/>
            <w:szCs w:val="18"/>
          </w:rPr>
          <m:t>p=0,7013</m:t>
        </m:r>
      </m:oMath>
      <w:r w:rsidRPr="007734FE">
        <w:rPr>
          <w:rFonts w:eastAsiaTheme="minorEastAsia"/>
          <w:color w:val="000000" w:themeColor="text1"/>
          <w:w w:val="100"/>
          <w:sz w:val="18"/>
          <w:szCs w:val="18"/>
        </w:rPr>
        <w:t>) y (d) el grupo etario (</w:t>
      </w:r>
      <m:oMath>
        <m:r>
          <w:rPr>
            <w:rFonts w:ascii="Cambria Math" w:eastAsiaTheme="minorEastAsia" w:hAnsi="Cambria Math"/>
            <w:w w:val="100"/>
            <w:sz w:val="18"/>
            <w:szCs w:val="18"/>
          </w:rPr>
          <m:t>p=0,4266</m:t>
        </m:r>
      </m:oMath>
      <w:r w:rsidRPr="007734FE">
        <w:rPr>
          <w:rFonts w:eastAsiaTheme="minorEastAsia"/>
          <w:color w:val="000000" w:themeColor="text1"/>
          <w:w w:val="100"/>
          <w:sz w:val="18"/>
          <w:szCs w:val="18"/>
        </w:rPr>
        <w:t xml:space="preserve">) (Test global: </w:t>
      </w:r>
      <m:oMath>
        <m:r>
          <w:rPr>
            <w:rFonts w:ascii="Cambria Math" w:eastAsiaTheme="minorEastAsia" w:hAnsi="Cambria Math"/>
            <w:w w:val="100"/>
            <w:sz w:val="18"/>
            <w:szCs w:val="18"/>
          </w:rPr>
          <m:t>p=0,6883</m:t>
        </m:r>
      </m:oMath>
      <w:r w:rsidR="00D71FC8">
        <w:rPr>
          <w:rFonts w:eastAsiaTheme="minorEastAsia"/>
          <w:color w:val="000000" w:themeColor="text1"/>
          <w:w w:val="100"/>
          <w:sz w:val="18"/>
          <w:szCs w:val="18"/>
        </w:rPr>
        <w:t>.</w:t>
      </w:r>
    </w:p>
    <w:p w14:paraId="35D340BE" w14:textId="37C09D25" w:rsidR="00C9769B" w:rsidRPr="00277858" w:rsidRDefault="00C9769B" w:rsidP="00C9769B">
      <w:pPr>
        <w:pStyle w:val="BodyText"/>
        <w:spacing w:line="251" w:lineRule="exact"/>
        <w:ind w:left="0"/>
        <w:rPr>
          <w:b/>
          <w:bCs/>
          <w:w w:val="100"/>
          <w:sz w:val="24"/>
          <w:szCs w:val="24"/>
        </w:rPr>
        <w:sectPr w:rsidR="00C9769B" w:rsidRPr="00277858" w:rsidSect="005F01D0">
          <w:type w:val="continuous"/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p w14:paraId="1DF47C5F" w14:textId="6AC2EC11" w:rsidR="0072598F" w:rsidRDefault="0072598F"/>
    <w:sectPr w:rsidR="0072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3A768" w14:textId="77777777" w:rsidR="000546CB" w:rsidRDefault="000546CB" w:rsidP="0072598F">
      <w:r>
        <w:separator/>
      </w:r>
    </w:p>
  </w:endnote>
  <w:endnote w:type="continuationSeparator" w:id="0">
    <w:p w14:paraId="7D2C93CF" w14:textId="77777777" w:rsidR="000546CB" w:rsidRDefault="000546CB" w:rsidP="0072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9F43" w14:textId="77777777" w:rsidR="000546CB" w:rsidRDefault="000546CB" w:rsidP="0072598F">
      <w:r>
        <w:separator/>
      </w:r>
    </w:p>
  </w:footnote>
  <w:footnote w:type="continuationSeparator" w:id="0">
    <w:p w14:paraId="330F7C57" w14:textId="77777777" w:rsidR="000546CB" w:rsidRDefault="000546CB" w:rsidP="0072598F">
      <w:r>
        <w:continuationSeparator/>
      </w:r>
    </w:p>
  </w:footnote>
  <w:footnote w:id="1">
    <w:p w14:paraId="51EE3C78" w14:textId="77777777" w:rsidR="0072598F" w:rsidRPr="00171FF6" w:rsidRDefault="0072598F" w:rsidP="007259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w w:val="100"/>
          <w:sz w:val="18"/>
          <w:szCs w:val="18"/>
        </w:rPr>
        <w:t>V</w:t>
      </w:r>
      <w:r w:rsidRPr="00171FF6">
        <w:rPr>
          <w:i/>
          <w:w w:val="100"/>
          <w:sz w:val="18"/>
          <w:szCs w:val="18"/>
        </w:rPr>
        <w:t>ersión 6.1</w:t>
      </w:r>
      <w:r>
        <w:rPr>
          <w:i/>
          <w:w w:val="100"/>
          <w:sz w:val="18"/>
          <w:szCs w:val="18"/>
        </w:rPr>
        <w:t>2</w:t>
      </w:r>
      <w:r w:rsidRPr="00171FF6">
        <w:rPr>
          <w:i/>
          <w:w w:val="100"/>
          <w:sz w:val="18"/>
          <w:szCs w:val="18"/>
        </w:rPr>
        <w:t xml:space="preserve">. Fecha: </w:t>
      </w:r>
      <w:r>
        <w:rPr>
          <w:i/>
          <w:w w:val="100"/>
          <w:sz w:val="18"/>
          <w:szCs w:val="18"/>
        </w:rPr>
        <w:t>17 de julio de 2023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16282"/>
    <w:multiLevelType w:val="hybridMultilevel"/>
    <w:tmpl w:val="A9582174"/>
    <w:lvl w:ilvl="0" w:tplc="24FE9BB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8F"/>
    <w:rsid w:val="000546CB"/>
    <w:rsid w:val="0011347A"/>
    <w:rsid w:val="00277858"/>
    <w:rsid w:val="003F6042"/>
    <w:rsid w:val="00487121"/>
    <w:rsid w:val="005D6D0C"/>
    <w:rsid w:val="005F01D0"/>
    <w:rsid w:val="00671BA6"/>
    <w:rsid w:val="006807C9"/>
    <w:rsid w:val="0072598F"/>
    <w:rsid w:val="008A7C65"/>
    <w:rsid w:val="00AE2BFA"/>
    <w:rsid w:val="00BA57CB"/>
    <w:rsid w:val="00C9769B"/>
    <w:rsid w:val="00D7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EB6CB"/>
  <w15:chartTrackingRefBased/>
  <w15:docId w15:val="{8EA5D5E8-72B6-E042-BFA3-1F0D3E45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8F"/>
    <w:pPr>
      <w:widowControl w:val="0"/>
      <w:autoSpaceDE w:val="0"/>
      <w:autoSpaceDN w:val="0"/>
    </w:pPr>
    <w:rPr>
      <w:rFonts w:ascii="Times New Roman" w:hAnsi="Times New Roman" w:cs="Times New Roman"/>
      <w:w w:val="11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598F"/>
    <w:pPr>
      <w:ind w:left="528"/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2598F"/>
    <w:rPr>
      <w:rFonts w:ascii="Times New Roman" w:hAnsi="Times New Roman" w:cs="Times New Roman"/>
      <w:w w:val="110"/>
      <w:sz w:val="20"/>
      <w:szCs w:val="20"/>
      <w:lang w:val="es-ES"/>
    </w:rPr>
  </w:style>
  <w:style w:type="paragraph" w:styleId="Title">
    <w:name w:val="Title"/>
    <w:basedOn w:val="Normal"/>
    <w:link w:val="TitleChar"/>
    <w:uiPriority w:val="10"/>
    <w:qFormat/>
    <w:rsid w:val="0072598F"/>
    <w:pPr>
      <w:spacing w:before="164"/>
      <w:ind w:left="324" w:right="321" w:hanging="1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2598F"/>
    <w:rPr>
      <w:rFonts w:ascii="Times New Roman" w:hAnsi="Times New Roman" w:cs="Times New Roman"/>
      <w:w w:val="110"/>
      <w:sz w:val="48"/>
      <w:szCs w:val="48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9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98F"/>
    <w:rPr>
      <w:rFonts w:ascii="Times New Roman" w:hAnsi="Times New Roman" w:cs="Times New Roman"/>
      <w:w w:val="110"/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72598F"/>
    <w:rPr>
      <w:vertAlign w:val="superscript"/>
    </w:rPr>
  </w:style>
  <w:style w:type="table" w:styleId="TableGrid">
    <w:name w:val="Table Grid"/>
    <w:basedOn w:val="TableNormal"/>
    <w:uiPriority w:val="39"/>
    <w:rsid w:val="0072598F"/>
    <w:rPr>
      <w:rFonts w:ascii="Times New Roman" w:hAnsi="Times New Roman" w:cs="Times New Roman"/>
      <w:w w:val="11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E9AF41-02E2-4043-83EF-43AE0674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4</cp:revision>
  <dcterms:created xsi:type="dcterms:W3CDTF">2023-07-17T18:07:00Z</dcterms:created>
  <dcterms:modified xsi:type="dcterms:W3CDTF">2023-07-19T03:59:00Z</dcterms:modified>
</cp:coreProperties>
</file>