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4A5ED" w14:textId="1C9FD468" w:rsidR="009F5DEF" w:rsidRDefault="00EC15DA" w:rsidP="00EC15DA">
      <w:pPr>
        <w:jc w:val="center"/>
        <w:rPr>
          <w:rFonts w:ascii="Times New Roman" w:hAnsi="Times New Roman" w:cs="Times New Roman"/>
          <w:b/>
          <w:bCs/>
          <w:i/>
          <w:iCs/>
          <w:sz w:val="24"/>
          <w:szCs w:val="24"/>
        </w:rPr>
      </w:pPr>
      <w:r>
        <w:rPr>
          <w:rFonts w:ascii="Times New Roman" w:hAnsi="Times New Roman" w:cs="Times New Roman"/>
          <w:b/>
          <w:bCs/>
          <w:sz w:val="24"/>
          <w:szCs w:val="24"/>
        </w:rPr>
        <w:t xml:space="preserve">Estructura: preparación del artículo </w:t>
      </w:r>
      <w:r w:rsidRPr="00EC15DA">
        <w:rPr>
          <w:rFonts w:ascii="Times New Roman" w:hAnsi="Times New Roman" w:cs="Times New Roman"/>
          <w:b/>
          <w:bCs/>
          <w:i/>
          <w:iCs/>
          <w:sz w:val="24"/>
          <w:szCs w:val="24"/>
        </w:rPr>
        <w:t>Análisis de supervivencia sobre pacientes en Unidades de Cuidados Intensivos (UCI) por COVID-19 en Cali, Valle del Cauca</w:t>
      </w:r>
    </w:p>
    <w:p w14:paraId="3AA45AAB" w14:textId="4E373780" w:rsidR="00EC15DA" w:rsidRDefault="00EC15DA" w:rsidP="00EC15DA">
      <w:pPr>
        <w:jc w:val="center"/>
        <w:rPr>
          <w:rFonts w:ascii="Times New Roman" w:hAnsi="Times New Roman" w:cs="Times New Roman"/>
          <w:b/>
          <w:bCs/>
          <w:i/>
          <w:iCs/>
          <w:sz w:val="24"/>
          <w:szCs w:val="24"/>
        </w:rPr>
      </w:pPr>
    </w:p>
    <w:p w14:paraId="794F63CF" w14:textId="39EFD93F" w:rsidR="00B549D2" w:rsidRPr="00B549D2" w:rsidRDefault="00EC15DA" w:rsidP="00B549D2">
      <w:pPr>
        <w:pStyle w:val="Prrafodelista"/>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Introducción</w:t>
      </w:r>
      <w:r w:rsidR="003B3A3C">
        <w:rPr>
          <w:rFonts w:ascii="Times New Roman" w:hAnsi="Times New Roman" w:cs="Times New Roman"/>
          <w:b/>
          <w:bCs/>
          <w:sz w:val="24"/>
          <w:szCs w:val="24"/>
        </w:rPr>
        <w:t xml:space="preserve"> (6 párrafos)</w:t>
      </w:r>
    </w:p>
    <w:p w14:paraId="5D72871C" w14:textId="77777777" w:rsidR="00B549D2" w:rsidRPr="00B549D2" w:rsidRDefault="00B549D2" w:rsidP="00B549D2">
      <w:pPr>
        <w:pStyle w:val="Prrafodelista"/>
        <w:jc w:val="both"/>
        <w:rPr>
          <w:rFonts w:ascii="Times New Roman" w:hAnsi="Times New Roman" w:cs="Times New Roman"/>
          <w:b/>
          <w:bCs/>
          <w:sz w:val="24"/>
          <w:szCs w:val="24"/>
        </w:rPr>
      </w:pPr>
    </w:p>
    <w:p w14:paraId="3A604463" w14:textId="53B1FB5E" w:rsidR="00E11AD8" w:rsidRPr="00EE76BB" w:rsidRDefault="00B549D2" w:rsidP="00EE76BB">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Contexto nacional</w:t>
      </w:r>
      <w:r w:rsidR="00FF1981">
        <w:rPr>
          <w:rFonts w:ascii="Times New Roman" w:hAnsi="Times New Roman" w:cs="Times New Roman"/>
          <w:b/>
          <w:bCs/>
          <w:sz w:val="24"/>
          <w:szCs w:val="24"/>
        </w:rPr>
        <w:t xml:space="preserve"> [I]</w:t>
      </w:r>
    </w:p>
    <w:p w14:paraId="25445AB4" w14:textId="0D2BFEC8" w:rsidR="00B12D1C" w:rsidRPr="00FF1981" w:rsidRDefault="00EE76BB" w:rsidP="00452299">
      <w:pPr>
        <w:ind w:firstLine="284"/>
        <w:jc w:val="both"/>
        <w:rPr>
          <w:rFonts w:ascii="Times New Roman" w:hAnsi="Times New Roman" w:cs="Times New Roman"/>
          <w:sz w:val="24"/>
          <w:szCs w:val="24"/>
        </w:rPr>
      </w:pPr>
      <w:r w:rsidRPr="00EE76BB">
        <w:rPr>
          <w:rFonts w:ascii="Times New Roman" w:hAnsi="Times New Roman" w:cs="Times New Roman"/>
          <w:sz w:val="24"/>
          <w:szCs w:val="24"/>
        </w:rPr>
        <w:t>En Colombia, el primer caso de COVID-19 se reportó en Bogotá el 6 de marzo de 2020, procedente de Milán, Italia. Dos semanas más tarde, el 21 de marzo del 2020, el Ministerio de Salud y Protección Social confirmaría la primera muerte por COVID-19 en Colombia, más precisamente, en Cartagena. El proceso de inmunización contra el COVID-19 inició el 17 de febrero de 2021 a través de un plan de vacunación de dos fases y cinco etapas (</w:t>
      </w:r>
      <w:proofErr w:type="spellStart"/>
      <w:r w:rsidRPr="00EE76BB">
        <w:rPr>
          <w:rFonts w:ascii="Times New Roman" w:hAnsi="Times New Roman" w:cs="Times New Roman"/>
          <w:sz w:val="24"/>
          <w:szCs w:val="24"/>
        </w:rPr>
        <w:t>MinSalud</w:t>
      </w:r>
      <w:proofErr w:type="spellEnd"/>
      <w:r w:rsidRPr="00EE76BB">
        <w:rPr>
          <w:rFonts w:ascii="Times New Roman" w:hAnsi="Times New Roman" w:cs="Times New Roman"/>
          <w:sz w:val="24"/>
          <w:szCs w:val="24"/>
        </w:rPr>
        <w:t>, 2022). Para esa fecha, se había reportado 2</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207</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701 casos, de los cuales 58</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134 correspondía a personas fallecidas; y 43</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339 a casos activos. A la fecha en que se escribe este artículo\</w:t>
      </w:r>
      <w:proofErr w:type="spellStart"/>
      <w:proofErr w:type="gramStart"/>
      <w:r w:rsidRPr="00EE76BB">
        <w:rPr>
          <w:rFonts w:ascii="Times New Roman" w:hAnsi="Times New Roman" w:cs="Times New Roman"/>
          <w:sz w:val="24"/>
          <w:szCs w:val="24"/>
        </w:rPr>
        <w:t>footnote</w:t>
      </w:r>
      <w:proofErr w:type="spellEnd"/>
      <w:r w:rsidRPr="00EE76BB">
        <w:rPr>
          <w:rFonts w:ascii="Times New Roman" w:hAnsi="Times New Roman" w:cs="Times New Roman"/>
          <w:sz w:val="24"/>
          <w:szCs w:val="24"/>
        </w:rPr>
        <w:t>{</w:t>
      </w:r>
      <w:proofErr w:type="gramEnd"/>
      <w:r w:rsidRPr="00EE76BB">
        <w:rPr>
          <w:rFonts w:ascii="Times New Roman" w:hAnsi="Times New Roman" w:cs="Times New Roman"/>
          <w:sz w:val="24"/>
          <w:szCs w:val="24"/>
        </w:rPr>
        <w:t>Fecha actual: 09 de enero de 2023}, se reportan 6</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349</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971 casos confirmados en Colombia, de los cuales 6</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484 corresponden a casos activos; y 142</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259, a muertes confirmadas por COVID-19 (INS, 2022).</w:t>
      </w:r>
      <w:r>
        <w:rPr>
          <w:rFonts w:ascii="Times New Roman" w:hAnsi="Times New Roman" w:cs="Times New Roman"/>
          <w:sz w:val="24"/>
          <w:szCs w:val="24"/>
        </w:rPr>
        <w:t xml:space="preserve"> Alrededor</w:t>
      </w:r>
      <w:r w:rsidRPr="00EE76BB">
        <w:rPr>
          <w:rFonts w:ascii="Times New Roman" w:hAnsi="Times New Roman" w:cs="Times New Roman"/>
          <w:sz w:val="24"/>
          <w:szCs w:val="24"/>
        </w:rPr>
        <w:t xml:space="preserve"> del 70</w:t>
      </w:r>
      <w:r w:rsidR="009352BC">
        <w:rPr>
          <w:rFonts w:ascii="Times New Roman" w:hAnsi="Times New Roman" w:cs="Times New Roman"/>
          <w:sz w:val="24"/>
          <w:szCs w:val="24"/>
        </w:rPr>
        <w:t>.</w:t>
      </w:r>
      <w:r w:rsidRPr="00EE76BB">
        <w:rPr>
          <w:rFonts w:ascii="Times New Roman" w:hAnsi="Times New Roman" w:cs="Times New Roman"/>
          <w:sz w:val="24"/>
          <w:szCs w:val="24"/>
        </w:rPr>
        <w:t>8% de la población total de Colombia ha recibido los esquemas completos de vacunació</w:t>
      </w:r>
      <w:r>
        <w:rPr>
          <w:rFonts w:ascii="Times New Roman" w:hAnsi="Times New Roman" w:cs="Times New Roman"/>
          <w:sz w:val="24"/>
          <w:szCs w:val="24"/>
        </w:rPr>
        <w:t xml:space="preserve">n y </w:t>
      </w:r>
      <w:r w:rsidRPr="00EE76BB">
        <w:rPr>
          <w:rFonts w:ascii="Times New Roman" w:hAnsi="Times New Roman" w:cs="Times New Roman"/>
          <w:sz w:val="24"/>
          <w:szCs w:val="24"/>
        </w:rPr>
        <w:t>el 25.2% ha recibido dosis de refuerzo</w:t>
      </w:r>
      <w:r>
        <w:rPr>
          <w:rFonts w:ascii="Times New Roman" w:hAnsi="Times New Roman" w:cs="Times New Roman"/>
          <w:sz w:val="24"/>
          <w:szCs w:val="24"/>
        </w:rPr>
        <w:t>; no obstante, la tasa de letalidad por COVID-19 en Colombia se calcula en 2.24%, un dato superior a la tasa de letalidad global calculada en 1.01%.</w:t>
      </w:r>
    </w:p>
    <w:p w14:paraId="0D0B199C" w14:textId="77777777" w:rsidR="00187054" w:rsidRDefault="003F10D6" w:rsidP="003B7B91">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Introducción de </w:t>
      </w:r>
      <w:r w:rsidR="000124C0">
        <w:rPr>
          <w:rFonts w:ascii="Times New Roman" w:hAnsi="Times New Roman" w:cs="Times New Roman"/>
          <w:b/>
          <w:bCs/>
          <w:sz w:val="24"/>
          <w:szCs w:val="24"/>
        </w:rPr>
        <w:t>la</w:t>
      </w:r>
      <w:r w:rsidR="009352BC">
        <w:rPr>
          <w:rFonts w:ascii="Times New Roman" w:hAnsi="Times New Roman" w:cs="Times New Roman"/>
          <w:b/>
          <w:bCs/>
          <w:sz w:val="24"/>
          <w:szCs w:val="24"/>
        </w:rPr>
        <w:t xml:space="preserve"> pregunta central: ocupación de UCI</w:t>
      </w:r>
      <w:r w:rsidR="00FF1981">
        <w:rPr>
          <w:rFonts w:ascii="Times New Roman" w:hAnsi="Times New Roman" w:cs="Times New Roman"/>
          <w:b/>
          <w:bCs/>
          <w:sz w:val="24"/>
          <w:szCs w:val="24"/>
        </w:rPr>
        <w:t xml:space="preserve"> </w:t>
      </w:r>
      <w:r w:rsidR="00FF1C23">
        <w:rPr>
          <w:rFonts w:ascii="Times New Roman" w:hAnsi="Times New Roman" w:cs="Times New Roman"/>
          <w:b/>
          <w:bCs/>
          <w:sz w:val="24"/>
          <w:szCs w:val="24"/>
        </w:rPr>
        <w:t xml:space="preserve">y recursos </w:t>
      </w:r>
      <w:r w:rsidR="00FF1981">
        <w:rPr>
          <w:rFonts w:ascii="Times New Roman" w:hAnsi="Times New Roman" w:cs="Times New Roman"/>
          <w:b/>
          <w:bCs/>
          <w:sz w:val="24"/>
          <w:szCs w:val="24"/>
        </w:rPr>
        <w:t>[II]</w:t>
      </w:r>
    </w:p>
    <w:p w14:paraId="0DC30887" w14:textId="1027B239" w:rsidR="00B12D1C" w:rsidRPr="001C4970" w:rsidRDefault="00B12D1C" w:rsidP="00B12D1C">
      <w:pPr>
        <w:ind w:firstLine="284"/>
        <w:jc w:val="both"/>
        <w:rPr>
          <w:rFonts w:ascii="Times New Roman" w:hAnsi="Times New Roman" w:cs="Times New Roman"/>
          <w:sz w:val="24"/>
          <w:szCs w:val="24"/>
        </w:rPr>
      </w:pPr>
      <w:r>
        <w:rPr>
          <w:rFonts w:ascii="Times New Roman" w:hAnsi="Times New Roman" w:cs="Times New Roman"/>
          <w:sz w:val="24"/>
          <w:szCs w:val="24"/>
        </w:rPr>
        <w:t xml:space="preserve">Los sistemas de salud han enfrentado una presión extrema a consecuencia de la pandemia de COVID-19. A medida que el número de casos incrementaba, los sistemas de salud </w:t>
      </w:r>
      <w:r w:rsidR="001C4970">
        <w:rPr>
          <w:rFonts w:ascii="Times New Roman" w:hAnsi="Times New Roman" w:cs="Times New Roman"/>
          <w:sz w:val="24"/>
          <w:szCs w:val="24"/>
        </w:rPr>
        <w:t>padecieron la escasez de recursos disponibles que no sólo se circunscribía a la escasez de pruebas de detección, equipos de protección y personal médico; sino, además, a la escasez de recursos de cuidados intensivos, en especial, tecnología para el soporte ventilatorio prolongado en pacientes con fallas respiratorias severas y camas disponibles de Unidades de Cuidados Intensivos (UCI) [1, 2]. La presión sobre la disponibilidad de recursos de cuidados intensivos fue subsanada por medio de la adopción de, al menos, dos tipos de medidas: primero, el control del crecimiento exponencial de los casos de COVID-19</w:t>
      </w:r>
      <w:r w:rsidR="004050D7">
        <w:rPr>
          <w:rFonts w:ascii="Times New Roman" w:hAnsi="Times New Roman" w:cs="Times New Roman"/>
          <w:sz w:val="24"/>
          <w:szCs w:val="24"/>
        </w:rPr>
        <w:t xml:space="preserve"> y muertes</w:t>
      </w:r>
      <w:r w:rsidR="001C4970">
        <w:rPr>
          <w:rFonts w:ascii="Times New Roman" w:hAnsi="Times New Roman" w:cs="Times New Roman"/>
          <w:sz w:val="24"/>
          <w:szCs w:val="24"/>
        </w:rPr>
        <w:t xml:space="preserve"> [3]; y segundo, la expansión de la capacidad de cuidados intensivos y la asignación de los recursos escasos según medidas de priorización y racionamiento, ya sea mediante el </w:t>
      </w:r>
      <w:proofErr w:type="spellStart"/>
      <w:r w:rsidR="001C4970">
        <w:rPr>
          <w:rFonts w:ascii="Times New Roman" w:hAnsi="Times New Roman" w:cs="Times New Roman"/>
          <w:sz w:val="24"/>
          <w:szCs w:val="24"/>
        </w:rPr>
        <w:t>triaje</w:t>
      </w:r>
      <w:proofErr w:type="spellEnd"/>
      <w:r w:rsidR="001C4970">
        <w:rPr>
          <w:rFonts w:ascii="Times New Roman" w:hAnsi="Times New Roman" w:cs="Times New Roman"/>
          <w:sz w:val="24"/>
          <w:szCs w:val="24"/>
        </w:rPr>
        <w:t xml:space="preserve"> médico fundamentado en la severidad de la enfermedad, ya sea mediante la selección </w:t>
      </w:r>
      <w:r w:rsidR="001C4970">
        <w:rPr>
          <w:rFonts w:ascii="Times New Roman" w:hAnsi="Times New Roman" w:cs="Times New Roman"/>
          <w:i/>
          <w:iCs/>
          <w:sz w:val="24"/>
          <w:szCs w:val="24"/>
        </w:rPr>
        <w:t>a priori</w:t>
      </w:r>
      <w:r w:rsidR="001C4970">
        <w:rPr>
          <w:rFonts w:ascii="Times New Roman" w:hAnsi="Times New Roman" w:cs="Times New Roman"/>
          <w:sz w:val="24"/>
          <w:szCs w:val="24"/>
        </w:rPr>
        <w:t xml:space="preserve"> basada en la probabilidad de eficacia del tratamiento [4,5]</w:t>
      </w:r>
      <w:r w:rsidR="004050D7">
        <w:rPr>
          <w:rStyle w:val="Refdenotaalpie"/>
          <w:rFonts w:ascii="Times New Roman" w:hAnsi="Times New Roman" w:cs="Times New Roman"/>
          <w:sz w:val="24"/>
          <w:szCs w:val="24"/>
        </w:rPr>
        <w:footnoteReference w:id="1"/>
      </w:r>
      <w:r w:rsidR="001C4970">
        <w:rPr>
          <w:rFonts w:ascii="Times New Roman" w:hAnsi="Times New Roman" w:cs="Times New Roman"/>
          <w:sz w:val="24"/>
          <w:szCs w:val="24"/>
        </w:rPr>
        <w:t>.</w:t>
      </w:r>
    </w:p>
    <w:p w14:paraId="459BAB0D" w14:textId="1763B232" w:rsidR="002F6426" w:rsidRDefault="002F6426" w:rsidP="0084726C">
      <w:pPr>
        <w:jc w:val="both"/>
        <w:rPr>
          <w:rFonts w:ascii="Times New Roman" w:hAnsi="Times New Roman" w:cs="Times New Roman"/>
          <w:b/>
          <w:bCs/>
          <w:sz w:val="24"/>
          <w:szCs w:val="24"/>
        </w:rPr>
      </w:pPr>
    </w:p>
    <w:p w14:paraId="66B7E933" w14:textId="387A3CD8" w:rsidR="00452299" w:rsidRDefault="00452299" w:rsidP="0084726C">
      <w:pPr>
        <w:jc w:val="both"/>
        <w:rPr>
          <w:rFonts w:ascii="Times New Roman" w:hAnsi="Times New Roman" w:cs="Times New Roman"/>
          <w:b/>
          <w:bCs/>
          <w:sz w:val="24"/>
          <w:szCs w:val="24"/>
        </w:rPr>
      </w:pPr>
    </w:p>
    <w:p w14:paraId="049CC486" w14:textId="6BD9F7AD" w:rsidR="00452299" w:rsidRDefault="00452299" w:rsidP="0084726C">
      <w:pPr>
        <w:jc w:val="both"/>
        <w:rPr>
          <w:rFonts w:ascii="Times New Roman" w:hAnsi="Times New Roman" w:cs="Times New Roman"/>
          <w:b/>
          <w:bCs/>
          <w:sz w:val="24"/>
          <w:szCs w:val="24"/>
        </w:rPr>
      </w:pPr>
    </w:p>
    <w:p w14:paraId="23FF8A75" w14:textId="77777777" w:rsidR="00452299" w:rsidRPr="000E5429" w:rsidRDefault="00452299" w:rsidP="0084726C">
      <w:pPr>
        <w:jc w:val="both"/>
        <w:rPr>
          <w:rFonts w:ascii="Times New Roman" w:hAnsi="Times New Roman" w:cs="Times New Roman"/>
          <w:b/>
          <w:bCs/>
          <w:sz w:val="24"/>
          <w:szCs w:val="24"/>
        </w:rPr>
      </w:pPr>
    </w:p>
    <w:p w14:paraId="3EFCAA31" w14:textId="7F6CE1B5" w:rsidR="00452299" w:rsidRPr="00B85488" w:rsidRDefault="008A7330" w:rsidP="00B85488">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En el caso colombiano [III]</w:t>
      </w:r>
    </w:p>
    <w:p w14:paraId="177FBBFA" w14:textId="732F7A6B" w:rsidR="00F33758" w:rsidRPr="00717496" w:rsidRDefault="00161EE7" w:rsidP="00717496">
      <w:pPr>
        <w:ind w:firstLine="284"/>
        <w:jc w:val="both"/>
        <w:rPr>
          <w:rFonts w:ascii="Times New Roman" w:hAnsi="Times New Roman" w:cs="Times New Roman"/>
          <w:sz w:val="24"/>
          <w:szCs w:val="24"/>
        </w:rPr>
      </w:pPr>
      <w:r w:rsidRPr="0019195E">
        <w:rPr>
          <w:rFonts w:ascii="Times New Roman" w:hAnsi="Times New Roman" w:cs="Times New Roman"/>
          <w:sz w:val="24"/>
          <w:szCs w:val="24"/>
        </w:rPr>
        <w:t>L</w:t>
      </w:r>
      <w:r w:rsidR="00F33758" w:rsidRPr="0019195E">
        <w:rPr>
          <w:rFonts w:ascii="Times New Roman" w:hAnsi="Times New Roman" w:cs="Times New Roman"/>
          <w:sz w:val="24"/>
          <w:szCs w:val="24"/>
        </w:rPr>
        <w:t xml:space="preserve">a priorización según la selección </w:t>
      </w:r>
      <w:r w:rsidR="00F33758" w:rsidRPr="0019195E">
        <w:rPr>
          <w:rFonts w:ascii="Times New Roman" w:hAnsi="Times New Roman" w:cs="Times New Roman"/>
          <w:i/>
          <w:iCs/>
          <w:sz w:val="24"/>
          <w:szCs w:val="24"/>
        </w:rPr>
        <w:t xml:space="preserve">a priori </w:t>
      </w:r>
      <w:r w:rsidR="00F33758" w:rsidRPr="0019195E">
        <w:rPr>
          <w:rFonts w:ascii="Times New Roman" w:hAnsi="Times New Roman" w:cs="Times New Roman"/>
          <w:sz w:val="24"/>
          <w:szCs w:val="24"/>
        </w:rPr>
        <w:t xml:space="preserve">se ha fundamentado en </w:t>
      </w:r>
      <w:r w:rsidRPr="0019195E">
        <w:rPr>
          <w:rFonts w:ascii="Times New Roman" w:hAnsi="Times New Roman" w:cs="Times New Roman"/>
          <w:sz w:val="24"/>
          <w:szCs w:val="24"/>
        </w:rPr>
        <w:t>criterios</w:t>
      </w:r>
      <w:r w:rsidR="00F33758" w:rsidRPr="0019195E">
        <w:rPr>
          <w:rFonts w:ascii="Times New Roman" w:hAnsi="Times New Roman" w:cs="Times New Roman"/>
          <w:sz w:val="24"/>
          <w:szCs w:val="24"/>
        </w:rPr>
        <w:t xml:space="preserve"> tales como la edad del paciente</w:t>
      </w:r>
      <w:r w:rsidRPr="0019195E">
        <w:rPr>
          <w:rFonts w:ascii="Times New Roman" w:hAnsi="Times New Roman" w:cs="Times New Roman"/>
          <w:sz w:val="24"/>
          <w:szCs w:val="24"/>
        </w:rPr>
        <w:t xml:space="preserve"> y han </w:t>
      </w:r>
      <w:r w:rsidR="004B5C7C">
        <w:rPr>
          <w:rFonts w:ascii="Times New Roman" w:hAnsi="Times New Roman" w:cs="Times New Roman"/>
          <w:sz w:val="24"/>
          <w:szCs w:val="24"/>
        </w:rPr>
        <w:t>reaparecido</w:t>
      </w:r>
      <w:r w:rsidRPr="0019195E">
        <w:rPr>
          <w:rFonts w:ascii="Times New Roman" w:hAnsi="Times New Roman" w:cs="Times New Roman"/>
          <w:sz w:val="24"/>
          <w:szCs w:val="24"/>
        </w:rPr>
        <w:t xml:space="preserve">, en consecuencia, </w:t>
      </w:r>
      <w:r w:rsidR="00F33758" w:rsidRPr="0019195E">
        <w:rPr>
          <w:rFonts w:ascii="Times New Roman" w:hAnsi="Times New Roman" w:cs="Times New Roman"/>
          <w:sz w:val="24"/>
          <w:szCs w:val="24"/>
        </w:rPr>
        <w:t>numeros</w:t>
      </w:r>
      <w:r w:rsidR="00B85488">
        <w:rPr>
          <w:rFonts w:ascii="Times New Roman" w:hAnsi="Times New Roman" w:cs="Times New Roman"/>
          <w:sz w:val="24"/>
          <w:szCs w:val="24"/>
        </w:rPr>
        <w:t>a</w:t>
      </w:r>
      <w:r w:rsidR="00F33758" w:rsidRPr="0019195E">
        <w:rPr>
          <w:rFonts w:ascii="Times New Roman" w:hAnsi="Times New Roman" w:cs="Times New Roman"/>
          <w:sz w:val="24"/>
          <w:szCs w:val="24"/>
        </w:rPr>
        <w:t xml:space="preserve">s </w:t>
      </w:r>
      <w:r w:rsidR="00B85488">
        <w:rPr>
          <w:rFonts w:ascii="Times New Roman" w:hAnsi="Times New Roman" w:cs="Times New Roman"/>
          <w:sz w:val="24"/>
          <w:szCs w:val="24"/>
        </w:rPr>
        <w:t>discusiones</w:t>
      </w:r>
      <w:r w:rsidR="00F33758" w:rsidRPr="0019195E">
        <w:rPr>
          <w:rFonts w:ascii="Times New Roman" w:hAnsi="Times New Roman" w:cs="Times New Roman"/>
          <w:sz w:val="24"/>
          <w:szCs w:val="24"/>
        </w:rPr>
        <w:t xml:space="preserve"> étic</w:t>
      </w:r>
      <w:r w:rsidR="00B85488">
        <w:rPr>
          <w:rFonts w:ascii="Times New Roman" w:hAnsi="Times New Roman" w:cs="Times New Roman"/>
          <w:sz w:val="24"/>
          <w:szCs w:val="24"/>
        </w:rPr>
        <w:t>a</w:t>
      </w:r>
      <w:r w:rsidR="00F33758" w:rsidRPr="0019195E">
        <w:rPr>
          <w:rFonts w:ascii="Times New Roman" w:hAnsi="Times New Roman" w:cs="Times New Roman"/>
          <w:sz w:val="24"/>
          <w:szCs w:val="24"/>
        </w:rPr>
        <w:t xml:space="preserve">s: </w:t>
      </w:r>
      <w:r w:rsidRPr="0019195E">
        <w:rPr>
          <w:rFonts w:ascii="Times New Roman" w:hAnsi="Times New Roman" w:cs="Times New Roman"/>
          <w:sz w:val="24"/>
          <w:szCs w:val="24"/>
        </w:rPr>
        <w:t xml:space="preserve">por un lado, se ha </w:t>
      </w:r>
      <w:r w:rsidR="0019195E" w:rsidRPr="0019195E">
        <w:rPr>
          <w:rFonts w:ascii="Times New Roman" w:hAnsi="Times New Roman" w:cs="Times New Roman"/>
          <w:sz w:val="24"/>
          <w:szCs w:val="24"/>
        </w:rPr>
        <w:t xml:space="preserve">señalado </w:t>
      </w:r>
      <w:r w:rsidR="00717496">
        <w:rPr>
          <w:rFonts w:ascii="Times New Roman" w:hAnsi="Times New Roman" w:cs="Times New Roman"/>
          <w:sz w:val="24"/>
          <w:szCs w:val="24"/>
        </w:rPr>
        <w:t>su</w:t>
      </w:r>
      <w:r w:rsidR="0019195E" w:rsidRPr="0019195E">
        <w:rPr>
          <w:rFonts w:ascii="Times New Roman" w:hAnsi="Times New Roman" w:cs="Times New Roman"/>
          <w:sz w:val="24"/>
          <w:szCs w:val="24"/>
        </w:rPr>
        <w:t xml:space="preserve"> carácter inapropiado en la medida en que</w:t>
      </w:r>
      <w:r w:rsidR="00B85488">
        <w:rPr>
          <w:rFonts w:ascii="Times New Roman" w:hAnsi="Times New Roman" w:cs="Times New Roman"/>
          <w:sz w:val="24"/>
          <w:szCs w:val="24"/>
        </w:rPr>
        <w:t xml:space="preserve"> el criterio</w:t>
      </w:r>
      <w:r w:rsidR="0019195E" w:rsidRPr="0019195E">
        <w:rPr>
          <w:rFonts w:ascii="Times New Roman" w:hAnsi="Times New Roman" w:cs="Times New Roman"/>
          <w:sz w:val="24"/>
          <w:szCs w:val="24"/>
        </w:rPr>
        <w:t xml:space="preserve"> podría clasificar a las personas mayores como ciudadanos de segunda categoría</w:t>
      </w:r>
      <w:r w:rsidR="00717496">
        <w:rPr>
          <w:rFonts w:ascii="Times New Roman" w:hAnsi="Times New Roman" w:cs="Times New Roman"/>
          <w:sz w:val="24"/>
          <w:szCs w:val="24"/>
        </w:rPr>
        <w:t xml:space="preserve"> [6]</w:t>
      </w:r>
      <w:r w:rsidR="0019195E" w:rsidRPr="0019195E">
        <w:rPr>
          <w:rFonts w:ascii="Times New Roman" w:hAnsi="Times New Roman" w:cs="Times New Roman"/>
          <w:sz w:val="24"/>
          <w:szCs w:val="24"/>
        </w:rPr>
        <w:t xml:space="preserve">; y, por otro lado, se ha argüido </w:t>
      </w:r>
      <w:r w:rsidR="0019195E">
        <w:rPr>
          <w:rFonts w:ascii="Times New Roman" w:hAnsi="Times New Roman" w:cs="Times New Roman"/>
          <w:sz w:val="24"/>
          <w:szCs w:val="24"/>
        </w:rPr>
        <w:t xml:space="preserve">en favor </w:t>
      </w:r>
      <w:r w:rsidR="00B85488">
        <w:rPr>
          <w:rFonts w:ascii="Times New Roman" w:hAnsi="Times New Roman" w:cs="Times New Roman"/>
          <w:sz w:val="24"/>
          <w:szCs w:val="24"/>
        </w:rPr>
        <w:t>del criterio</w:t>
      </w:r>
      <w:r w:rsidR="00717496">
        <w:rPr>
          <w:rFonts w:ascii="Times New Roman" w:hAnsi="Times New Roman" w:cs="Times New Roman"/>
          <w:sz w:val="24"/>
          <w:szCs w:val="24"/>
        </w:rPr>
        <w:t xml:space="preserve"> </w:t>
      </w:r>
      <w:r w:rsidR="00B85488">
        <w:rPr>
          <w:rFonts w:ascii="Times New Roman" w:hAnsi="Times New Roman" w:cs="Times New Roman"/>
          <w:sz w:val="24"/>
          <w:szCs w:val="24"/>
        </w:rPr>
        <w:t>aduciendo</w:t>
      </w:r>
      <w:r w:rsidR="00717496">
        <w:rPr>
          <w:rFonts w:ascii="Times New Roman" w:hAnsi="Times New Roman" w:cs="Times New Roman"/>
          <w:sz w:val="24"/>
          <w:szCs w:val="24"/>
        </w:rPr>
        <w:t xml:space="preserve"> principios tales como el </w:t>
      </w:r>
      <w:proofErr w:type="spellStart"/>
      <w:r w:rsidR="00717496">
        <w:rPr>
          <w:rFonts w:ascii="Times New Roman" w:hAnsi="Times New Roman" w:cs="Times New Roman"/>
          <w:i/>
          <w:iCs/>
          <w:sz w:val="24"/>
          <w:szCs w:val="24"/>
        </w:rPr>
        <w:t>fair</w:t>
      </w:r>
      <w:proofErr w:type="spellEnd"/>
      <w:r w:rsidR="00717496">
        <w:rPr>
          <w:rFonts w:ascii="Times New Roman" w:hAnsi="Times New Roman" w:cs="Times New Roman"/>
          <w:i/>
          <w:iCs/>
          <w:sz w:val="24"/>
          <w:szCs w:val="24"/>
        </w:rPr>
        <w:t xml:space="preserve"> innings </w:t>
      </w:r>
      <w:r w:rsidR="00717496">
        <w:rPr>
          <w:rFonts w:ascii="Times New Roman" w:hAnsi="Times New Roman" w:cs="Times New Roman"/>
          <w:sz w:val="24"/>
          <w:szCs w:val="24"/>
        </w:rPr>
        <w:t>[7]</w:t>
      </w:r>
      <w:r w:rsidR="00452299" w:rsidRPr="00717496">
        <w:rPr>
          <w:rFonts w:ascii="Times New Roman" w:hAnsi="Times New Roman" w:cs="Times New Roman"/>
          <w:sz w:val="24"/>
          <w:szCs w:val="24"/>
        </w:rPr>
        <w:t>.</w:t>
      </w:r>
      <w:r w:rsidR="00717496">
        <w:rPr>
          <w:rFonts w:ascii="Times New Roman" w:hAnsi="Times New Roman" w:cs="Times New Roman"/>
          <w:sz w:val="24"/>
          <w:szCs w:val="24"/>
        </w:rPr>
        <w:t xml:space="preserve"> </w:t>
      </w:r>
      <w:r w:rsidR="00B85488">
        <w:rPr>
          <w:rFonts w:ascii="Times New Roman" w:hAnsi="Times New Roman" w:cs="Times New Roman"/>
          <w:sz w:val="24"/>
          <w:szCs w:val="24"/>
        </w:rPr>
        <w:t>En el contexto de la pandemia por COVID-19, s</w:t>
      </w:r>
      <w:r w:rsidR="00452299" w:rsidRPr="00717496">
        <w:rPr>
          <w:rFonts w:ascii="Times New Roman" w:hAnsi="Times New Roman" w:cs="Times New Roman"/>
          <w:sz w:val="24"/>
          <w:szCs w:val="24"/>
        </w:rPr>
        <w:t xml:space="preserve">i bien la selección </w:t>
      </w:r>
      <w:r w:rsidR="00452299" w:rsidRPr="00717496">
        <w:rPr>
          <w:rFonts w:ascii="Times New Roman" w:hAnsi="Times New Roman" w:cs="Times New Roman"/>
          <w:i/>
          <w:iCs/>
          <w:sz w:val="24"/>
          <w:szCs w:val="24"/>
        </w:rPr>
        <w:t xml:space="preserve">a priori </w:t>
      </w:r>
      <w:r w:rsidR="00452299" w:rsidRPr="00717496">
        <w:rPr>
          <w:rFonts w:ascii="Times New Roman" w:hAnsi="Times New Roman" w:cs="Times New Roman"/>
          <w:sz w:val="24"/>
          <w:szCs w:val="24"/>
        </w:rPr>
        <w:t>se fundamenta</w:t>
      </w:r>
      <w:r w:rsidR="00717496">
        <w:rPr>
          <w:rFonts w:ascii="Times New Roman" w:hAnsi="Times New Roman" w:cs="Times New Roman"/>
          <w:sz w:val="24"/>
          <w:szCs w:val="24"/>
        </w:rPr>
        <w:t xml:space="preserve"> </w:t>
      </w:r>
      <w:r w:rsidR="00452299" w:rsidRPr="00717496">
        <w:rPr>
          <w:rFonts w:ascii="Times New Roman" w:hAnsi="Times New Roman" w:cs="Times New Roman"/>
          <w:sz w:val="24"/>
          <w:szCs w:val="24"/>
        </w:rPr>
        <w:t xml:space="preserve">en </w:t>
      </w:r>
      <w:r w:rsidR="0084726C" w:rsidRPr="00717496">
        <w:rPr>
          <w:rFonts w:ascii="Times New Roman" w:hAnsi="Times New Roman" w:cs="Times New Roman"/>
          <w:sz w:val="24"/>
          <w:szCs w:val="24"/>
        </w:rPr>
        <w:t xml:space="preserve">la evidencia según la cual </w:t>
      </w:r>
      <w:r w:rsidR="00B85488">
        <w:rPr>
          <w:rFonts w:ascii="Times New Roman" w:hAnsi="Times New Roman" w:cs="Times New Roman"/>
          <w:sz w:val="24"/>
          <w:szCs w:val="24"/>
        </w:rPr>
        <w:t>los adultos mayores muestran</w:t>
      </w:r>
      <w:r w:rsidR="0084726C" w:rsidRPr="00717496">
        <w:rPr>
          <w:rFonts w:ascii="Times New Roman" w:hAnsi="Times New Roman" w:cs="Times New Roman"/>
          <w:sz w:val="24"/>
          <w:szCs w:val="24"/>
        </w:rPr>
        <w:t xml:space="preserve"> una mortalidad superior, </w:t>
      </w:r>
      <w:r w:rsidRPr="00717496">
        <w:rPr>
          <w:rFonts w:ascii="Times New Roman" w:hAnsi="Times New Roman" w:cs="Times New Roman"/>
          <w:sz w:val="24"/>
          <w:szCs w:val="24"/>
        </w:rPr>
        <w:t>algunos</w:t>
      </w:r>
      <w:r w:rsidR="0084726C" w:rsidRPr="00717496">
        <w:rPr>
          <w:rFonts w:ascii="Times New Roman" w:hAnsi="Times New Roman" w:cs="Times New Roman"/>
          <w:sz w:val="24"/>
          <w:szCs w:val="24"/>
        </w:rPr>
        <w:t xml:space="preserve"> estudios han verificado que la morbilidad múltiple parece ser </w:t>
      </w:r>
      <w:r w:rsidRPr="00717496">
        <w:rPr>
          <w:rFonts w:ascii="Times New Roman" w:hAnsi="Times New Roman" w:cs="Times New Roman"/>
          <w:sz w:val="24"/>
          <w:szCs w:val="24"/>
        </w:rPr>
        <w:t xml:space="preserve">realmente </w:t>
      </w:r>
      <w:r w:rsidR="0084726C" w:rsidRPr="00717496">
        <w:rPr>
          <w:rFonts w:ascii="Times New Roman" w:hAnsi="Times New Roman" w:cs="Times New Roman"/>
          <w:sz w:val="24"/>
          <w:szCs w:val="24"/>
        </w:rPr>
        <w:t>el factor definitivo</w:t>
      </w:r>
      <w:r w:rsidR="00717496">
        <w:rPr>
          <w:rFonts w:ascii="Times New Roman" w:hAnsi="Times New Roman" w:cs="Times New Roman"/>
          <w:sz w:val="24"/>
          <w:szCs w:val="24"/>
        </w:rPr>
        <w:t xml:space="preserve"> [8]. </w:t>
      </w:r>
      <w:r w:rsidR="00B85488">
        <w:rPr>
          <w:rFonts w:ascii="Times New Roman" w:hAnsi="Times New Roman" w:cs="Times New Roman"/>
          <w:sz w:val="24"/>
          <w:szCs w:val="24"/>
        </w:rPr>
        <w:t>En la</w:t>
      </w:r>
      <w:r w:rsidR="00173EBB">
        <w:rPr>
          <w:rFonts w:ascii="Times New Roman" w:hAnsi="Times New Roman" w:cs="Times New Roman"/>
          <w:sz w:val="24"/>
          <w:szCs w:val="24"/>
        </w:rPr>
        <w:t xml:space="preserve"> fase inicial de la pandemia, </w:t>
      </w:r>
      <w:r w:rsidR="00B85488">
        <w:rPr>
          <w:rFonts w:ascii="Times New Roman" w:hAnsi="Times New Roman" w:cs="Times New Roman"/>
          <w:sz w:val="24"/>
          <w:szCs w:val="24"/>
        </w:rPr>
        <w:t xml:space="preserve">Colombia, </w:t>
      </w:r>
      <w:r w:rsidRPr="00717496">
        <w:rPr>
          <w:rFonts w:ascii="Times New Roman" w:hAnsi="Times New Roman" w:cs="Times New Roman"/>
          <w:sz w:val="24"/>
          <w:szCs w:val="24"/>
        </w:rPr>
        <w:t>aunque no constituy</w:t>
      </w:r>
      <w:r w:rsidR="00B85488">
        <w:rPr>
          <w:rFonts w:ascii="Times New Roman" w:hAnsi="Times New Roman" w:cs="Times New Roman"/>
          <w:sz w:val="24"/>
          <w:szCs w:val="24"/>
        </w:rPr>
        <w:t>a</w:t>
      </w:r>
      <w:r w:rsidRPr="00717496">
        <w:rPr>
          <w:rFonts w:ascii="Times New Roman" w:hAnsi="Times New Roman" w:cs="Times New Roman"/>
          <w:sz w:val="24"/>
          <w:szCs w:val="24"/>
        </w:rPr>
        <w:t xml:space="preserve"> el caso común en América Latina</w:t>
      </w:r>
      <w:r w:rsidR="00B85488">
        <w:rPr>
          <w:rFonts w:ascii="Times New Roman" w:hAnsi="Times New Roman" w:cs="Times New Roman"/>
          <w:sz w:val="24"/>
          <w:szCs w:val="24"/>
        </w:rPr>
        <w:t xml:space="preserve">, </w:t>
      </w:r>
      <w:r w:rsidRPr="00717496">
        <w:rPr>
          <w:rFonts w:ascii="Times New Roman" w:hAnsi="Times New Roman" w:cs="Times New Roman"/>
          <w:sz w:val="24"/>
          <w:szCs w:val="24"/>
        </w:rPr>
        <w:t>se propuso</w:t>
      </w:r>
      <w:r w:rsidR="0084726C" w:rsidRPr="00717496">
        <w:rPr>
          <w:rFonts w:ascii="Times New Roman" w:hAnsi="Times New Roman" w:cs="Times New Roman"/>
          <w:sz w:val="24"/>
          <w:szCs w:val="24"/>
        </w:rPr>
        <w:t xml:space="preserve"> disminuir la presión sobre el sistema de salud ---en especial, sobre la escasez de los recursos de cuidados intensivos--- mediante la implementación de políticas públicas que priorizaran </w:t>
      </w:r>
      <w:r w:rsidR="00B85488">
        <w:rPr>
          <w:rFonts w:ascii="Times New Roman" w:hAnsi="Times New Roman" w:cs="Times New Roman"/>
          <w:sz w:val="24"/>
          <w:szCs w:val="24"/>
        </w:rPr>
        <w:t>a los adultos mayores\</w:t>
      </w:r>
      <w:proofErr w:type="spellStart"/>
      <w:proofErr w:type="gramStart"/>
      <w:r w:rsidR="00B85488">
        <w:rPr>
          <w:rFonts w:ascii="Times New Roman" w:hAnsi="Times New Roman" w:cs="Times New Roman"/>
          <w:sz w:val="24"/>
          <w:szCs w:val="24"/>
        </w:rPr>
        <w:t>footnote</w:t>
      </w:r>
      <w:proofErr w:type="spellEnd"/>
      <w:r w:rsidR="00B85488">
        <w:rPr>
          <w:rFonts w:ascii="Times New Roman" w:hAnsi="Times New Roman" w:cs="Times New Roman"/>
          <w:sz w:val="24"/>
          <w:szCs w:val="24"/>
        </w:rPr>
        <w:t>{</w:t>
      </w:r>
      <w:proofErr w:type="gramEnd"/>
      <w:r w:rsidR="00B85488" w:rsidRPr="00717496">
        <w:rPr>
          <w:rFonts w:ascii="Times New Roman" w:hAnsi="Times New Roman" w:cs="Times New Roman"/>
          <w:sz w:val="24"/>
          <w:szCs w:val="24"/>
        </w:rPr>
        <w:t xml:space="preserve">La </w:t>
      </w:r>
      <w:r w:rsidR="00B85488">
        <w:rPr>
          <w:rFonts w:ascii="Times New Roman" w:hAnsi="Times New Roman" w:cs="Times New Roman"/>
          <w:sz w:val="24"/>
          <w:szCs w:val="24"/>
        </w:rPr>
        <w:t>R</w:t>
      </w:r>
      <w:r w:rsidR="00B85488" w:rsidRPr="00717496">
        <w:rPr>
          <w:rFonts w:ascii="Times New Roman" w:hAnsi="Times New Roman" w:cs="Times New Roman"/>
          <w:sz w:val="24"/>
          <w:szCs w:val="24"/>
        </w:rPr>
        <w:t>esolución 464 de</w:t>
      </w:r>
      <w:r w:rsidR="00B85488">
        <w:rPr>
          <w:rFonts w:ascii="Times New Roman" w:hAnsi="Times New Roman" w:cs="Times New Roman"/>
          <w:sz w:val="24"/>
          <w:szCs w:val="24"/>
        </w:rPr>
        <w:t>l</w:t>
      </w:r>
      <w:r w:rsidR="00B85488" w:rsidRPr="00717496">
        <w:rPr>
          <w:rFonts w:ascii="Times New Roman" w:hAnsi="Times New Roman" w:cs="Times New Roman"/>
          <w:sz w:val="24"/>
          <w:szCs w:val="24"/>
        </w:rPr>
        <w:t xml:space="preserve"> 18 de marzo de 2020 </w:t>
      </w:r>
      <w:r w:rsidR="00B85488">
        <w:rPr>
          <w:rFonts w:ascii="Times New Roman" w:hAnsi="Times New Roman" w:cs="Times New Roman"/>
          <w:sz w:val="24"/>
          <w:szCs w:val="24"/>
        </w:rPr>
        <w:t>estableció</w:t>
      </w:r>
      <w:r w:rsidR="00B85488" w:rsidRPr="00717496">
        <w:rPr>
          <w:rFonts w:ascii="Times New Roman" w:hAnsi="Times New Roman" w:cs="Times New Roman"/>
          <w:sz w:val="24"/>
          <w:szCs w:val="24"/>
        </w:rPr>
        <w:t>, por ejemplo, el aislamiento preventivo para personas mayores de 70 años</w:t>
      </w:r>
      <w:r w:rsidR="00B85488">
        <w:rPr>
          <w:rFonts w:ascii="Times New Roman" w:hAnsi="Times New Roman" w:cs="Times New Roman"/>
          <w:sz w:val="24"/>
          <w:szCs w:val="24"/>
        </w:rPr>
        <w:t xml:space="preserve">. En una línea similar, se estableció </w:t>
      </w:r>
      <w:r w:rsidR="00B85488" w:rsidRPr="00717496">
        <w:rPr>
          <w:rFonts w:ascii="Times New Roman" w:hAnsi="Times New Roman" w:cs="Times New Roman"/>
          <w:sz w:val="24"/>
          <w:szCs w:val="24"/>
        </w:rPr>
        <w:t xml:space="preserve">el aislamiento preventivo para </w:t>
      </w:r>
      <w:r w:rsidR="00B85488">
        <w:rPr>
          <w:rFonts w:ascii="Times New Roman" w:hAnsi="Times New Roman" w:cs="Times New Roman"/>
          <w:sz w:val="24"/>
          <w:szCs w:val="24"/>
        </w:rPr>
        <w:t>adultos mayores</w:t>
      </w:r>
      <w:r w:rsidR="00B85488" w:rsidRPr="00717496">
        <w:rPr>
          <w:rFonts w:ascii="Times New Roman" w:hAnsi="Times New Roman" w:cs="Times New Roman"/>
          <w:sz w:val="24"/>
          <w:szCs w:val="24"/>
        </w:rPr>
        <w:t xml:space="preserve"> en centro</w:t>
      </w:r>
      <w:r w:rsidR="00B85488">
        <w:rPr>
          <w:rFonts w:ascii="Times New Roman" w:hAnsi="Times New Roman" w:cs="Times New Roman"/>
          <w:sz w:val="24"/>
          <w:szCs w:val="24"/>
        </w:rPr>
        <w:t xml:space="preserve"> de retiro</w:t>
      </w:r>
      <w:r w:rsidR="00B85488" w:rsidRPr="00717496">
        <w:rPr>
          <w:rFonts w:ascii="Times New Roman" w:hAnsi="Times New Roman" w:cs="Times New Roman"/>
          <w:sz w:val="24"/>
          <w:szCs w:val="24"/>
        </w:rPr>
        <w:t xml:space="preserve"> y el cese parcial de</w:t>
      </w:r>
      <w:r w:rsidR="00B85488">
        <w:rPr>
          <w:rFonts w:ascii="Times New Roman" w:hAnsi="Times New Roman" w:cs="Times New Roman"/>
          <w:sz w:val="24"/>
          <w:szCs w:val="24"/>
        </w:rPr>
        <w:t xml:space="preserve"> las</w:t>
      </w:r>
      <w:r w:rsidR="00B85488" w:rsidRPr="00717496">
        <w:rPr>
          <w:rFonts w:ascii="Times New Roman" w:hAnsi="Times New Roman" w:cs="Times New Roman"/>
          <w:sz w:val="24"/>
          <w:szCs w:val="24"/>
        </w:rPr>
        <w:t xml:space="preserve"> actividades comunitarias</w:t>
      </w:r>
      <w:r w:rsidR="00B85488">
        <w:rPr>
          <w:rFonts w:ascii="Times New Roman" w:hAnsi="Times New Roman" w:cs="Times New Roman"/>
          <w:sz w:val="24"/>
          <w:szCs w:val="24"/>
        </w:rPr>
        <w:t xml:space="preserve"> [9]}</w:t>
      </w:r>
      <w:r w:rsidR="0084726C" w:rsidRPr="00717496">
        <w:rPr>
          <w:rFonts w:ascii="Times New Roman" w:hAnsi="Times New Roman" w:cs="Times New Roman"/>
          <w:sz w:val="24"/>
          <w:szCs w:val="24"/>
        </w:rPr>
        <w:t>.</w:t>
      </w:r>
      <w:r w:rsidR="0013197F" w:rsidRPr="00717496">
        <w:rPr>
          <w:rFonts w:ascii="Times New Roman" w:hAnsi="Times New Roman" w:cs="Times New Roman"/>
          <w:sz w:val="24"/>
          <w:szCs w:val="24"/>
        </w:rPr>
        <w:t xml:space="preserve"> Estudios</w:t>
      </w:r>
      <w:r w:rsidR="00F33758" w:rsidRPr="00717496">
        <w:rPr>
          <w:rFonts w:ascii="Times New Roman" w:hAnsi="Times New Roman" w:cs="Times New Roman"/>
          <w:sz w:val="24"/>
          <w:szCs w:val="24"/>
        </w:rPr>
        <w:t xml:space="preserve"> comparativos han verificado </w:t>
      </w:r>
      <w:r w:rsidRPr="00717496">
        <w:rPr>
          <w:rFonts w:ascii="Times New Roman" w:hAnsi="Times New Roman" w:cs="Times New Roman"/>
          <w:sz w:val="24"/>
          <w:szCs w:val="24"/>
        </w:rPr>
        <w:t>un estancamiento de</w:t>
      </w:r>
      <w:r w:rsidR="00F33758" w:rsidRPr="00717496">
        <w:rPr>
          <w:rFonts w:ascii="Times New Roman" w:hAnsi="Times New Roman" w:cs="Times New Roman"/>
          <w:sz w:val="24"/>
          <w:szCs w:val="24"/>
        </w:rPr>
        <w:t xml:space="preserve"> la curva de </w:t>
      </w:r>
      <w:r w:rsidRPr="00717496">
        <w:rPr>
          <w:rFonts w:ascii="Times New Roman" w:hAnsi="Times New Roman" w:cs="Times New Roman"/>
          <w:sz w:val="24"/>
          <w:szCs w:val="24"/>
        </w:rPr>
        <w:t xml:space="preserve">supervivencia para </w:t>
      </w:r>
      <w:r w:rsidR="00F33758" w:rsidRPr="00717496">
        <w:rPr>
          <w:rFonts w:ascii="Times New Roman" w:hAnsi="Times New Roman" w:cs="Times New Roman"/>
          <w:sz w:val="24"/>
          <w:szCs w:val="24"/>
        </w:rPr>
        <w:t>la población de adultos mayores</w:t>
      </w:r>
      <w:r w:rsidR="00B85488">
        <w:rPr>
          <w:rFonts w:ascii="Times New Roman" w:hAnsi="Times New Roman" w:cs="Times New Roman"/>
          <w:sz w:val="24"/>
          <w:szCs w:val="24"/>
        </w:rPr>
        <w:t xml:space="preserve"> en Colombia </w:t>
      </w:r>
      <w:r w:rsidR="00717496">
        <w:rPr>
          <w:rFonts w:ascii="Times New Roman" w:hAnsi="Times New Roman" w:cs="Times New Roman"/>
          <w:sz w:val="24"/>
          <w:szCs w:val="24"/>
        </w:rPr>
        <w:t>[</w:t>
      </w:r>
      <w:r w:rsidR="00B85488">
        <w:rPr>
          <w:rFonts w:ascii="Times New Roman" w:hAnsi="Times New Roman" w:cs="Times New Roman"/>
          <w:sz w:val="24"/>
          <w:szCs w:val="24"/>
        </w:rPr>
        <w:t>10</w:t>
      </w:r>
      <w:r w:rsidR="00717496">
        <w:rPr>
          <w:rFonts w:ascii="Times New Roman" w:hAnsi="Times New Roman" w:cs="Times New Roman"/>
          <w:sz w:val="24"/>
          <w:szCs w:val="24"/>
        </w:rPr>
        <w:t>]</w:t>
      </w:r>
      <w:r w:rsidR="00717496">
        <w:rPr>
          <w:rStyle w:val="Refdenotaalpie"/>
          <w:rFonts w:ascii="Times New Roman" w:hAnsi="Times New Roman" w:cs="Times New Roman"/>
          <w:sz w:val="24"/>
          <w:szCs w:val="24"/>
        </w:rPr>
        <w:footnoteReference w:id="2"/>
      </w:r>
      <w:r w:rsidR="00F33758" w:rsidRPr="00717496">
        <w:rPr>
          <w:rFonts w:ascii="Times New Roman" w:hAnsi="Times New Roman" w:cs="Times New Roman"/>
          <w:sz w:val="24"/>
          <w:szCs w:val="24"/>
        </w:rPr>
        <w:t>.</w:t>
      </w:r>
    </w:p>
    <w:p w14:paraId="6A666078" w14:textId="01190032" w:rsidR="00A50C42" w:rsidRDefault="00A50C42" w:rsidP="00A50C42">
      <w:pPr>
        <w:jc w:val="both"/>
        <w:rPr>
          <w:rFonts w:ascii="Times New Roman" w:hAnsi="Times New Roman" w:cs="Times New Roman"/>
          <w:b/>
          <w:bCs/>
          <w:sz w:val="24"/>
          <w:szCs w:val="24"/>
        </w:rPr>
      </w:pPr>
    </w:p>
    <w:p w14:paraId="37293443" w14:textId="42C6CDBA" w:rsidR="007C3141" w:rsidRDefault="007C3141" w:rsidP="00A50C42">
      <w:pPr>
        <w:jc w:val="both"/>
        <w:rPr>
          <w:rFonts w:ascii="Times New Roman" w:hAnsi="Times New Roman" w:cs="Times New Roman"/>
          <w:b/>
          <w:bCs/>
          <w:sz w:val="24"/>
          <w:szCs w:val="24"/>
        </w:rPr>
      </w:pPr>
    </w:p>
    <w:p w14:paraId="5FCF2046" w14:textId="2816171D" w:rsidR="007C3141" w:rsidRDefault="007C3141" w:rsidP="00A50C42">
      <w:pPr>
        <w:jc w:val="both"/>
        <w:rPr>
          <w:rFonts w:ascii="Times New Roman" w:hAnsi="Times New Roman" w:cs="Times New Roman"/>
          <w:b/>
          <w:bCs/>
          <w:sz w:val="24"/>
          <w:szCs w:val="24"/>
        </w:rPr>
      </w:pPr>
    </w:p>
    <w:p w14:paraId="72818CC6" w14:textId="6F026E94" w:rsidR="007C3141" w:rsidRDefault="007C3141" w:rsidP="00A50C42">
      <w:pPr>
        <w:jc w:val="both"/>
        <w:rPr>
          <w:rFonts w:ascii="Times New Roman" w:hAnsi="Times New Roman" w:cs="Times New Roman"/>
          <w:b/>
          <w:bCs/>
          <w:sz w:val="24"/>
          <w:szCs w:val="24"/>
        </w:rPr>
      </w:pPr>
    </w:p>
    <w:p w14:paraId="4B591E46" w14:textId="34EB3CAC" w:rsidR="007C3141" w:rsidRDefault="007C3141" w:rsidP="00A50C42">
      <w:pPr>
        <w:jc w:val="both"/>
        <w:rPr>
          <w:rFonts w:ascii="Times New Roman" w:hAnsi="Times New Roman" w:cs="Times New Roman"/>
          <w:b/>
          <w:bCs/>
          <w:sz w:val="24"/>
          <w:szCs w:val="24"/>
        </w:rPr>
      </w:pPr>
    </w:p>
    <w:p w14:paraId="3F8352C6" w14:textId="2C0B49ED" w:rsidR="007C3141" w:rsidRDefault="007C3141" w:rsidP="00A50C42">
      <w:pPr>
        <w:jc w:val="both"/>
        <w:rPr>
          <w:rFonts w:ascii="Times New Roman" w:hAnsi="Times New Roman" w:cs="Times New Roman"/>
          <w:b/>
          <w:bCs/>
          <w:sz w:val="24"/>
          <w:szCs w:val="24"/>
        </w:rPr>
      </w:pPr>
    </w:p>
    <w:p w14:paraId="481FD453" w14:textId="08215C15" w:rsidR="007C3141" w:rsidRDefault="007C3141" w:rsidP="00A50C42">
      <w:pPr>
        <w:jc w:val="both"/>
        <w:rPr>
          <w:rFonts w:ascii="Times New Roman" w:hAnsi="Times New Roman" w:cs="Times New Roman"/>
          <w:b/>
          <w:bCs/>
          <w:sz w:val="24"/>
          <w:szCs w:val="24"/>
        </w:rPr>
      </w:pPr>
    </w:p>
    <w:p w14:paraId="02D642A3" w14:textId="70C712BF" w:rsidR="007C3141" w:rsidRDefault="007C3141" w:rsidP="00A50C42">
      <w:pPr>
        <w:jc w:val="both"/>
        <w:rPr>
          <w:rFonts w:ascii="Times New Roman" w:hAnsi="Times New Roman" w:cs="Times New Roman"/>
          <w:b/>
          <w:bCs/>
          <w:sz w:val="24"/>
          <w:szCs w:val="24"/>
        </w:rPr>
      </w:pPr>
    </w:p>
    <w:p w14:paraId="202717B0" w14:textId="16C46D84" w:rsidR="007C3141" w:rsidRDefault="007C3141" w:rsidP="00A50C42">
      <w:pPr>
        <w:jc w:val="both"/>
        <w:rPr>
          <w:rFonts w:ascii="Times New Roman" w:hAnsi="Times New Roman" w:cs="Times New Roman"/>
          <w:b/>
          <w:bCs/>
          <w:sz w:val="24"/>
          <w:szCs w:val="24"/>
        </w:rPr>
      </w:pPr>
    </w:p>
    <w:p w14:paraId="08AA2BBC" w14:textId="035C896B" w:rsidR="007C3141" w:rsidRDefault="007C3141" w:rsidP="00A50C42">
      <w:pPr>
        <w:jc w:val="both"/>
        <w:rPr>
          <w:rFonts w:ascii="Times New Roman" w:hAnsi="Times New Roman" w:cs="Times New Roman"/>
          <w:b/>
          <w:bCs/>
          <w:sz w:val="24"/>
          <w:szCs w:val="24"/>
        </w:rPr>
      </w:pPr>
    </w:p>
    <w:p w14:paraId="1010713E" w14:textId="61D500CF" w:rsidR="007C3141" w:rsidRDefault="007C3141" w:rsidP="00A50C42">
      <w:pPr>
        <w:jc w:val="both"/>
        <w:rPr>
          <w:rFonts w:ascii="Times New Roman" w:hAnsi="Times New Roman" w:cs="Times New Roman"/>
          <w:b/>
          <w:bCs/>
          <w:sz w:val="24"/>
          <w:szCs w:val="24"/>
        </w:rPr>
      </w:pPr>
    </w:p>
    <w:p w14:paraId="438CE243" w14:textId="0ED0EEBF" w:rsidR="007C3141" w:rsidRDefault="007C3141" w:rsidP="00A50C42">
      <w:pPr>
        <w:jc w:val="both"/>
        <w:rPr>
          <w:rFonts w:ascii="Times New Roman" w:hAnsi="Times New Roman" w:cs="Times New Roman"/>
          <w:b/>
          <w:bCs/>
          <w:sz w:val="24"/>
          <w:szCs w:val="24"/>
        </w:rPr>
      </w:pPr>
    </w:p>
    <w:p w14:paraId="0063D707" w14:textId="113CDF85" w:rsidR="007C3141" w:rsidRDefault="007C3141" w:rsidP="00A50C42">
      <w:pPr>
        <w:jc w:val="both"/>
        <w:rPr>
          <w:rFonts w:ascii="Times New Roman" w:hAnsi="Times New Roman" w:cs="Times New Roman"/>
          <w:b/>
          <w:bCs/>
          <w:sz w:val="24"/>
          <w:szCs w:val="24"/>
        </w:rPr>
      </w:pPr>
    </w:p>
    <w:p w14:paraId="675798BA" w14:textId="77777777" w:rsidR="007C3141" w:rsidRDefault="007C3141" w:rsidP="00A50C42">
      <w:pPr>
        <w:jc w:val="both"/>
        <w:rPr>
          <w:rFonts w:ascii="Times New Roman" w:hAnsi="Times New Roman" w:cs="Times New Roman"/>
          <w:b/>
          <w:bCs/>
          <w:sz w:val="24"/>
          <w:szCs w:val="24"/>
        </w:rPr>
      </w:pPr>
    </w:p>
    <w:p w14:paraId="60F04D29" w14:textId="1E2575F0" w:rsidR="00BD7022" w:rsidRPr="00D342C6" w:rsidRDefault="00BD7022" w:rsidP="00D342C6">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Otra covariable de interés: el sexo del paciente. Además, se introducen las tres metodologías principales</w:t>
      </w:r>
    </w:p>
    <w:p w14:paraId="049633DE" w14:textId="43948A7F" w:rsidR="00BD7022" w:rsidRDefault="001B1BD1" w:rsidP="001B1BD1">
      <w:pPr>
        <w:ind w:firstLine="284"/>
        <w:jc w:val="both"/>
        <w:rPr>
          <w:rFonts w:ascii="Times New Roman" w:hAnsi="Times New Roman" w:cs="Times New Roman"/>
          <w:sz w:val="24"/>
          <w:szCs w:val="24"/>
        </w:rPr>
      </w:pPr>
      <w:r>
        <w:rPr>
          <w:rFonts w:ascii="Times New Roman" w:hAnsi="Times New Roman" w:cs="Times New Roman"/>
          <w:sz w:val="24"/>
          <w:szCs w:val="24"/>
        </w:rPr>
        <w:t>En una línea similar, se ha verificado que, en el caso del COVID-19, los pacientes de sexo masculino muestran una peor evolución de la enfermedad. Se ha registrado una mayor mortalidad en pacientes de sexo masculino y, en comparación con una cohorte de pacientes de sexo femenino con características similares, un mayor riesgo de hospitalización, de ser ingresados en unidades de cuidados intensivos y de requerir ventilación mecánica [17 - 18, 21]. De hecho, mediante un metaanálisis de casos globales, se verificó que, aun cuando no existe una diferencia significativa en la proporción de casos confirmados según el sexo, los resultados anteriores se conservan [19, 20]. Lo mismo valdría para la probabilidad de supervivencia de pacientes de COVID-19 en unidades de cuidados intensivos. Se ha verificado que, con independencia de la severidad de la enfermedad, la obesidad, la terapia administrada y el país del caso, los pacientes de COVID-19 con sexo masculino registran una menor probabilidad de sobrevivir en unidades de cuidados intensivos [21]</w:t>
      </w:r>
      <w:r w:rsidR="00D342C6">
        <w:rPr>
          <w:rStyle w:val="Refdenotaalpie"/>
          <w:rFonts w:ascii="Times New Roman" w:hAnsi="Times New Roman" w:cs="Times New Roman"/>
          <w:sz w:val="24"/>
          <w:szCs w:val="24"/>
        </w:rPr>
        <w:footnoteReference w:id="3"/>
      </w:r>
      <w:r w:rsidR="00D342C6">
        <w:rPr>
          <w:rFonts w:ascii="Times New Roman" w:hAnsi="Times New Roman" w:cs="Times New Roman"/>
          <w:sz w:val="24"/>
          <w:szCs w:val="24"/>
        </w:rPr>
        <w:t>.</w:t>
      </w:r>
    </w:p>
    <w:p w14:paraId="3492021B" w14:textId="77777777" w:rsidR="001B1BD1" w:rsidRPr="001B1BD1" w:rsidRDefault="001B1BD1" w:rsidP="001B1BD1">
      <w:pPr>
        <w:ind w:firstLine="284"/>
        <w:jc w:val="both"/>
        <w:rPr>
          <w:rFonts w:ascii="Times New Roman" w:hAnsi="Times New Roman" w:cs="Times New Roman"/>
          <w:sz w:val="24"/>
          <w:szCs w:val="24"/>
        </w:rPr>
      </w:pPr>
    </w:p>
    <w:p w14:paraId="26981EAD" w14:textId="5F6792A8" w:rsidR="00AF25A2" w:rsidRDefault="00BD7022" w:rsidP="00BD7022">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Párrafo breve: </w:t>
      </w:r>
      <w:r w:rsidR="00AF25A2">
        <w:rPr>
          <w:rFonts w:ascii="Times New Roman" w:hAnsi="Times New Roman" w:cs="Times New Roman"/>
          <w:b/>
          <w:bCs/>
          <w:sz w:val="24"/>
          <w:szCs w:val="24"/>
        </w:rPr>
        <w:t>las tres vías metodológicas.</w:t>
      </w:r>
    </w:p>
    <w:p w14:paraId="12BF6498" w14:textId="7C519EFF" w:rsidR="001B1BD1" w:rsidRPr="001B1BD1" w:rsidRDefault="001B1BD1" w:rsidP="001B1BD1">
      <w:pPr>
        <w:jc w:val="both"/>
        <w:rPr>
          <w:rFonts w:ascii="Times New Roman" w:hAnsi="Times New Roman" w:cs="Times New Roman"/>
          <w:sz w:val="24"/>
          <w:szCs w:val="24"/>
        </w:rPr>
      </w:pPr>
      <w:r>
        <w:rPr>
          <w:rFonts w:ascii="Times New Roman" w:hAnsi="Times New Roman" w:cs="Times New Roman"/>
          <w:sz w:val="24"/>
          <w:szCs w:val="24"/>
        </w:rPr>
        <w:t>Además de la edad y el sexo del paciente, numerosas investigaciones han examinado la relación entre el tiempo de permanencia en unidades de cuidados intensivos para pacientes de COVID-19 y otros factores de riesgo asociados: obesidad</w:t>
      </w:r>
      <w:r w:rsidR="00847BD1">
        <w:rPr>
          <w:rFonts w:ascii="Times New Roman" w:hAnsi="Times New Roman" w:cs="Times New Roman"/>
          <w:sz w:val="24"/>
          <w:szCs w:val="24"/>
        </w:rPr>
        <w:t xml:space="preserve"> [27]</w:t>
      </w:r>
      <w:r>
        <w:rPr>
          <w:rFonts w:ascii="Times New Roman" w:hAnsi="Times New Roman" w:cs="Times New Roman"/>
          <w:sz w:val="24"/>
          <w:szCs w:val="24"/>
        </w:rPr>
        <w:t>, sistemas de clasificación para la severidad de la enfermedad ---v.gr.: puntajes ---</w:t>
      </w:r>
      <w:r w:rsidR="00847BD1">
        <w:rPr>
          <w:rFonts w:ascii="Times New Roman" w:hAnsi="Times New Roman" w:cs="Times New Roman"/>
          <w:sz w:val="24"/>
          <w:szCs w:val="24"/>
        </w:rPr>
        <w:t xml:space="preserve"> [28]</w:t>
      </w:r>
      <w:r>
        <w:rPr>
          <w:rFonts w:ascii="Times New Roman" w:hAnsi="Times New Roman" w:cs="Times New Roman"/>
          <w:sz w:val="24"/>
          <w:szCs w:val="24"/>
        </w:rPr>
        <w:t>, tabaquismo</w:t>
      </w:r>
      <w:r w:rsidR="00847BD1">
        <w:rPr>
          <w:rFonts w:ascii="Times New Roman" w:hAnsi="Times New Roman" w:cs="Times New Roman"/>
          <w:sz w:val="24"/>
          <w:szCs w:val="24"/>
        </w:rPr>
        <w:t xml:space="preserve"> [29]</w:t>
      </w:r>
      <w:r>
        <w:rPr>
          <w:rFonts w:ascii="Times New Roman" w:hAnsi="Times New Roman" w:cs="Times New Roman"/>
          <w:sz w:val="24"/>
          <w:szCs w:val="24"/>
        </w:rPr>
        <w:t>, pertenencia étnica</w:t>
      </w:r>
      <w:r w:rsidR="00847BD1">
        <w:rPr>
          <w:rFonts w:ascii="Times New Roman" w:hAnsi="Times New Roman" w:cs="Times New Roman"/>
          <w:sz w:val="24"/>
          <w:szCs w:val="24"/>
        </w:rPr>
        <w:t xml:space="preserve"> [30]</w:t>
      </w:r>
      <w:r>
        <w:rPr>
          <w:rFonts w:ascii="Times New Roman" w:hAnsi="Times New Roman" w:cs="Times New Roman"/>
          <w:sz w:val="24"/>
          <w:szCs w:val="24"/>
        </w:rPr>
        <w:t>, etc. Existen, en términos generales, tres metodologías ampliamente usadas para evaluar la asociación entre los factores de riesgo</w:t>
      </w:r>
      <w:r w:rsidR="00847BD1">
        <w:rPr>
          <w:rFonts w:ascii="Times New Roman" w:hAnsi="Times New Roman" w:cs="Times New Roman"/>
          <w:sz w:val="24"/>
          <w:szCs w:val="24"/>
        </w:rPr>
        <w:t xml:space="preserve"> y la supervivencia en unidades de cuidados intensivos: primero, la implementación de modelos paramétricos que suponen una distribución probabilidad para la variable de interés; segundo, la estimación no-paramétrica de curvas de supervivencia, en especial, de acuerdo con el método de Kaplan-Meier; y tercero, la implementación de métodos </w:t>
      </w:r>
      <w:proofErr w:type="spellStart"/>
      <w:r w:rsidR="00847BD1">
        <w:rPr>
          <w:rFonts w:ascii="Times New Roman" w:hAnsi="Times New Roman" w:cs="Times New Roman"/>
          <w:sz w:val="24"/>
          <w:szCs w:val="24"/>
        </w:rPr>
        <w:t>semi-paramétricos</w:t>
      </w:r>
      <w:proofErr w:type="spellEnd"/>
      <w:r w:rsidR="00847BD1">
        <w:rPr>
          <w:rFonts w:ascii="Times New Roman" w:hAnsi="Times New Roman" w:cs="Times New Roman"/>
          <w:sz w:val="24"/>
          <w:szCs w:val="24"/>
        </w:rPr>
        <w:t xml:space="preserve"> tales como el modelo de riesgos proporcionales de Cox [31].</w:t>
      </w:r>
    </w:p>
    <w:p w14:paraId="5DF8D14D" w14:textId="23AA65F7" w:rsidR="00847BD1" w:rsidRDefault="004E057D" w:rsidP="00430574">
      <w:pPr>
        <w:jc w:val="both"/>
        <w:rPr>
          <w:rFonts w:ascii="Times New Roman" w:hAnsi="Times New Roman" w:cs="Times New Roman"/>
          <w:sz w:val="24"/>
          <w:szCs w:val="24"/>
        </w:rPr>
      </w:pPr>
      <w:r>
        <w:rPr>
          <w:rFonts w:ascii="Times New Roman" w:hAnsi="Times New Roman" w:cs="Times New Roman"/>
          <w:sz w:val="24"/>
          <w:szCs w:val="24"/>
        </w:rPr>
        <w:t>P.S: [31] es el artículo de López-</w:t>
      </w:r>
      <w:proofErr w:type="spellStart"/>
      <w:r>
        <w:rPr>
          <w:rFonts w:ascii="Times New Roman" w:hAnsi="Times New Roman" w:cs="Times New Roman"/>
          <w:sz w:val="24"/>
          <w:szCs w:val="24"/>
        </w:rPr>
        <w:t>Cheda</w:t>
      </w:r>
      <w:proofErr w:type="spellEnd"/>
      <w:r>
        <w:rPr>
          <w:rFonts w:ascii="Times New Roman" w:hAnsi="Times New Roman" w:cs="Times New Roman"/>
          <w:sz w:val="24"/>
          <w:szCs w:val="24"/>
        </w:rPr>
        <w:t>.</w:t>
      </w:r>
    </w:p>
    <w:p w14:paraId="54D4F023" w14:textId="7B71948E" w:rsidR="00BD7022" w:rsidRPr="00430574" w:rsidRDefault="004E057D" w:rsidP="00430574">
      <w:pPr>
        <w:jc w:val="both"/>
        <w:rPr>
          <w:rFonts w:ascii="Times New Roman" w:hAnsi="Times New Roman" w:cs="Times New Roman"/>
          <w:b/>
          <w:bCs/>
          <w:sz w:val="24"/>
          <w:szCs w:val="24"/>
        </w:rPr>
      </w:pPr>
      <w:r w:rsidRPr="004E057D">
        <w:rPr>
          <w:rFonts w:ascii="Times New Roman" w:hAnsi="Times New Roman" w:cs="Times New Roman"/>
          <w:b/>
          <w:bCs/>
          <w:sz w:val="24"/>
          <w:szCs w:val="24"/>
        </w:rPr>
        <w:t>¿Nota al pie de página?</w:t>
      </w:r>
      <w:r>
        <w:rPr>
          <w:rFonts w:ascii="Times New Roman" w:hAnsi="Times New Roman" w:cs="Times New Roman"/>
          <w:sz w:val="24"/>
          <w:szCs w:val="24"/>
        </w:rPr>
        <w:t xml:space="preserve"> </w:t>
      </w:r>
      <w:r w:rsidR="00AF25A2" w:rsidRPr="00AF25A2">
        <w:rPr>
          <w:rFonts w:ascii="Times New Roman" w:hAnsi="Times New Roman" w:cs="Times New Roman"/>
          <w:sz w:val="24"/>
          <w:szCs w:val="24"/>
        </w:rPr>
        <w:t xml:space="preserve">De manera similar: presentar brevemente la discusión de Ghani y Cox sobre la estimación de los Case </w:t>
      </w:r>
      <w:proofErr w:type="spellStart"/>
      <w:r w:rsidR="00AF25A2" w:rsidRPr="00AF25A2">
        <w:rPr>
          <w:rFonts w:ascii="Times New Roman" w:hAnsi="Times New Roman" w:cs="Times New Roman"/>
          <w:sz w:val="24"/>
          <w:szCs w:val="24"/>
        </w:rPr>
        <w:t>Fatality</w:t>
      </w:r>
      <w:proofErr w:type="spellEnd"/>
      <w:r w:rsidR="00AF25A2" w:rsidRPr="00AF25A2">
        <w:rPr>
          <w:rFonts w:ascii="Times New Roman" w:hAnsi="Times New Roman" w:cs="Times New Roman"/>
          <w:sz w:val="24"/>
          <w:szCs w:val="24"/>
        </w:rPr>
        <w:t xml:space="preserve"> Ratio (lo mismo hacen </w:t>
      </w:r>
      <w:proofErr w:type="spellStart"/>
      <w:r w:rsidR="00AF25A2" w:rsidRPr="00AF25A2">
        <w:rPr>
          <w:rFonts w:ascii="Times New Roman" w:hAnsi="Times New Roman" w:cs="Times New Roman"/>
          <w:sz w:val="24"/>
          <w:szCs w:val="24"/>
        </w:rPr>
        <w:t>Verity</w:t>
      </w:r>
      <w:proofErr w:type="spellEnd"/>
      <w:r w:rsidR="00AF25A2" w:rsidRPr="00AF25A2">
        <w:rPr>
          <w:rFonts w:ascii="Times New Roman" w:hAnsi="Times New Roman" w:cs="Times New Roman"/>
          <w:sz w:val="24"/>
          <w:szCs w:val="24"/>
        </w:rPr>
        <w:t xml:space="preserve"> et al., 2020).</w:t>
      </w:r>
    </w:p>
    <w:p w14:paraId="0464805F" w14:textId="1E9D7157" w:rsidR="005C4630" w:rsidRDefault="005C4630" w:rsidP="00BD7022">
      <w:pPr>
        <w:pStyle w:val="Prrafodelista"/>
        <w:jc w:val="both"/>
        <w:rPr>
          <w:rFonts w:ascii="Times New Roman" w:hAnsi="Times New Roman" w:cs="Times New Roman"/>
          <w:b/>
          <w:bCs/>
          <w:sz w:val="24"/>
          <w:szCs w:val="24"/>
        </w:rPr>
      </w:pPr>
    </w:p>
    <w:p w14:paraId="1911CC42" w14:textId="606782B9" w:rsidR="005C4630" w:rsidRDefault="005C4630" w:rsidP="00BD7022">
      <w:pPr>
        <w:pStyle w:val="Prrafodelista"/>
        <w:jc w:val="both"/>
        <w:rPr>
          <w:rFonts w:ascii="Times New Roman" w:hAnsi="Times New Roman" w:cs="Times New Roman"/>
          <w:b/>
          <w:bCs/>
          <w:sz w:val="24"/>
          <w:szCs w:val="24"/>
        </w:rPr>
      </w:pPr>
    </w:p>
    <w:p w14:paraId="7E0EE6E5" w14:textId="1CBCCA6B" w:rsidR="001B1BD1" w:rsidRDefault="001B1BD1" w:rsidP="00BD7022">
      <w:pPr>
        <w:pStyle w:val="Prrafodelista"/>
        <w:jc w:val="both"/>
        <w:rPr>
          <w:rFonts w:ascii="Times New Roman" w:hAnsi="Times New Roman" w:cs="Times New Roman"/>
          <w:b/>
          <w:bCs/>
          <w:sz w:val="24"/>
          <w:szCs w:val="24"/>
        </w:rPr>
      </w:pPr>
    </w:p>
    <w:p w14:paraId="11AE1BA7" w14:textId="77777777" w:rsidR="001B1BD1" w:rsidRPr="00BD7022" w:rsidRDefault="001B1BD1" w:rsidP="00BD7022">
      <w:pPr>
        <w:pStyle w:val="Prrafodelista"/>
        <w:jc w:val="both"/>
        <w:rPr>
          <w:rFonts w:ascii="Times New Roman" w:hAnsi="Times New Roman" w:cs="Times New Roman"/>
          <w:b/>
          <w:bCs/>
          <w:sz w:val="24"/>
          <w:szCs w:val="24"/>
        </w:rPr>
      </w:pPr>
    </w:p>
    <w:p w14:paraId="15EA0D64" w14:textId="7813CADC" w:rsidR="008A7330" w:rsidRDefault="00BD7022" w:rsidP="00BD7022">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Investigaciones que emplean el método de Kaplan-Meier (6)</w:t>
      </w:r>
    </w:p>
    <w:p w14:paraId="4985D903" w14:textId="5AD5B58D" w:rsidR="00BD7022" w:rsidRDefault="00BD7022" w:rsidP="00BD7022">
      <w:pPr>
        <w:pStyle w:val="Prrafodelista"/>
        <w:rPr>
          <w:rFonts w:ascii="Times New Roman" w:hAnsi="Times New Roman" w:cs="Times New Roman"/>
          <w:b/>
          <w:bCs/>
          <w:sz w:val="24"/>
          <w:szCs w:val="24"/>
        </w:rPr>
      </w:pPr>
    </w:p>
    <w:p w14:paraId="53A2B731" w14:textId="74436160" w:rsidR="005C4630" w:rsidRPr="00AF25A2" w:rsidRDefault="00B76967" w:rsidP="005C4630">
      <w:pPr>
        <w:pStyle w:val="Prrafodelista"/>
        <w:numPr>
          <w:ilvl w:val="0"/>
          <w:numId w:val="13"/>
        </w:numPr>
        <w:rPr>
          <w:rFonts w:ascii="Times New Roman" w:hAnsi="Times New Roman" w:cs="Times New Roman"/>
          <w:b/>
          <w:bCs/>
          <w:sz w:val="24"/>
          <w:szCs w:val="24"/>
        </w:rPr>
      </w:pPr>
      <w:r>
        <w:rPr>
          <w:rFonts w:ascii="Times New Roman" w:hAnsi="Times New Roman" w:cs="Times New Roman"/>
          <w:b/>
          <w:bCs/>
          <w:sz w:val="24"/>
          <w:szCs w:val="24"/>
        </w:rPr>
        <w:t xml:space="preserve">Estudio 1: </w:t>
      </w:r>
      <w:r w:rsidR="005C4630">
        <w:rPr>
          <w:rFonts w:ascii="Times New Roman" w:hAnsi="Times New Roman" w:cs="Times New Roman"/>
          <w:sz w:val="24"/>
          <w:szCs w:val="24"/>
        </w:rPr>
        <w:t xml:space="preserve">Emplea el método de Kaplan-Meier para calcular </w:t>
      </w:r>
      <w:proofErr w:type="spellStart"/>
      <w:r w:rsidR="005C4630">
        <w:rPr>
          <w:rFonts w:ascii="Times New Roman" w:hAnsi="Times New Roman" w:cs="Times New Roman"/>
          <w:sz w:val="24"/>
          <w:szCs w:val="24"/>
        </w:rPr>
        <w:t>the</w:t>
      </w:r>
      <w:proofErr w:type="spellEnd"/>
      <w:r w:rsidR="005C4630">
        <w:rPr>
          <w:rFonts w:ascii="Times New Roman" w:hAnsi="Times New Roman" w:cs="Times New Roman"/>
          <w:sz w:val="24"/>
          <w:szCs w:val="24"/>
        </w:rPr>
        <w:t xml:space="preserve"> </w:t>
      </w:r>
      <w:proofErr w:type="spellStart"/>
      <w:r w:rsidR="005C4630">
        <w:rPr>
          <w:rFonts w:ascii="Times New Roman" w:hAnsi="Times New Roman" w:cs="Times New Roman"/>
          <w:sz w:val="24"/>
          <w:szCs w:val="24"/>
        </w:rPr>
        <w:t>probability</w:t>
      </w:r>
      <w:proofErr w:type="spellEnd"/>
      <w:r w:rsidR="005C4630">
        <w:rPr>
          <w:rFonts w:ascii="Times New Roman" w:hAnsi="Times New Roman" w:cs="Times New Roman"/>
          <w:sz w:val="24"/>
          <w:szCs w:val="24"/>
        </w:rPr>
        <w:t xml:space="preserve"> </w:t>
      </w:r>
      <w:proofErr w:type="spellStart"/>
      <w:r w:rsidR="005C4630">
        <w:rPr>
          <w:rFonts w:ascii="Times New Roman" w:hAnsi="Times New Roman" w:cs="Times New Roman"/>
          <w:sz w:val="24"/>
          <w:szCs w:val="24"/>
        </w:rPr>
        <w:t>of</w:t>
      </w:r>
      <w:proofErr w:type="spellEnd"/>
      <w:r w:rsidR="005C4630">
        <w:rPr>
          <w:rFonts w:ascii="Times New Roman" w:hAnsi="Times New Roman" w:cs="Times New Roman"/>
          <w:sz w:val="24"/>
          <w:szCs w:val="24"/>
        </w:rPr>
        <w:t xml:space="preserve"> </w:t>
      </w:r>
      <w:proofErr w:type="spellStart"/>
      <w:r w:rsidR="005C4630">
        <w:rPr>
          <w:rFonts w:ascii="Times New Roman" w:hAnsi="Times New Roman" w:cs="Times New Roman"/>
          <w:sz w:val="24"/>
          <w:szCs w:val="24"/>
        </w:rPr>
        <w:t>staying</w:t>
      </w:r>
      <w:proofErr w:type="spellEnd"/>
      <w:r w:rsidR="005C4630">
        <w:rPr>
          <w:rFonts w:ascii="Times New Roman" w:hAnsi="Times New Roman" w:cs="Times New Roman"/>
          <w:sz w:val="24"/>
          <w:szCs w:val="24"/>
        </w:rPr>
        <w:t xml:space="preserve"> in ICU. </w:t>
      </w:r>
      <w:r>
        <w:rPr>
          <w:rFonts w:ascii="Times New Roman" w:hAnsi="Times New Roman" w:cs="Times New Roman"/>
          <w:sz w:val="24"/>
          <w:szCs w:val="24"/>
        </w:rPr>
        <w:t>Además, se consideran estados múltiples: la probabilidad de morir con respecto del tiempo desde que el paciente fue admitido en UCI. El mismo resultado se presenta para dos estados adicionales: uno, ser dado de alta; y dos, permanecer en UCI. (</w:t>
      </w:r>
      <w:proofErr w:type="spellStart"/>
      <w:r>
        <w:rPr>
          <w:rFonts w:ascii="Times New Roman" w:hAnsi="Times New Roman" w:cs="Times New Roman"/>
          <w:sz w:val="24"/>
          <w:szCs w:val="24"/>
        </w:rPr>
        <w:t>Rozman</w:t>
      </w:r>
      <w:proofErr w:type="spellEnd"/>
      <w:r>
        <w:rPr>
          <w:rFonts w:ascii="Times New Roman" w:hAnsi="Times New Roman" w:cs="Times New Roman"/>
          <w:sz w:val="24"/>
          <w:szCs w:val="24"/>
        </w:rPr>
        <w:t xml:space="preserve"> et al., 2022)</w:t>
      </w:r>
      <w:r w:rsidR="00AF25A2">
        <w:rPr>
          <w:rFonts w:ascii="Times New Roman" w:hAnsi="Times New Roman" w:cs="Times New Roman"/>
          <w:sz w:val="24"/>
          <w:szCs w:val="24"/>
        </w:rPr>
        <w:t>.</w:t>
      </w:r>
    </w:p>
    <w:p w14:paraId="57FB9F41" w14:textId="7AE51606" w:rsidR="00AF25A2" w:rsidRDefault="00AF25A2" w:rsidP="005C4630">
      <w:pPr>
        <w:pStyle w:val="Prrafodelista"/>
        <w:numPr>
          <w:ilvl w:val="0"/>
          <w:numId w:val="13"/>
        </w:numPr>
        <w:rPr>
          <w:rFonts w:ascii="Times New Roman" w:hAnsi="Times New Roman" w:cs="Times New Roman"/>
          <w:b/>
          <w:bCs/>
          <w:sz w:val="24"/>
          <w:szCs w:val="24"/>
        </w:rPr>
      </w:pPr>
      <w:r>
        <w:rPr>
          <w:rFonts w:ascii="Times New Roman" w:hAnsi="Times New Roman" w:cs="Times New Roman"/>
          <w:b/>
          <w:bCs/>
          <w:sz w:val="24"/>
          <w:szCs w:val="24"/>
        </w:rPr>
        <w:t xml:space="preserve">Estudio 2: </w:t>
      </w:r>
      <w:r>
        <w:rPr>
          <w:rFonts w:ascii="Times New Roman" w:hAnsi="Times New Roman" w:cs="Times New Roman"/>
          <w:sz w:val="24"/>
          <w:szCs w:val="24"/>
        </w:rPr>
        <w:t xml:space="preserve">la investigación de Islam et al. (2021) presenta una estimación de los Case </w:t>
      </w:r>
      <w:proofErr w:type="spellStart"/>
      <w:r>
        <w:rPr>
          <w:rFonts w:ascii="Times New Roman" w:hAnsi="Times New Roman" w:cs="Times New Roman"/>
          <w:sz w:val="24"/>
          <w:szCs w:val="24"/>
        </w:rPr>
        <w:t>Fatality</w:t>
      </w:r>
      <w:proofErr w:type="spellEnd"/>
      <w:r>
        <w:rPr>
          <w:rFonts w:ascii="Times New Roman" w:hAnsi="Times New Roman" w:cs="Times New Roman"/>
          <w:sz w:val="24"/>
          <w:szCs w:val="24"/>
        </w:rPr>
        <w:t xml:space="preserve"> Ratio y, además, una estimación de funciones de supervivencia, siguiendo el método de Kaplan-Meier, para el tiempo de permanencia en UCI. La estimación de las funciones de supervivencia es diferenciada según edad y comorbilidades. </w:t>
      </w:r>
      <w:proofErr w:type="gramStart"/>
      <w:r>
        <w:rPr>
          <w:rFonts w:ascii="Times New Roman" w:hAnsi="Times New Roman" w:cs="Times New Roman"/>
          <w:sz w:val="24"/>
          <w:szCs w:val="24"/>
        </w:rPr>
        <w:t>La diferencia son</w:t>
      </w:r>
      <w:proofErr w:type="gramEnd"/>
      <w:r>
        <w:rPr>
          <w:rFonts w:ascii="Times New Roman" w:hAnsi="Times New Roman" w:cs="Times New Roman"/>
          <w:sz w:val="24"/>
          <w:szCs w:val="24"/>
        </w:rPr>
        <w:t xml:space="preserve"> verificadas con base en la prueba de Mantel-Cox (</w:t>
      </w:r>
      <w:proofErr w:type="spellStart"/>
      <w:r>
        <w:rPr>
          <w:rFonts w:ascii="Times New Roman" w:hAnsi="Times New Roman" w:cs="Times New Roman"/>
          <w:sz w:val="24"/>
          <w:szCs w:val="24"/>
        </w:rPr>
        <w:t>logrank</w:t>
      </w:r>
      <w:proofErr w:type="spellEnd"/>
      <w:r>
        <w:rPr>
          <w:rFonts w:ascii="Times New Roman" w:hAnsi="Times New Roman" w:cs="Times New Roman"/>
          <w:sz w:val="24"/>
          <w:szCs w:val="24"/>
        </w:rPr>
        <w:t xml:space="preserve"> test).</w:t>
      </w:r>
    </w:p>
    <w:p w14:paraId="4581228B" w14:textId="77777777" w:rsidR="005C4630" w:rsidRPr="00BD7022" w:rsidRDefault="005C4630" w:rsidP="00BD7022">
      <w:pPr>
        <w:pStyle w:val="Prrafodelista"/>
        <w:rPr>
          <w:rFonts w:ascii="Times New Roman" w:hAnsi="Times New Roman" w:cs="Times New Roman"/>
          <w:b/>
          <w:bCs/>
          <w:sz w:val="24"/>
          <w:szCs w:val="24"/>
        </w:rPr>
      </w:pPr>
    </w:p>
    <w:p w14:paraId="184B5567" w14:textId="39D458E4" w:rsidR="0001167D" w:rsidRDefault="00BD7022" w:rsidP="0001167D">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Investigaciones que emplean modelos paramétricos (6)</w:t>
      </w:r>
    </w:p>
    <w:p w14:paraId="2262EF7B" w14:textId="77777777" w:rsidR="00AF25A2" w:rsidRPr="00AF25A2" w:rsidRDefault="00AF25A2" w:rsidP="00AF25A2">
      <w:pPr>
        <w:pStyle w:val="Prrafodelista"/>
        <w:jc w:val="both"/>
        <w:rPr>
          <w:rFonts w:ascii="Times New Roman" w:hAnsi="Times New Roman" w:cs="Times New Roman"/>
          <w:b/>
          <w:bCs/>
          <w:sz w:val="24"/>
          <w:szCs w:val="24"/>
        </w:rPr>
      </w:pPr>
    </w:p>
    <w:p w14:paraId="2C0768B8" w14:textId="5E0CD185" w:rsidR="0001167D" w:rsidRPr="0001167D" w:rsidRDefault="0001167D" w:rsidP="0001167D">
      <w:pPr>
        <w:pStyle w:val="Prrafodelista"/>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 xml:space="preserve">Estudio 1: </w:t>
      </w:r>
    </w:p>
    <w:p w14:paraId="00F88C4E" w14:textId="77777777" w:rsidR="0001167D" w:rsidRDefault="0001167D" w:rsidP="0001167D">
      <w:pPr>
        <w:pStyle w:val="Prrafodelista"/>
        <w:jc w:val="both"/>
        <w:rPr>
          <w:rFonts w:ascii="Times New Roman" w:hAnsi="Times New Roman" w:cs="Times New Roman"/>
          <w:b/>
          <w:bCs/>
          <w:sz w:val="24"/>
          <w:szCs w:val="24"/>
        </w:rPr>
      </w:pPr>
    </w:p>
    <w:p w14:paraId="07008856" w14:textId="53AB6AA4" w:rsidR="00B76967" w:rsidRDefault="00B76967" w:rsidP="00B76967">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Investigaciones que emplean modelos </w:t>
      </w:r>
      <w:proofErr w:type="spellStart"/>
      <w:r>
        <w:rPr>
          <w:rFonts w:ascii="Times New Roman" w:hAnsi="Times New Roman" w:cs="Times New Roman"/>
          <w:b/>
          <w:bCs/>
          <w:sz w:val="24"/>
          <w:szCs w:val="24"/>
        </w:rPr>
        <w:t>semi-paramétricos</w:t>
      </w:r>
      <w:proofErr w:type="spellEnd"/>
      <w:r>
        <w:rPr>
          <w:rFonts w:ascii="Times New Roman" w:hAnsi="Times New Roman" w:cs="Times New Roman"/>
          <w:b/>
          <w:bCs/>
          <w:sz w:val="24"/>
          <w:szCs w:val="24"/>
        </w:rPr>
        <w:t xml:space="preserve"> (modelos de Cox) (6)</w:t>
      </w:r>
    </w:p>
    <w:p w14:paraId="7226F7BB" w14:textId="77777777" w:rsidR="00B76967" w:rsidRPr="00B76967" w:rsidRDefault="00B76967" w:rsidP="00B76967">
      <w:pPr>
        <w:pStyle w:val="Prrafodelista"/>
        <w:jc w:val="both"/>
        <w:rPr>
          <w:rFonts w:ascii="Times New Roman" w:hAnsi="Times New Roman" w:cs="Times New Roman"/>
          <w:b/>
          <w:bCs/>
          <w:sz w:val="24"/>
          <w:szCs w:val="24"/>
        </w:rPr>
      </w:pPr>
    </w:p>
    <w:p w14:paraId="45F55827" w14:textId="2CCECA23" w:rsidR="00B76967" w:rsidRPr="0001167D" w:rsidRDefault="00B76967" w:rsidP="00B76967">
      <w:pPr>
        <w:pStyle w:val="Prrafodelista"/>
        <w:numPr>
          <w:ilvl w:val="0"/>
          <w:numId w:val="13"/>
        </w:numPr>
        <w:rPr>
          <w:rFonts w:ascii="Times New Roman" w:hAnsi="Times New Roman" w:cs="Times New Roman"/>
          <w:b/>
          <w:bCs/>
          <w:sz w:val="24"/>
          <w:szCs w:val="24"/>
          <w:lang w:val="en-US"/>
        </w:rPr>
      </w:pPr>
      <w:r>
        <w:rPr>
          <w:rFonts w:ascii="Times New Roman" w:hAnsi="Times New Roman" w:cs="Times New Roman"/>
          <w:b/>
          <w:bCs/>
          <w:sz w:val="24"/>
          <w:szCs w:val="24"/>
        </w:rPr>
        <w:t xml:space="preserve">Estudio </w:t>
      </w:r>
      <w:r w:rsidR="0001167D">
        <w:rPr>
          <w:rFonts w:ascii="Times New Roman" w:hAnsi="Times New Roman" w:cs="Times New Roman"/>
          <w:b/>
          <w:bCs/>
          <w:sz w:val="24"/>
          <w:szCs w:val="24"/>
        </w:rPr>
        <w:t>1</w:t>
      </w:r>
      <w:r>
        <w:rPr>
          <w:rFonts w:ascii="Times New Roman" w:hAnsi="Times New Roman" w:cs="Times New Roman"/>
          <w:b/>
          <w:bCs/>
          <w:sz w:val="24"/>
          <w:szCs w:val="24"/>
        </w:rPr>
        <w:t xml:space="preserve">: </w:t>
      </w:r>
      <w:r>
        <w:rPr>
          <w:rFonts w:ascii="Times New Roman" w:hAnsi="Times New Roman" w:cs="Times New Roman"/>
          <w:sz w:val="24"/>
          <w:szCs w:val="24"/>
        </w:rPr>
        <w:t xml:space="preserve">emplean un modelo de estados múltiples basado en el modelo de riesgos proporcionales de Cox con respecto de dos covariables, a saber, sexo y edad. </w:t>
      </w:r>
      <w:r w:rsidRPr="00B76967">
        <w:rPr>
          <w:rFonts w:ascii="Times New Roman" w:hAnsi="Times New Roman" w:cs="Times New Roman"/>
          <w:sz w:val="24"/>
          <w:szCs w:val="24"/>
          <w:lang w:val="en-US"/>
        </w:rPr>
        <w:t xml:space="preserve">El </w:t>
      </w:r>
      <w:proofErr w:type="spellStart"/>
      <w:r w:rsidRPr="00B76967">
        <w:rPr>
          <w:rFonts w:ascii="Times New Roman" w:hAnsi="Times New Roman" w:cs="Times New Roman"/>
          <w:sz w:val="24"/>
          <w:szCs w:val="24"/>
          <w:lang w:val="en-US"/>
        </w:rPr>
        <w:t>resultado</w:t>
      </w:r>
      <w:proofErr w:type="spellEnd"/>
      <w:r w:rsidRPr="00B76967">
        <w:rPr>
          <w:rFonts w:ascii="Times New Roman" w:hAnsi="Times New Roman" w:cs="Times New Roman"/>
          <w:sz w:val="24"/>
          <w:szCs w:val="24"/>
          <w:lang w:val="en-US"/>
        </w:rPr>
        <w:t xml:space="preserve"> es </w:t>
      </w:r>
      <w:proofErr w:type="spellStart"/>
      <w:r w:rsidRPr="00B76967">
        <w:rPr>
          <w:rFonts w:ascii="Times New Roman" w:hAnsi="Times New Roman" w:cs="Times New Roman"/>
          <w:sz w:val="24"/>
          <w:szCs w:val="24"/>
          <w:lang w:val="en-US"/>
        </w:rPr>
        <w:t>el</w:t>
      </w:r>
      <w:proofErr w:type="spellEnd"/>
      <w:r w:rsidRPr="00B76967">
        <w:rPr>
          <w:rFonts w:ascii="Times New Roman" w:hAnsi="Times New Roman" w:cs="Times New Roman"/>
          <w:sz w:val="24"/>
          <w:szCs w:val="24"/>
          <w:lang w:val="en-US"/>
        </w:rPr>
        <w:t xml:space="preserve"> </w:t>
      </w:r>
      <w:proofErr w:type="spellStart"/>
      <w:r w:rsidRPr="00B76967">
        <w:rPr>
          <w:rFonts w:ascii="Times New Roman" w:hAnsi="Times New Roman" w:cs="Times New Roman"/>
          <w:sz w:val="24"/>
          <w:szCs w:val="24"/>
          <w:lang w:val="en-US"/>
        </w:rPr>
        <w:t>siguiente</w:t>
      </w:r>
      <w:proofErr w:type="spellEnd"/>
      <w:r w:rsidRPr="00B76967">
        <w:rPr>
          <w:rFonts w:ascii="Times New Roman" w:hAnsi="Times New Roman" w:cs="Times New Roman"/>
          <w:sz w:val="24"/>
          <w:szCs w:val="24"/>
          <w:lang w:val="en-US"/>
        </w:rPr>
        <w:t>: the proportion of those discharged compared to th</w:t>
      </w:r>
      <w:r>
        <w:rPr>
          <w:rFonts w:ascii="Times New Roman" w:hAnsi="Times New Roman" w:cs="Times New Roman"/>
          <w:sz w:val="24"/>
          <w:szCs w:val="24"/>
          <w:lang w:val="en-US"/>
        </w:rPr>
        <w:t xml:space="preserve">ose dead depends strongly on age and sex. </w:t>
      </w:r>
    </w:p>
    <w:p w14:paraId="142D6CFF" w14:textId="5437EE0C" w:rsidR="0001167D" w:rsidRDefault="0001167D" w:rsidP="0001167D">
      <w:pPr>
        <w:rPr>
          <w:rFonts w:ascii="Times New Roman" w:hAnsi="Times New Roman" w:cs="Times New Roman"/>
          <w:b/>
          <w:bCs/>
          <w:sz w:val="24"/>
          <w:szCs w:val="24"/>
          <w:lang w:val="en-US"/>
        </w:rPr>
      </w:pPr>
    </w:p>
    <w:p w14:paraId="00B41A2E" w14:textId="58556E48" w:rsidR="0001167D" w:rsidRDefault="0001167D" w:rsidP="0001167D">
      <w:pPr>
        <w:pStyle w:val="Prrafodelista"/>
        <w:numPr>
          <w:ilvl w:val="0"/>
          <w:numId w:val="7"/>
        </w:numPr>
        <w:rPr>
          <w:rFonts w:ascii="Times New Roman" w:hAnsi="Times New Roman" w:cs="Times New Roman"/>
          <w:b/>
          <w:bCs/>
          <w:sz w:val="24"/>
          <w:szCs w:val="24"/>
        </w:rPr>
      </w:pPr>
      <w:r w:rsidRPr="0001167D">
        <w:rPr>
          <w:rFonts w:ascii="Times New Roman" w:hAnsi="Times New Roman" w:cs="Times New Roman"/>
          <w:b/>
          <w:bCs/>
          <w:sz w:val="24"/>
          <w:szCs w:val="24"/>
        </w:rPr>
        <w:t>Investigaciones para el caso l</w:t>
      </w:r>
      <w:r>
        <w:rPr>
          <w:rFonts w:ascii="Times New Roman" w:hAnsi="Times New Roman" w:cs="Times New Roman"/>
          <w:b/>
          <w:bCs/>
          <w:sz w:val="24"/>
          <w:szCs w:val="24"/>
        </w:rPr>
        <w:t>ocal:</w:t>
      </w:r>
    </w:p>
    <w:p w14:paraId="6074B6EA" w14:textId="77777777" w:rsidR="0001167D" w:rsidRDefault="0001167D" w:rsidP="0001167D">
      <w:pPr>
        <w:pStyle w:val="Prrafodelista"/>
        <w:rPr>
          <w:rFonts w:ascii="Times New Roman" w:hAnsi="Times New Roman" w:cs="Times New Roman"/>
          <w:b/>
          <w:bCs/>
          <w:sz w:val="24"/>
          <w:szCs w:val="24"/>
        </w:rPr>
      </w:pPr>
    </w:p>
    <w:p w14:paraId="0B2C174D" w14:textId="45A85D06" w:rsidR="0001167D" w:rsidRPr="0001167D" w:rsidRDefault="0001167D" w:rsidP="0001167D">
      <w:pPr>
        <w:pStyle w:val="Prrafodelista"/>
        <w:numPr>
          <w:ilvl w:val="0"/>
          <w:numId w:val="7"/>
        </w:numPr>
        <w:rPr>
          <w:rFonts w:ascii="Times New Roman" w:hAnsi="Times New Roman" w:cs="Times New Roman"/>
          <w:b/>
          <w:bCs/>
          <w:sz w:val="24"/>
          <w:szCs w:val="24"/>
        </w:rPr>
      </w:pPr>
      <w:r>
        <w:rPr>
          <w:rFonts w:ascii="Times New Roman" w:hAnsi="Times New Roman" w:cs="Times New Roman"/>
          <w:b/>
          <w:bCs/>
          <w:sz w:val="24"/>
          <w:szCs w:val="24"/>
        </w:rPr>
        <w:t>Vacío en la literatura:</w:t>
      </w:r>
    </w:p>
    <w:p w14:paraId="6C8ADB2B" w14:textId="77777777" w:rsidR="00B76967" w:rsidRPr="0001167D" w:rsidRDefault="00B76967" w:rsidP="00B76967">
      <w:pPr>
        <w:ind w:left="360"/>
        <w:rPr>
          <w:rFonts w:ascii="Times New Roman" w:hAnsi="Times New Roman" w:cs="Times New Roman"/>
          <w:b/>
          <w:bCs/>
          <w:sz w:val="24"/>
          <w:szCs w:val="24"/>
        </w:rPr>
      </w:pPr>
    </w:p>
    <w:p w14:paraId="5C68AFE8" w14:textId="0EE9F1B5" w:rsidR="003F10D6" w:rsidRPr="008A7330" w:rsidRDefault="003F10D6" w:rsidP="00A50C42">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Propuesta del artículo</w:t>
      </w:r>
      <w:r w:rsidR="00FF1C23">
        <w:rPr>
          <w:rFonts w:ascii="Times New Roman" w:hAnsi="Times New Roman" w:cs="Times New Roman"/>
          <w:b/>
          <w:bCs/>
          <w:sz w:val="24"/>
          <w:szCs w:val="24"/>
        </w:rPr>
        <w:t xml:space="preserve"> [VI</w:t>
      </w:r>
      <w:r w:rsidR="008A7330">
        <w:rPr>
          <w:rFonts w:ascii="Times New Roman" w:hAnsi="Times New Roman" w:cs="Times New Roman"/>
          <w:b/>
          <w:bCs/>
          <w:sz w:val="24"/>
          <w:szCs w:val="24"/>
        </w:rPr>
        <w:t>I</w:t>
      </w:r>
      <w:r w:rsidR="00FF1C23" w:rsidRPr="008A7330">
        <w:rPr>
          <w:rFonts w:ascii="Times New Roman" w:hAnsi="Times New Roman" w:cs="Times New Roman"/>
          <w:b/>
          <w:bCs/>
          <w:sz w:val="24"/>
          <w:szCs w:val="24"/>
        </w:rPr>
        <w:t>]</w:t>
      </w:r>
      <w:r w:rsidRPr="008A7330">
        <w:rPr>
          <w:rFonts w:ascii="Times New Roman" w:hAnsi="Times New Roman" w:cs="Times New Roman"/>
          <w:b/>
          <w:bCs/>
          <w:sz w:val="24"/>
          <w:szCs w:val="24"/>
        </w:rPr>
        <w:t>:</w:t>
      </w:r>
    </w:p>
    <w:p w14:paraId="1C137944" w14:textId="2A59AC4E" w:rsidR="003F10D6" w:rsidRPr="003F10D6" w:rsidRDefault="003F10D6" w:rsidP="00092F81">
      <w:pPr>
        <w:ind w:firstLine="284"/>
        <w:jc w:val="both"/>
        <w:rPr>
          <w:rFonts w:ascii="Times New Roman" w:hAnsi="Times New Roman" w:cs="Times New Roman"/>
          <w:sz w:val="24"/>
          <w:szCs w:val="24"/>
        </w:rPr>
      </w:pPr>
      <w:r w:rsidRPr="003F10D6">
        <w:rPr>
          <w:rFonts w:ascii="Times New Roman" w:hAnsi="Times New Roman" w:cs="Times New Roman"/>
          <w:sz w:val="24"/>
          <w:szCs w:val="24"/>
        </w:rPr>
        <w:t xml:space="preserve">El objetivo del artículo es presentar un análisis de supervivencia para pacientes en Unidades de Cuidados Intensivos (UCI) por COVID-19 según tres metodologías distintas: </w:t>
      </w:r>
      <w:r w:rsidRPr="00092F81">
        <w:rPr>
          <w:rFonts w:ascii="Times New Roman" w:hAnsi="Times New Roman" w:cs="Times New Roman"/>
          <w:b/>
          <w:bCs/>
          <w:sz w:val="24"/>
          <w:szCs w:val="24"/>
        </w:rPr>
        <w:t>(1)</w:t>
      </w:r>
      <w:r w:rsidRPr="003F10D6">
        <w:rPr>
          <w:rFonts w:ascii="Times New Roman" w:hAnsi="Times New Roman" w:cs="Times New Roman"/>
          <w:sz w:val="24"/>
          <w:szCs w:val="24"/>
        </w:rPr>
        <w:t xml:space="preserve"> una estimación no-paramétrica según la metodología de Kaplan-Meier; </w:t>
      </w:r>
      <w:r w:rsidRPr="00092F81">
        <w:rPr>
          <w:rFonts w:ascii="Times New Roman" w:hAnsi="Times New Roman" w:cs="Times New Roman"/>
          <w:b/>
          <w:bCs/>
          <w:sz w:val="24"/>
          <w:szCs w:val="24"/>
        </w:rPr>
        <w:t xml:space="preserve">(2) </w:t>
      </w:r>
      <w:r w:rsidRPr="003F10D6">
        <w:rPr>
          <w:rFonts w:ascii="Times New Roman" w:hAnsi="Times New Roman" w:cs="Times New Roman"/>
          <w:sz w:val="24"/>
          <w:szCs w:val="24"/>
        </w:rPr>
        <w:t xml:space="preserve">un modelo paramétrico; y </w:t>
      </w:r>
      <w:r w:rsidRPr="00092F81">
        <w:rPr>
          <w:rFonts w:ascii="Times New Roman" w:hAnsi="Times New Roman" w:cs="Times New Roman"/>
          <w:b/>
          <w:bCs/>
          <w:sz w:val="24"/>
          <w:szCs w:val="24"/>
        </w:rPr>
        <w:t>(3)</w:t>
      </w:r>
      <w:r w:rsidRPr="003F10D6">
        <w:rPr>
          <w:rFonts w:ascii="Times New Roman" w:hAnsi="Times New Roman" w:cs="Times New Roman"/>
          <w:sz w:val="24"/>
          <w:szCs w:val="24"/>
        </w:rPr>
        <w:t xml:space="preserve"> un modelo semiparamétrico, a saber, un modelo de riesgos proporcionales de Cox.</w:t>
      </w:r>
    </w:p>
    <w:p w14:paraId="657BCCE3" w14:textId="77777777" w:rsidR="003F10D6" w:rsidRPr="003F10D6" w:rsidRDefault="003F10D6" w:rsidP="003F10D6">
      <w:pPr>
        <w:pStyle w:val="Prrafodelista"/>
        <w:rPr>
          <w:rFonts w:ascii="Times New Roman" w:hAnsi="Times New Roman" w:cs="Times New Roman"/>
          <w:b/>
          <w:bCs/>
          <w:sz w:val="24"/>
          <w:szCs w:val="24"/>
        </w:rPr>
      </w:pPr>
    </w:p>
    <w:p w14:paraId="6D64E031" w14:textId="0C915242" w:rsidR="003F10D6" w:rsidRDefault="003F10D6" w:rsidP="00A50C42">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El </w:t>
      </w:r>
      <w:r w:rsidR="00092F81">
        <w:rPr>
          <w:rFonts w:ascii="Times New Roman" w:hAnsi="Times New Roman" w:cs="Times New Roman"/>
          <w:b/>
          <w:bCs/>
          <w:sz w:val="24"/>
          <w:szCs w:val="24"/>
        </w:rPr>
        <w:t>artículo</w:t>
      </w:r>
      <w:r>
        <w:rPr>
          <w:rFonts w:ascii="Times New Roman" w:hAnsi="Times New Roman" w:cs="Times New Roman"/>
          <w:b/>
          <w:bCs/>
          <w:sz w:val="24"/>
          <w:szCs w:val="24"/>
        </w:rPr>
        <w:t xml:space="preserve"> está organizado como sigue:</w:t>
      </w:r>
    </w:p>
    <w:p w14:paraId="3E0D62BA" w14:textId="01A97402" w:rsidR="00092F81" w:rsidRPr="00092F81" w:rsidRDefault="00092F81" w:rsidP="00092F81">
      <w:pPr>
        <w:ind w:firstLine="284"/>
        <w:jc w:val="both"/>
        <w:rPr>
          <w:rFonts w:ascii="Times New Roman" w:hAnsi="Times New Roman" w:cs="Times New Roman"/>
          <w:sz w:val="24"/>
          <w:szCs w:val="24"/>
        </w:rPr>
      </w:pPr>
      <w:r>
        <w:rPr>
          <w:rFonts w:ascii="Times New Roman" w:hAnsi="Times New Roman" w:cs="Times New Roman"/>
          <w:sz w:val="24"/>
          <w:szCs w:val="24"/>
        </w:rPr>
        <w:t xml:space="preserve">El artículo está organizado como sigue: la Sección 2 presenta las fuentes de información empleadas en el análisis de supervivencia; la Sección 3, una descripción </w:t>
      </w:r>
      <w:r>
        <w:rPr>
          <w:rFonts w:ascii="Times New Roman" w:hAnsi="Times New Roman" w:cs="Times New Roman"/>
          <w:sz w:val="24"/>
          <w:szCs w:val="24"/>
        </w:rPr>
        <w:lastRenderedPageBreak/>
        <w:t>general de la implementación de las tres metodologías otrora señaladas; la Sección 4 está dedicada a los resultados diferenciados según cada metodología; y la Sección 5 corresponde a la discusión de los resultados.</w:t>
      </w:r>
    </w:p>
    <w:p w14:paraId="2575B11B" w14:textId="77777777" w:rsidR="003F10D6" w:rsidRPr="003F10D6" w:rsidRDefault="003F10D6" w:rsidP="003F10D6">
      <w:pPr>
        <w:jc w:val="both"/>
        <w:rPr>
          <w:rFonts w:ascii="Times New Roman" w:hAnsi="Times New Roman" w:cs="Times New Roman"/>
          <w:b/>
          <w:bCs/>
          <w:sz w:val="24"/>
          <w:szCs w:val="24"/>
        </w:rPr>
      </w:pPr>
    </w:p>
    <w:p w14:paraId="0E5CCDB1" w14:textId="492071DF" w:rsidR="003B3A3C" w:rsidRDefault="003F10D6" w:rsidP="003B3A3C">
      <w:pPr>
        <w:pStyle w:val="Prrafodelista"/>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Materiales </w:t>
      </w:r>
      <w:r w:rsidR="003B3A3C">
        <w:rPr>
          <w:rFonts w:ascii="Times New Roman" w:hAnsi="Times New Roman" w:cs="Times New Roman"/>
          <w:b/>
          <w:bCs/>
          <w:sz w:val="24"/>
          <w:szCs w:val="24"/>
        </w:rPr>
        <w:t>(1 párrafo)</w:t>
      </w:r>
    </w:p>
    <w:p w14:paraId="79A34257" w14:textId="77777777" w:rsidR="003B3A3C" w:rsidRPr="003B3A3C" w:rsidRDefault="003B3A3C" w:rsidP="003B3A3C">
      <w:pPr>
        <w:pStyle w:val="Prrafodelista"/>
        <w:jc w:val="both"/>
        <w:rPr>
          <w:rFonts w:ascii="Times New Roman" w:hAnsi="Times New Roman" w:cs="Times New Roman"/>
          <w:b/>
          <w:bCs/>
          <w:sz w:val="24"/>
          <w:szCs w:val="24"/>
        </w:rPr>
      </w:pPr>
    </w:p>
    <w:p w14:paraId="1F06D16A" w14:textId="7CBD52AC" w:rsidR="003B3A3C" w:rsidRDefault="003B3A3C" w:rsidP="003B3A3C">
      <w:pPr>
        <w:pStyle w:val="Prrafodelista"/>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Definir la fuente de información (INS) y la muestra considerada. Si es posible, y si existe una diferenciación según olas de la pandemia, se debería especificar en este punto. </w:t>
      </w:r>
    </w:p>
    <w:p w14:paraId="06198873" w14:textId="77777777" w:rsidR="003B3A3C" w:rsidRPr="003B3A3C" w:rsidRDefault="003B3A3C" w:rsidP="003B3A3C">
      <w:pPr>
        <w:pStyle w:val="Prrafodelista"/>
        <w:jc w:val="both"/>
        <w:rPr>
          <w:rFonts w:ascii="Times New Roman" w:hAnsi="Times New Roman" w:cs="Times New Roman"/>
          <w:sz w:val="24"/>
          <w:szCs w:val="24"/>
        </w:rPr>
      </w:pPr>
    </w:p>
    <w:p w14:paraId="47BAA519" w14:textId="4B4DF4A5" w:rsidR="003B3A3C" w:rsidRPr="003B3A3C" w:rsidRDefault="003B3A3C" w:rsidP="003B3A3C">
      <w:pPr>
        <w:pStyle w:val="Prrafodelista"/>
        <w:numPr>
          <w:ilvl w:val="0"/>
          <w:numId w:val="9"/>
        </w:numPr>
        <w:jc w:val="both"/>
        <w:rPr>
          <w:rFonts w:ascii="Times New Roman" w:hAnsi="Times New Roman" w:cs="Times New Roman"/>
          <w:b/>
          <w:bCs/>
          <w:sz w:val="24"/>
          <w:szCs w:val="24"/>
        </w:rPr>
      </w:pPr>
      <w:r>
        <w:rPr>
          <w:rFonts w:ascii="Times New Roman" w:hAnsi="Times New Roman" w:cs="Times New Roman"/>
          <w:sz w:val="24"/>
          <w:szCs w:val="24"/>
        </w:rPr>
        <w:t xml:space="preserve">Describir cómo funciona la muestra del INS: ¿cómo son seleccionados los individuos? ¿Se reduce a casos positivos o casos sospechosos? ¿Qué pruebas consideran?, etc. </w:t>
      </w:r>
    </w:p>
    <w:p w14:paraId="27F3DBAA" w14:textId="77777777" w:rsidR="003F10D6" w:rsidRPr="003F10D6" w:rsidRDefault="003F10D6" w:rsidP="003F10D6">
      <w:pPr>
        <w:jc w:val="both"/>
        <w:rPr>
          <w:rFonts w:ascii="Times New Roman" w:hAnsi="Times New Roman" w:cs="Times New Roman"/>
          <w:sz w:val="24"/>
          <w:szCs w:val="24"/>
        </w:rPr>
      </w:pPr>
    </w:p>
    <w:p w14:paraId="09FBB2AB" w14:textId="7A4FE7B1" w:rsidR="003F10D6" w:rsidRDefault="003F10D6" w:rsidP="003F10D6">
      <w:pPr>
        <w:pStyle w:val="Prrafodelista"/>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Métodos</w:t>
      </w:r>
    </w:p>
    <w:p w14:paraId="1D920484" w14:textId="3BF83D92" w:rsidR="003F10D6" w:rsidRDefault="003F10D6" w:rsidP="003F10D6">
      <w:pPr>
        <w:pStyle w:val="Prrafodelista"/>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Resultados</w:t>
      </w:r>
    </w:p>
    <w:p w14:paraId="657F4211" w14:textId="72390F64" w:rsidR="003F10D6" w:rsidRPr="003F10D6" w:rsidRDefault="003F10D6" w:rsidP="003F10D6">
      <w:pPr>
        <w:pStyle w:val="Prrafodelista"/>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Discusión </w:t>
      </w:r>
    </w:p>
    <w:p w14:paraId="23EE40BD" w14:textId="77777777" w:rsidR="00EE76BB" w:rsidRPr="00EE76BB" w:rsidRDefault="00EE76BB" w:rsidP="00EE76BB">
      <w:pPr>
        <w:ind w:left="360"/>
        <w:rPr>
          <w:rFonts w:ascii="Times New Roman" w:hAnsi="Times New Roman" w:cs="Times New Roman"/>
          <w:b/>
          <w:bCs/>
          <w:sz w:val="24"/>
          <w:szCs w:val="24"/>
        </w:rPr>
      </w:pPr>
    </w:p>
    <w:p w14:paraId="7F99ECEF" w14:textId="77777777" w:rsidR="00EE76BB" w:rsidRDefault="00EE76BB" w:rsidP="00EE76BB">
      <w:pPr>
        <w:jc w:val="both"/>
        <w:rPr>
          <w:rFonts w:ascii="Times New Roman" w:hAnsi="Times New Roman" w:cs="Times New Roman"/>
          <w:sz w:val="24"/>
          <w:szCs w:val="24"/>
        </w:rPr>
      </w:pPr>
    </w:p>
    <w:p w14:paraId="211A0066" w14:textId="77777777" w:rsidR="00EE76BB" w:rsidRDefault="00EE76BB" w:rsidP="00EE76BB">
      <w:pPr>
        <w:jc w:val="both"/>
        <w:rPr>
          <w:rFonts w:ascii="Times New Roman" w:hAnsi="Times New Roman" w:cs="Times New Roman"/>
          <w:sz w:val="24"/>
          <w:szCs w:val="24"/>
        </w:rPr>
      </w:pPr>
    </w:p>
    <w:p w14:paraId="4EA73657" w14:textId="77777777" w:rsidR="00EE76BB" w:rsidRDefault="00EE76BB" w:rsidP="00EE76BB">
      <w:pPr>
        <w:jc w:val="both"/>
        <w:rPr>
          <w:rFonts w:ascii="Times New Roman" w:hAnsi="Times New Roman" w:cs="Times New Roman"/>
          <w:sz w:val="24"/>
          <w:szCs w:val="24"/>
        </w:rPr>
      </w:pPr>
    </w:p>
    <w:p w14:paraId="4A3EFA00" w14:textId="77777777" w:rsidR="00EE76BB" w:rsidRDefault="00EE76BB" w:rsidP="00EE76BB">
      <w:pPr>
        <w:jc w:val="both"/>
        <w:rPr>
          <w:rFonts w:ascii="Times New Roman" w:hAnsi="Times New Roman" w:cs="Times New Roman"/>
          <w:sz w:val="24"/>
          <w:szCs w:val="24"/>
        </w:rPr>
      </w:pPr>
    </w:p>
    <w:p w14:paraId="24D342A5" w14:textId="77777777" w:rsidR="00EE76BB" w:rsidRDefault="00EE76BB" w:rsidP="00EE76BB">
      <w:pPr>
        <w:jc w:val="both"/>
        <w:rPr>
          <w:rFonts w:ascii="Times New Roman" w:hAnsi="Times New Roman" w:cs="Times New Roman"/>
          <w:sz w:val="24"/>
          <w:szCs w:val="24"/>
        </w:rPr>
      </w:pPr>
    </w:p>
    <w:p w14:paraId="2839A5FD" w14:textId="77777777" w:rsidR="00EE76BB" w:rsidRDefault="00EE76BB" w:rsidP="00EE76BB">
      <w:pPr>
        <w:jc w:val="both"/>
        <w:rPr>
          <w:rFonts w:ascii="Times New Roman" w:hAnsi="Times New Roman" w:cs="Times New Roman"/>
          <w:sz w:val="24"/>
          <w:szCs w:val="24"/>
        </w:rPr>
      </w:pPr>
    </w:p>
    <w:p w14:paraId="43584A2A" w14:textId="77777777" w:rsidR="00EE76BB" w:rsidRDefault="00EE76BB" w:rsidP="00EE76BB">
      <w:pPr>
        <w:jc w:val="both"/>
        <w:rPr>
          <w:rFonts w:ascii="Times New Roman" w:hAnsi="Times New Roman" w:cs="Times New Roman"/>
          <w:sz w:val="24"/>
          <w:szCs w:val="24"/>
        </w:rPr>
      </w:pPr>
    </w:p>
    <w:p w14:paraId="0ED00C3D" w14:textId="77777777" w:rsidR="00EE76BB" w:rsidRDefault="00EE76BB" w:rsidP="00EE76BB">
      <w:pPr>
        <w:jc w:val="both"/>
        <w:rPr>
          <w:rFonts w:ascii="Times New Roman" w:hAnsi="Times New Roman" w:cs="Times New Roman"/>
          <w:sz w:val="24"/>
          <w:szCs w:val="24"/>
        </w:rPr>
      </w:pPr>
    </w:p>
    <w:p w14:paraId="685A692E" w14:textId="1232706B" w:rsidR="00EE76BB" w:rsidRPr="00EE76BB" w:rsidRDefault="00EE76BB" w:rsidP="00EE76BB">
      <w:pPr>
        <w:jc w:val="both"/>
        <w:rPr>
          <w:rFonts w:ascii="Times New Roman" w:hAnsi="Times New Roman" w:cs="Times New Roman"/>
          <w:b/>
          <w:bCs/>
          <w:sz w:val="24"/>
          <w:szCs w:val="24"/>
        </w:rPr>
      </w:pPr>
    </w:p>
    <w:p w14:paraId="78C1B596" w14:textId="6F8206B0" w:rsidR="00E11AD8" w:rsidRPr="00EE76BB" w:rsidRDefault="00E11AD8" w:rsidP="00EE76BB">
      <w:pPr>
        <w:ind w:firstLine="284"/>
        <w:jc w:val="both"/>
        <w:rPr>
          <w:rFonts w:ascii="Times New Roman" w:hAnsi="Times New Roman" w:cs="Times New Roman"/>
          <w:b/>
          <w:bCs/>
          <w:sz w:val="24"/>
          <w:szCs w:val="24"/>
        </w:rPr>
      </w:pPr>
    </w:p>
    <w:sectPr w:rsidR="00E11AD8" w:rsidRPr="00EE76B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8AE1B" w14:textId="77777777" w:rsidR="0057341E" w:rsidRDefault="0057341E" w:rsidP="003B7B91">
      <w:pPr>
        <w:spacing w:after="0" w:line="240" w:lineRule="auto"/>
      </w:pPr>
      <w:r>
        <w:separator/>
      </w:r>
    </w:p>
  </w:endnote>
  <w:endnote w:type="continuationSeparator" w:id="0">
    <w:p w14:paraId="33E2017F" w14:textId="77777777" w:rsidR="0057341E" w:rsidRDefault="0057341E" w:rsidP="003B7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9D71C" w14:textId="77777777" w:rsidR="0057341E" w:rsidRDefault="0057341E" w:rsidP="003B7B91">
      <w:pPr>
        <w:spacing w:after="0" w:line="240" w:lineRule="auto"/>
      </w:pPr>
      <w:r>
        <w:separator/>
      </w:r>
    </w:p>
  </w:footnote>
  <w:footnote w:type="continuationSeparator" w:id="0">
    <w:p w14:paraId="135C89A1" w14:textId="77777777" w:rsidR="0057341E" w:rsidRDefault="0057341E" w:rsidP="003B7B91">
      <w:pPr>
        <w:spacing w:after="0" w:line="240" w:lineRule="auto"/>
      </w:pPr>
      <w:r>
        <w:continuationSeparator/>
      </w:r>
    </w:p>
  </w:footnote>
  <w:footnote w:id="1">
    <w:p w14:paraId="539BFE7C" w14:textId="77F2DF2A" w:rsidR="004050D7" w:rsidRPr="000E5429" w:rsidRDefault="004050D7" w:rsidP="004050D7">
      <w:pPr>
        <w:pStyle w:val="Textonotapie"/>
        <w:rPr>
          <w:lang w:val="fr-FR"/>
        </w:rPr>
      </w:pPr>
      <w:r>
        <w:rPr>
          <w:rStyle w:val="Refdenotaalpie"/>
        </w:rPr>
        <w:footnoteRef/>
      </w:r>
      <w:r w:rsidRPr="003B7B91">
        <w:rPr>
          <w:lang w:val="fr-FR"/>
        </w:rPr>
        <w:t xml:space="preserve"> [1] </w:t>
      </w:r>
      <w:r w:rsidRPr="003B7B91">
        <w:rPr>
          <w:rFonts w:ascii="Times New Roman" w:hAnsi="Times New Roman" w:cs="Times New Roman"/>
          <w:sz w:val="24"/>
          <w:szCs w:val="24"/>
          <w:lang w:val="fr-FR"/>
        </w:rPr>
        <w:t>(Al-</w:t>
      </w:r>
      <w:proofErr w:type="spellStart"/>
      <w:r w:rsidRPr="003B7B91">
        <w:rPr>
          <w:rFonts w:ascii="Times New Roman" w:hAnsi="Times New Roman" w:cs="Times New Roman"/>
          <w:sz w:val="24"/>
          <w:szCs w:val="24"/>
          <w:lang w:val="fr-FR"/>
        </w:rPr>
        <w:t>Tawfit</w:t>
      </w:r>
      <w:proofErr w:type="spellEnd"/>
      <w:r w:rsidRPr="003B7B91">
        <w:rPr>
          <w:rFonts w:ascii="Times New Roman" w:hAnsi="Times New Roman" w:cs="Times New Roman"/>
          <w:sz w:val="24"/>
          <w:szCs w:val="24"/>
          <w:lang w:val="fr-FR"/>
        </w:rPr>
        <w:t xml:space="preserve">, </w:t>
      </w:r>
      <w:proofErr w:type="gramStart"/>
      <w:r w:rsidRPr="003B7B91">
        <w:rPr>
          <w:rFonts w:ascii="Times New Roman" w:hAnsi="Times New Roman" w:cs="Times New Roman"/>
          <w:sz w:val="24"/>
          <w:szCs w:val="24"/>
          <w:lang w:val="fr-FR"/>
        </w:rPr>
        <w:t>2020;</w:t>
      </w:r>
      <w:proofErr w:type="gramEnd"/>
      <w:r w:rsidRPr="003B7B91">
        <w:rPr>
          <w:rFonts w:ascii="Times New Roman" w:hAnsi="Times New Roman" w:cs="Times New Roman"/>
          <w:sz w:val="24"/>
          <w:szCs w:val="24"/>
          <w:lang w:val="fr-FR"/>
        </w:rPr>
        <w:t xml:space="preserve"> Prasad et al., 2021); [2] ) (</w:t>
      </w:r>
      <w:proofErr w:type="spellStart"/>
      <w:r w:rsidRPr="003B7B91">
        <w:rPr>
          <w:rFonts w:ascii="Times New Roman" w:hAnsi="Times New Roman" w:cs="Times New Roman"/>
          <w:sz w:val="24"/>
          <w:szCs w:val="24"/>
          <w:lang w:val="fr-FR"/>
        </w:rPr>
        <w:t>Siow</w:t>
      </w:r>
      <w:proofErr w:type="spellEnd"/>
      <w:r w:rsidRPr="003B7B91">
        <w:rPr>
          <w:rFonts w:ascii="Times New Roman" w:hAnsi="Times New Roman" w:cs="Times New Roman"/>
          <w:sz w:val="24"/>
          <w:szCs w:val="24"/>
          <w:lang w:val="fr-FR"/>
        </w:rPr>
        <w:t xml:space="preserve"> et al., 2020, </w:t>
      </w:r>
      <w:proofErr w:type="spellStart"/>
      <w:r w:rsidRPr="003B7B91">
        <w:rPr>
          <w:rFonts w:ascii="Times New Roman" w:hAnsi="Times New Roman" w:cs="Times New Roman"/>
          <w:sz w:val="24"/>
          <w:szCs w:val="24"/>
          <w:lang w:val="fr-FR"/>
        </w:rPr>
        <w:t>Vergano</w:t>
      </w:r>
      <w:proofErr w:type="spellEnd"/>
      <w:r w:rsidRPr="003B7B91">
        <w:rPr>
          <w:rFonts w:ascii="Times New Roman" w:hAnsi="Times New Roman" w:cs="Times New Roman"/>
          <w:sz w:val="24"/>
          <w:szCs w:val="24"/>
          <w:lang w:val="fr-FR"/>
        </w:rPr>
        <w:t xml:space="preserve"> et al., 2020</w:t>
      </w:r>
      <w:r w:rsidR="009215D7">
        <w:rPr>
          <w:rFonts w:ascii="Times New Roman" w:hAnsi="Times New Roman" w:cs="Times New Roman"/>
          <w:sz w:val="24"/>
          <w:szCs w:val="24"/>
          <w:lang w:val="fr-FR"/>
        </w:rPr>
        <w:t xml:space="preserve">, </w:t>
      </w:r>
      <w:proofErr w:type="spellStart"/>
      <w:r w:rsidR="009215D7">
        <w:rPr>
          <w:rFonts w:ascii="Times New Roman" w:hAnsi="Times New Roman" w:cs="Times New Roman"/>
          <w:sz w:val="24"/>
          <w:szCs w:val="24"/>
          <w:lang w:val="fr-FR"/>
        </w:rPr>
        <w:t>Bagshaw</w:t>
      </w:r>
      <w:proofErr w:type="spellEnd"/>
      <w:r w:rsidR="009215D7">
        <w:rPr>
          <w:rFonts w:ascii="Times New Roman" w:hAnsi="Times New Roman" w:cs="Times New Roman"/>
          <w:sz w:val="24"/>
          <w:szCs w:val="24"/>
          <w:lang w:val="fr-FR"/>
        </w:rPr>
        <w:t xml:space="preserve"> et al., 2020</w:t>
      </w:r>
      <w:r w:rsidRPr="003B7B91">
        <w:rPr>
          <w:rFonts w:ascii="Times New Roman" w:hAnsi="Times New Roman" w:cs="Times New Roman"/>
          <w:sz w:val="24"/>
          <w:szCs w:val="24"/>
          <w:lang w:val="fr-FR"/>
        </w:rPr>
        <w:t>); [3] (</w:t>
      </w:r>
      <w:proofErr w:type="spellStart"/>
      <w:r w:rsidRPr="003B7B91">
        <w:rPr>
          <w:rFonts w:ascii="Times New Roman" w:hAnsi="Times New Roman" w:cs="Times New Roman"/>
          <w:sz w:val="24"/>
          <w:szCs w:val="24"/>
          <w:lang w:val="fr-FR"/>
        </w:rPr>
        <w:t>Veralst</w:t>
      </w:r>
      <w:proofErr w:type="spellEnd"/>
      <w:r w:rsidRPr="003B7B91">
        <w:rPr>
          <w:rFonts w:ascii="Times New Roman" w:hAnsi="Times New Roman" w:cs="Times New Roman"/>
          <w:sz w:val="24"/>
          <w:szCs w:val="24"/>
          <w:lang w:val="fr-FR"/>
        </w:rPr>
        <w:t xml:space="preserve"> et al., 2020); [4] (</w:t>
      </w:r>
      <w:proofErr w:type="spellStart"/>
      <w:r w:rsidRPr="003B7B91">
        <w:rPr>
          <w:rFonts w:ascii="Times New Roman" w:hAnsi="Times New Roman" w:cs="Times New Roman"/>
          <w:sz w:val="24"/>
          <w:szCs w:val="24"/>
          <w:lang w:val="fr-FR"/>
        </w:rPr>
        <w:t>Ezekiel</w:t>
      </w:r>
      <w:proofErr w:type="spellEnd"/>
      <w:r w:rsidRPr="003B7B91">
        <w:rPr>
          <w:rFonts w:ascii="Times New Roman" w:hAnsi="Times New Roman" w:cs="Times New Roman"/>
          <w:sz w:val="24"/>
          <w:szCs w:val="24"/>
          <w:lang w:val="fr-FR"/>
        </w:rPr>
        <w:t xml:space="preserve"> et al., 2019)</w:t>
      </w:r>
      <w:r>
        <w:rPr>
          <w:rFonts w:ascii="Times New Roman" w:hAnsi="Times New Roman" w:cs="Times New Roman"/>
          <w:sz w:val="24"/>
          <w:szCs w:val="24"/>
          <w:lang w:val="fr-FR"/>
        </w:rPr>
        <w:t xml:space="preserve"> ; [5] </w:t>
      </w:r>
      <w:r w:rsidRPr="000E5429">
        <w:rPr>
          <w:rFonts w:ascii="Times New Roman" w:hAnsi="Times New Roman" w:cs="Times New Roman"/>
          <w:sz w:val="24"/>
          <w:szCs w:val="24"/>
          <w:lang w:val="fr-FR"/>
        </w:rPr>
        <w:t>(</w:t>
      </w:r>
      <w:proofErr w:type="spellStart"/>
      <w:r w:rsidRPr="000E5429">
        <w:rPr>
          <w:rFonts w:ascii="Times New Roman" w:hAnsi="Times New Roman" w:cs="Times New Roman"/>
          <w:sz w:val="24"/>
          <w:szCs w:val="24"/>
          <w:lang w:val="fr-FR"/>
        </w:rPr>
        <w:t>Sekulic</w:t>
      </w:r>
      <w:proofErr w:type="spellEnd"/>
      <w:r w:rsidRPr="000E5429">
        <w:rPr>
          <w:rFonts w:ascii="Times New Roman" w:hAnsi="Times New Roman" w:cs="Times New Roman"/>
          <w:sz w:val="24"/>
          <w:szCs w:val="24"/>
          <w:lang w:val="fr-FR"/>
        </w:rPr>
        <w:t xml:space="preserve"> et al., 2020)</w:t>
      </w:r>
      <w:r>
        <w:rPr>
          <w:rFonts w:ascii="Times New Roman" w:hAnsi="Times New Roman" w:cs="Times New Roman"/>
          <w:sz w:val="24"/>
          <w:szCs w:val="24"/>
          <w:lang w:val="fr-FR"/>
        </w:rPr>
        <w:t>.</w:t>
      </w:r>
    </w:p>
  </w:footnote>
  <w:footnote w:id="2">
    <w:p w14:paraId="1235DB9E" w14:textId="12EA4C92" w:rsidR="00717496" w:rsidRPr="00717496" w:rsidRDefault="00717496">
      <w:pPr>
        <w:pStyle w:val="Textonotapie"/>
        <w:rPr>
          <w:lang w:val="fr-FR"/>
        </w:rPr>
      </w:pPr>
      <w:r>
        <w:rPr>
          <w:rStyle w:val="Refdenotaalpie"/>
        </w:rPr>
        <w:footnoteRef/>
      </w:r>
      <w:r w:rsidRPr="00717496">
        <w:rPr>
          <w:lang w:val="fr-FR"/>
        </w:rPr>
        <w:t xml:space="preserve"> [6] </w:t>
      </w:r>
      <w:r w:rsidRPr="00717496">
        <w:rPr>
          <w:rFonts w:ascii="Times New Roman" w:hAnsi="Times New Roman" w:cs="Times New Roman"/>
          <w:sz w:val="24"/>
          <w:szCs w:val="24"/>
          <w:lang w:val="fr-FR"/>
        </w:rPr>
        <w:t>(Achard et al., 2020</w:t>
      </w:r>
      <w:proofErr w:type="gramStart"/>
      <w:r w:rsidRPr="00717496">
        <w:rPr>
          <w:rFonts w:ascii="Times New Roman" w:hAnsi="Times New Roman" w:cs="Times New Roman"/>
          <w:sz w:val="24"/>
          <w:szCs w:val="24"/>
          <w:lang w:val="fr-FR"/>
        </w:rPr>
        <w:t>);</w:t>
      </w:r>
      <w:proofErr w:type="gramEnd"/>
      <w:r w:rsidRPr="00717496">
        <w:rPr>
          <w:rFonts w:ascii="Times New Roman" w:hAnsi="Times New Roman" w:cs="Times New Roman"/>
          <w:sz w:val="24"/>
          <w:szCs w:val="24"/>
          <w:lang w:val="fr-FR"/>
        </w:rPr>
        <w:t xml:space="preserve"> [7] (Harris, 2005; McGuire and </w:t>
      </w:r>
      <w:proofErr w:type="spellStart"/>
      <w:r w:rsidRPr="00717496">
        <w:rPr>
          <w:rFonts w:ascii="Times New Roman" w:hAnsi="Times New Roman" w:cs="Times New Roman"/>
          <w:sz w:val="24"/>
          <w:szCs w:val="24"/>
          <w:lang w:val="fr-FR"/>
        </w:rPr>
        <w:t>McConell</w:t>
      </w:r>
      <w:proofErr w:type="spellEnd"/>
      <w:r w:rsidRPr="00717496">
        <w:rPr>
          <w:rFonts w:ascii="Times New Roman" w:hAnsi="Times New Roman" w:cs="Times New Roman"/>
          <w:sz w:val="24"/>
          <w:szCs w:val="24"/>
          <w:lang w:val="fr-FR"/>
        </w:rPr>
        <w:t xml:space="preserve">, 2019; </w:t>
      </w:r>
      <w:proofErr w:type="spellStart"/>
      <w:r w:rsidRPr="00717496">
        <w:rPr>
          <w:rFonts w:ascii="Times New Roman" w:hAnsi="Times New Roman" w:cs="Times New Roman"/>
          <w:sz w:val="24"/>
          <w:szCs w:val="24"/>
          <w:lang w:val="fr-FR"/>
        </w:rPr>
        <w:t>Wensch</w:t>
      </w:r>
      <w:proofErr w:type="spellEnd"/>
      <w:r w:rsidRPr="00717496">
        <w:rPr>
          <w:rFonts w:ascii="Times New Roman" w:hAnsi="Times New Roman" w:cs="Times New Roman"/>
          <w:sz w:val="24"/>
          <w:szCs w:val="24"/>
          <w:lang w:val="fr-FR"/>
        </w:rPr>
        <w:t xml:space="preserve"> et al., 2012); [8] (</w:t>
      </w:r>
      <w:proofErr w:type="spellStart"/>
      <w:r w:rsidRPr="00717496">
        <w:rPr>
          <w:rFonts w:ascii="Times New Roman" w:hAnsi="Times New Roman" w:cs="Times New Roman"/>
          <w:sz w:val="24"/>
          <w:szCs w:val="24"/>
          <w:lang w:val="fr-FR"/>
        </w:rPr>
        <w:t>Huntley</w:t>
      </w:r>
      <w:proofErr w:type="spellEnd"/>
      <w:r w:rsidRPr="00717496">
        <w:rPr>
          <w:rFonts w:ascii="Times New Roman" w:hAnsi="Times New Roman" w:cs="Times New Roman"/>
          <w:sz w:val="24"/>
          <w:szCs w:val="24"/>
          <w:lang w:val="fr-FR"/>
        </w:rPr>
        <w:t xml:space="preserve"> et al., 2020); [9] Pérez-</w:t>
      </w:r>
      <w:proofErr w:type="spellStart"/>
      <w:r w:rsidRPr="00717496">
        <w:rPr>
          <w:rFonts w:ascii="Times New Roman" w:hAnsi="Times New Roman" w:cs="Times New Roman"/>
          <w:sz w:val="24"/>
          <w:szCs w:val="24"/>
          <w:lang w:val="fr-FR"/>
        </w:rPr>
        <w:t>Zeped</w:t>
      </w:r>
      <w:r w:rsidR="004B5C7C">
        <w:rPr>
          <w:rFonts w:ascii="Times New Roman" w:hAnsi="Times New Roman" w:cs="Times New Roman"/>
          <w:sz w:val="24"/>
          <w:szCs w:val="24"/>
          <w:lang w:val="fr-FR"/>
        </w:rPr>
        <w:t>a</w:t>
      </w:r>
      <w:proofErr w:type="spellEnd"/>
      <w:r w:rsidRPr="00717496">
        <w:rPr>
          <w:rFonts w:ascii="Times New Roman" w:hAnsi="Times New Roman" w:cs="Times New Roman"/>
          <w:sz w:val="24"/>
          <w:szCs w:val="24"/>
          <w:lang w:val="fr-FR"/>
        </w:rPr>
        <w:t xml:space="preserve"> e</w:t>
      </w:r>
      <w:r>
        <w:rPr>
          <w:rFonts w:ascii="Times New Roman" w:hAnsi="Times New Roman" w:cs="Times New Roman"/>
          <w:sz w:val="24"/>
          <w:szCs w:val="24"/>
          <w:lang w:val="fr-FR"/>
        </w:rPr>
        <w:t>t al. (2021).</w:t>
      </w:r>
    </w:p>
  </w:footnote>
  <w:footnote w:id="3">
    <w:p w14:paraId="4AEF3AC7" w14:textId="78175942" w:rsidR="00D342C6" w:rsidRPr="00D342C6" w:rsidRDefault="00D342C6" w:rsidP="00D342C6">
      <w:pPr>
        <w:spacing w:after="0" w:line="240" w:lineRule="auto"/>
        <w:jc w:val="both"/>
        <w:rPr>
          <w:rFonts w:ascii="Times New Roman" w:hAnsi="Times New Roman" w:cs="Times New Roman"/>
          <w:sz w:val="20"/>
          <w:szCs w:val="20"/>
          <w:lang w:val="en-US"/>
        </w:rPr>
      </w:pPr>
      <w:r w:rsidRPr="00906518">
        <w:rPr>
          <w:rStyle w:val="Refdenotaalpie"/>
          <w:rFonts w:ascii="Times New Roman" w:hAnsi="Times New Roman" w:cs="Times New Roman"/>
          <w:sz w:val="20"/>
          <w:szCs w:val="20"/>
        </w:rPr>
        <w:footnoteRef/>
      </w:r>
      <w:r w:rsidRPr="00906518">
        <w:rPr>
          <w:rFonts w:ascii="Times New Roman" w:hAnsi="Times New Roman" w:cs="Times New Roman"/>
          <w:sz w:val="20"/>
          <w:szCs w:val="20"/>
        </w:rPr>
        <w:t xml:space="preserve"> Nótese que, en general, este resultado constituye una objeción en contra de la tesis según la cual las diferencias de riesgos según el sexo son una consecuencia de las diferencias entre la tasa de incidencia para hombres y mujeres de comorbilidades y otros factores de riesgo [22]. El resultado, en cambio, arguye en favor de la tesis según la cual, en el caso de la estancia en UCI, la pato-fisiología de la infección por COVID-19 puede diferir según el sexo del paciente [23]. </w:t>
      </w:r>
      <w:proofErr w:type="spellStart"/>
      <w:r w:rsidRPr="00D342C6">
        <w:rPr>
          <w:rFonts w:ascii="Times New Roman" w:hAnsi="Times New Roman" w:cs="Times New Roman"/>
          <w:sz w:val="20"/>
          <w:szCs w:val="20"/>
          <w:lang w:val="en-US"/>
        </w:rPr>
        <w:t>Considérese</w:t>
      </w:r>
      <w:proofErr w:type="spellEnd"/>
      <w:r w:rsidRPr="00D342C6">
        <w:rPr>
          <w:rFonts w:ascii="Times New Roman" w:hAnsi="Times New Roman" w:cs="Times New Roman"/>
          <w:sz w:val="20"/>
          <w:szCs w:val="20"/>
          <w:lang w:val="en-US"/>
        </w:rPr>
        <w:t xml:space="preserve"> </w:t>
      </w:r>
      <w:proofErr w:type="spellStart"/>
      <w:r w:rsidRPr="00D342C6">
        <w:rPr>
          <w:rFonts w:ascii="Times New Roman" w:hAnsi="Times New Roman" w:cs="Times New Roman"/>
          <w:sz w:val="20"/>
          <w:szCs w:val="20"/>
          <w:lang w:val="en-US"/>
        </w:rPr>
        <w:t>el</w:t>
      </w:r>
      <w:proofErr w:type="spellEnd"/>
      <w:r w:rsidRPr="00D342C6">
        <w:rPr>
          <w:rFonts w:ascii="Times New Roman" w:hAnsi="Times New Roman" w:cs="Times New Roman"/>
          <w:sz w:val="20"/>
          <w:szCs w:val="20"/>
          <w:lang w:val="en-US"/>
        </w:rPr>
        <w:t xml:space="preserve"> </w:t>
      </w:r>
      <w:proofErr w:type="spellStart"/>
      <w:r w:rsidRPr="00D342C6">
        <w:rPr>
          <w:rFonts w:ascii="Times New Roman" w:hAnsi="Times New Roman" w:cs="Times New Roman"/>
          <w:sz w:val="20"/>
          <w:szCs w:val="20"/>
          <w:lang w:val="en-US"/>
        </w:rPr>
        <w:t>siguiente</w:t>
      </w:r>
      <w:proofErr w:type="spellEnd"/>
      <w:r w:rsidRPr="00D342C6">
        <w:rPr>
          <w:rFonts w:ascii="Times New Roman" w:hAnsi="Times New Roman" w:cs="Times New Roman"/>
          <w:sz w:val="20"/>
          <w:szCs w:val="20"/>
          <w:lang w:val="en-US"/>
        </w:rPr>
        <w:t xml:space="preserve"> </w:t>
      </w:r>
      <w:proofErr w:type="spellStart"/>
      <w:r w:rsidRPr="00D342C6">
        <w:rPr>
          <w:rFonts w:ascii="Times New Roman" w:hAnsi="Times New Roman" w:cs="Times New Roman"/>
          <w:sz w:val="20"/>
          <w:szCs w:val="20"/>
          <w:lang w:val="en-US"/>
        </w:rPr>
        <w:t>argumento</w:t>
      </w:r>
      <w:proofErr w:type="spellEnd"/>
      <w:r w:rsidRPr="00D342C6">
        <w:rPr>
          <w:rFonts w:ascii="Times New Roman" w:hAnsi="Times New Roman" w:cs="Times New Roman"/>
          <w:sz w:val="20"/>
          <w:szCs w:val="20"/>
          <w:lang w:val="en-US"/>
        </w:rPr>
        <w:t xml:space="preserve"> </w:t>
      </w:r>
      <w:proofErr w:type="spellStart"/>
      <w:r w:rsidR="001B1BD1">
        <w:rPr>
          <w:rFonts w:ascii="Times New Roman" w:hAnsi="Times New Roman" w:cs="Times New Roman"/>
          <w:sz w:val="20"/>
          <w:szCs w:val="20"/>
          <w:lang w:val="en-US"/>
        </w:rPr>
        <w:t>aducido</w:t>
      </w:r>
      <w:proofErr w:type="spellEnd"/>
      <w:r w:rsidRPr="00D342C6">
        <w:rPr>
          <w:rFonts w:ascii="Times New Roman" w:hAnsi="Times New Roman" w:cs="Times New Roman"/>
          <w:sz w:val="20"/>
          <w:szCs w:val="20"/>
          <w:lang w:val="en-US"/>
        </w:rPr>
        <w:t xml:space="preserve"> </w:t>
      </w:r>
      <w:proofErr w:type="spellStart"/>
      <w:r w:rsidR="001B1BD1">
        <w:rPr>
          <w:rFonts w:ascii="Times New Roman" w:hAnsi="Times New Roman" w:cs="Times New Roman"/>
          <w:sz w:val="20"/>
          <w:szCs w:val="20"/>
          <w:lang w:val="en-US"/>
        </w:rPr>
        <w:t>en</w:t>
      </w:r>
      <w:proofErr w:type="spellEnd"/>
      <w:r w:rsidRPr="00D342C6">
        <w:rPr>
          <w:rFonts w:ascii="Times New Roman" w:hAnsi="Times New Roman" w:cs="Times New Roman"/>
          <w:sz w:val="20"/>
          <w:szCs w:val="20"/>
          <w:lang w:val="en-US"/>
        </w:rPr>
        <w:t xml:space="preserve"> [24-26]:</w:t>
      </w:r>
    </w:p>
    <w:p w14:paraId="56AEB73D" w14:textId="77777777" w:rsidR="00D342C6" w:rsidRPr="00D342C6" w:rsidRDefault="00D342C6" w:rsidP="00D342C6">
      <w:pPr>
        <w:spacing w:after="0" w:line="240" w:lineRule="auto"/>
        <w:jc w:val="both"/>
        <w:rPr>
          <w:rFonts w:ascii="Times New Roman" w:hAnsi="Times New Roman" w:cs="Times New Roman"/>
          <w:sz w:val="20"/>
          <w:szCs w:val="20"/>
          <w:lang w:val="en-US"/>
        </w:rPr>
      </w:pPr>
    </w:p>
    <w:p w14:paraId="07B87BED" w14:textId="77777777" w:rsidR="00D342C6" w:rsidRPr="00906518" w:rsidRDefault="00D342C6" w:rsidP="00D342C6">
      <w:pPr>
        <w:spacing w:after="0" w:line="240" w:lineRule="auto"/>
        <w:ind w:left="708"/>
        <w:jc w:val="both"/>
        <w:rPr>
          <w:rFonts w:ascii="Times New Roman" w:hAnsi="Times New Roman" w:cs="Times New Roman"/>
          <w:sz w:val="20"/>
          <w:szCs w:val="20"/>
          <w:lang w:val="en-US"/>
        </w:rPr>
      </w:pPr>
      <w:r w:rsidRPr="00906518">
        <w:rPr>
          <w:rFonts w:ascii="Times New Roman" w:hAnsi="Times New Roman" w:cs="Times New Roman"/>
          <w:sz w:val="20"/>
          <w:szCs w:val="20"/>
          <w:lang w:val="en-US"/>
        </w:rPr>
        <w:t>Since many genes involved in the immunological response to infection are present on the X chromosome, the XX and XY genetic constitutions could also potentially contribute to COVID-19 severity. Females show a more rapid and aggressive immune response to pathogens with a lower degree of systemic inflammation, which facilitates viral clearance [21].</w:t>
      </w:r>
    </w:p>
    <w:p w14:paraId="4B76E1A1" w14:textId="77777777" w:rsidR="00D342C6" w:rsidRPr="00906518" w:rsidRDefault="00D342C6" w:rsidP="00D342C6">
      <w:pPr>
        <w:spacing w:after="0" w:line="240" w:lineRule="auto"/>
        <w:jc w:val="both"/>
        <w:rPr>
          <w:rFonts w:ascii="Times New Roman" w:hAnsi="Times New Roman" w:cs="Times New Roman"/>
          <w:sz w:val="20"/>
          <w:szCs w:val="20"/>
          <w:lang w:val="en-US"/>
        </w:rPr>
      </w:pPr>
    </w:p>
    <w:p w14:paraId="2ABAAF9C" w14:textId="77777777" w:rsidR="00D342C6" w:rsidRPr="00906518" w:rsidRDefault="00D342C6" w:rsidP="00D342C6">
      <w:pPr>
        <w:spacing w:after="0" w:line="240" w:lineRule="auto"/>
        <w:jc w:val="both"/>
        <w:rPr>
          <w:rFonts w:ascii="Times New Roman" w:hAnsi="Times New Roman" w:cs="Times New Roman"/>
          <w:b/>
          <w:bCs/>
          <w:sz w:val="28"/>
          <w:szCs w:val="28"/>
          <w:lang w:val="en-US"/>
        </w:rPr>
      </w:pPr>
      <w:r w:rsidRPr="00906518">
        <w:rPr>
          <w:rFonts w:ascii="Times New Roman" w:hAnsi="Times New Roman" w:cs="Times New Roman"/>
          <w:sz w:val="20"/>
          <w:szCs w:val="20"/>
        </w:rPr>
        <w:t xml:space="preserve">Para una discusión detallada, </w:t>
      </w:r>
      <w:proofErr w:type="spellStart"/>
      <w:r w:rsidRPr="00906518">
        <w:rPr>
          <w:rFonts w:ascii="Times New Roman" w:hAnsi="Times New Roman" w:cs="Times New Roman"/>
          <w:sz w:val="20"/>
          <w:szCs w:val="20"/>
        </w:rPr>
        <w:t>veáse</w:t>
      </w:r>
      <w:proofErr w:type="spellEnd"/>
      <w:r w:rsidRPr="00906518">
        <w:rPr>
          <w:rFonts w:ascii="Times New Roman" w:hAnsi="Times New Roman" w:cs="Times New Roman"/>
          <w:sz w:val="20"/>
          <w:szCs w:val="20"/>
        </w:rPr>
        <w:t xml:space="preserve"> </w:t>
      </w:r>
      <w:proofErr w:type="spellStart"/>
      <w:r w:rsidRPr="00906518">
        <w:rPr>
          <w:rFonts w:ascii="Times New Roman" w:hAnsi="Times New Roman" w:cs="Times New Roman"/>
          <w:sz w:val="20"/>
          <w:szCs w:val="20"/>
        </w:rPr>
        <w:t>Meijs</w:t>
      </w:r>
      <w:proofErr w:type="spellEnd"/>
      <w:r w:rsidRPr="00906518">
        <w:rPr>
          <w:rFonts w:ascii="Times New Roman" w:hAnsi="Times New Roman" w:cs="Times New Roman"/>
          <w:sz w:val="20"/>
          <w:szCs w:val="20"/>
        </w:rPr>
        <w:t xml:space="preserve"> et al. </w:t>
      </w:r>
      <w:r w:rsidRPr="00906518">
        <w:rPr>
          <w:rFonts w:ascii="Times New Roman" w:hAnsi="Times New Roman" w:cs="Times New Roman"/>
          <w:sz w:val="20"/>
          <w:szCs w:val="20"/>
          <w:lang w:val="en-US"/>
        </w:rPr>
        <w:t xml:space="preserve">(2021). Better COVID-19 Intensive Care Unit survival in females, independent of age, disease severity, comorbidities, and treatment. </w:t>
      </w:r>
      <w:r w:rsidRPr="00906518">
        <w:rPr>
          <w:rFonts w:ascii="Times New Roman" w:hAnsi="Times New Roman" w:cs="Times New Roman"/>
          <w:i/>
          <w:sz w:val="20"/>
          <w:szCs w:val="20"/>
          <w:lang w:val="en-US"/>
        </w:rPr>
        <w:t xml:space="preserve">Scientific Reports 12, </w:t>
      </w:r>
      <w:r w:rsidRPr="00906518">
        <w:rPr>
          <w:rFonts w:ascii="Times New Roman" w:hAnsi="Times New Roman" w:cs="Times New Roman"/>
          <w:sz w:val="20"/>
          <w:szCs w:val="20"/>
          <w:lang w:val="en-US"/>
        </w:rPr>
        <w:t>734.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7A4E"/>
    <w:multiLevelType w:val="hybridMultilevel"/>
    <w:tmpl w:val="3EB2C674"/>
    <w:lvl w:ilvl="0" w:tplc="E7A420DE">
      <w:start w:val="4"/>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9A4A39"/>
    <w:multiLevelType w:val="hybridMultilevel"/>
    <w:tmpl w:val="B5D0979E"/>
    <w:lvl w:ilvl="0" w:tplc="1486A86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B67AE2"/>
    <w:multiLevelType w:val="hybridMultilevel"/>
    <w:tmpl w:val="DD128AA0"/>
    <w:lvl w:ilvl="0" w:tplc="0C0A0015">
      <w:start w:val="1"/>
      <w:numFmt w:val="upp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5C464A9"/>
    <w:multiLevelType w:val="hybridMultilevel"/>
    <w:tmpl w:val="B96E632E"/>
    <w:lvl w:ilvl="0" w:tplc="B4047F6C">
      <w:start w:val="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0D1B28"/>
    <w:multiLevelType w:val="hybridMultilevel"/>
    <w:tmpl w:val="961424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0455DB2"/>
    <w:multiLevelType w:val="hybridMultilevel"/>
    <w:tmpl w:val="9FA862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20C7811"/>
    <w:multiLevelType w:val="hybridMultilevel"/>
    <w:tmpl w:val="F6ACB1C6"/>
    <w:lvl w:ilvl="0" w:tplc="D90C3A38">
      <w:start w:val="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9FA3DD5"/>
    <w:multiLevelType w:val="hybridMultilevel"/>
    <w:tmpl w:val="E2F44FEA"/>
    <w:lvl w:ilvl="0" w:tplc="97BC8FA2">
      <w:start w:val="2"/>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0F45619"/>
    <w:multiLevelType w:val="hybridMultilevel"/>
    <w:tmpl w:val="FD847332"/>
    <w:lvl w:ilvl="0" w:tplc="0C0A0015">
      <w:start w:val="1"/>
      <w:numFmt w:val="upp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0F55A4"/>
    <w:multiLevelType w:val="hybridMultilevel"/>
    <w:tmpl w:val="8C4473D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E092140"/>
    <w:multiLevelType w:val="hybridMultilevel"/>
    <w:tmpl w:val="617EAAAC"/>
    <w:lvl w:ilvl="0" w:tplc="376203DC">
      <w:start w:val="1"/>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37D663F"/>
    <w:multiLevelType w:val="hybridMultilevel"/>
    <w:tmpl w:val="F47852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DAA2BBE"/>
    <w:multiLevelType w:val="hybridMultilevel"/>
    <w:tmpl w:val="65F6E874"/>
    <w:lvl w:ilvl="0" w:tplc="0C0A0015">
      <w:start w:val="1"/>
      <w:numFmt w:val="upp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54302141">
    <w:abstractNumId w:val="11"/>
  </w:num>
  <w:num w:numId="2" w16cid:durableId="880172980">
    <w:abstractNumId w:val="4"/>
  </w:num>
  <w:num w:numId="3" w16cid:durableId="1621692113">
    <w:abstractNumId w:val="5"/>
  </w:num>
  <w:num w:numId="4" w16cid:durableId="482352180">
    <w:abstractNumId w:val="2"/>
  </w:num>
  <w:num w:numId="5" w16cid:durableId="350424618">
    <w:abstractNumId w:val="12"/>
  </w:num>
  <w:num w:numId="6" w16cid:durableId="2100518427">
    <w:abstractNumId w:val="8"/>
  </w:num>
  <w:num w:numId="7" w16cid:durableId="950282459">
    <w:abstractNumId w:val="9"/>
  </w:num>
  <w:num w:numId="8" w16cid:durableId="813833389">
    <w:abstractNumId w:val="10"/>
  </w:num>
  <w:num w:numId="9" w16cid:durableId="1142308055">
    <w:abstractNumId w:val="7"/>
  </w:num>
  <w:num w:numId="10" w16cid:durableId="2137553507">
    <w:abstractNumId w:val="1"/>
  </w:num>
  <w:num w:numId="11" w16cid:durableId="602879899">
    <w:abstractNumId w:val="0"/>
  </w:num>
  <w:num w:numId="12" w16cid:durableId="1674798475">
    <w:abstractNumId w:val="3"/>
  </w:num>
  <w:num w:numId="13" w16cid:durableId="923628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5DA"/>
    <w:rsid w:val="0001167D"/>
    <w:rsid w:val="000124C0"/>
    <w:rsid w:val="000301FB"/>
    <w:rsid w:val="000636C8"/>
    <w:rsid w:val="00092F81"/>
    <w:rsid w:val="000E5429"/>
    <w:rsid w:val="0013197F"/>
    <w:rsid w:val="00134915"/>
    <w:rsid w:val="00161EE7"/>
    <w:rsid w:val="00173EBB"/>
    <w:rsid w:val="00187054"/>
    <w:rsid w:val="0019195E"/>
    <w:rsid w:val="001B1BD1"/>
    <w:rsid w:val="001C4970"/>
    <w:rsid w:val="001D4704"/>
    <w:rsid w:val="00252787"/>
    <w:rsid w:val="00256E19"/>
    <w:rsid w:val="002F6426"/>
    <w:rsid w:val="00330A88"/>
    <w:rsid w:val="00340151"/>
    <w:rsid w:val="003B3A3C"/>
    <w:rsid w:val="003B7B91"/>
    <w:rsid w:val="003D2E46"/>
    <w:rsid w:val="003F10D6"/>
    <w:rsid w:val="004050D7"/>
    <w:rsid w:val="00417C99"/>
    <w:rsid w:val="00430574"/>
    <w:rsid w:val="00452299"/>
    <w:rsid w:val="004959C0"/>
    <w:rsid w:val="004B5C7C"/>
    <w:rsid w:val="004E057D"/>
    <w:rsid w:val="004E6811"/>
    <w:rsid w:val="005602F3"/>
    <w:rsid w:val="0057284E"/>
    <w:rsid w:val="0057341E"/>
    <w:rsid w:val="005A1CC3"/>
    <w:rsid w:val="005C4630"/>
    <w:rsid w:val="006636E8"/>
    <w:rsid w:val="00717496"/>
    <w:rsid w:val="007C3141"/>
    <w:rsid w:val="0084726C"/>
    <w:rsid w:val="00847BD1"/>
    <w:rsid w:val="008A56C8"/>
    <w:rsid w:val="008A7330"/>
    <w:rsid w:val="008B6174"/>
    <w:rsid w:val="009215D7"/>
    <w:rsid w:val="009352BC"/>
    <w:rsid w:val="009776C5"/>
    <w:rsid w:val="00994F3D"/>
    <w:rsid w:val="009F5DEF"/>
    <w:rsid w:val="00A0705B"/>
    <w:rsid w:val="00A50C42"/>
    <w:rsid w:val="00A56E2D"/>
    <w:rsid w:val="00AB788F"/>
    <w:rsid w:val="00AF25A2"/>
    <w:rsid w:val="00B12D1C"/>
    <w:rsid w:val="00B549D2"/>
    <w:rsid w:val="00B76967"/>
    <w:rsid w:val="00B85488"/>
    <w:rsid w:val="00B86458"/>
    <w:rsid w:val="00BD7022"/>
    <w:rsid w:val="00C34089"/>
    <w:rsid w:val="00C77B32"/>
    <w:rsid w:val="00D12199"/>
    <w:rsid w:val="00D342C6"/>
    <w:rsid w:val="00D94D08"/>
    <w:rsid w:val="00E11AD8"/>
    <w:rsid w:val="00EB4282"/>
    <w:rsid w:val="00EB77D2"/>
    <w:rsid w:val="00EC15DA"/>
    <w:rsid w:val="00EE76BB"/>
    <w:rsid w:val="00F30319"/>
    <w:rsid w:val="00F33758"/>
    <w:rsid w:val="00F439E9"/>
    <w:rsid w:val="00F464BE"/>
    <w:rsid w:val="00FF1981"/>
    <w:rsid w:val="00FF1C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4218"/>
  <w15:chartTrackingRefBased/>
  <w15:docId w15:val="{91178D9D-6954-4367-9077-9441E5C32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15DA"/>
    <w:pPr>
      <w:ind w:left="720"/>
      <w:contextualSpacing/>
    </w:pPr>
  </w:style>
  <w:style w:type="character" w:styleId="Refdecomentario">
    <w:name w:val="annotation reference"/>
    <w:basedOn w:val="Fuentedeprrafopredeter"/>
    <w:uiPriority w:val="99"/>
    <w:semiHidden/>
    <w:unhideWhenUsed/>
    <w:rsid w:val="00252787"/>
    <w:rPr>
      <w:sz w:val="16"/>
      <w:szCs w:val="16"/>
    </w:rPr>
  </w:style>
  <w:style w:type="paragraph" w:styleId="Textocomentario">
    <w:name w:val="annotation text"/>
    <w:basedOn w:val="Normal"/>
    <w:link w:val="TextocomentarioCar"/>
    <w:uiPriority w:val="99"/>
    <w:unhideWhenUsed/>
    <w:rsid w:val="00252787"/>
    <w:pPr>
      <w:spacing w:line="240" w:lineRule="auto"/>
    </w:pPr>
    <w:rPr>
      <w:sz w:val="20"/>
      <w:szCs w:val="20"/>
    </w:rPr>
  </w:style>
  <w:style w:type="character" w:customStyle="1" w:styleId="TextocomentarioCar">
    <w:name w:val="Texto comentario Car"/>
    <w:basedOn w:val="Fuentedeprrafopredeter"/>
    <w:link w:val="Textocomentario"/>
    <w:uiPriority w:val="99"/>
    <w:rsid w:val="00252787"/>
    <w:rPr>
      <w:sz w:val="20"/>
      <w:szCs w:val="20"/>
    </w:rPr>
  </w:style>
  <w:style w:type="paragraph" w:styleId="Asuntodelcomentario">
    <w:name w:val="annotation subject"/>
    <w:basedOn w:val="Textocomentario"/>
    <w:next w:val="Textocomentario"/>
    <w:link w:val="AsuntodelcomentarioCar"/>
    <w:uiPriority w:val="99"/>
    <w:semiHidden/>
    <w:unhideWhenUsed/>
    <w:rsid w:val="00252787"/>
    <w:rPr>
      <w:b/>
      <w:bCs/>
    </w:rPr>
  </w:style>
  <w:style w:type="character" w:customStyle="1" w:styleId="AsuntodelcomentarioCar">
    <w:name w:val="Asunto del comentario Car"/>
    <w:basedOn w:val="TextocomentarioCar"/>
    <w:link w:val="Asuntodelcomentario"/>
    <w:uiPriority w:val="99"/>
    <w:semiHidden/>
    <w:rsid w:val="00252787"/>
    <w:rPr>
      <w:b/>
      <w:bCs/>
      <w:sz w:val="20"/>
      <w:szCs w:val="20"/>
    </w:rPr>
  </w:style>
  <w:style w:type="paragraph" w:styleId="Textonotapie">
    <w:name w:val="footnote text"/>
    <w:basedOn w:val="Normal"/>
    <w:link w:val="TextonotapieCar"/>
    <w:uiPriority w:val="99"/>
    <w:semiHidden/>
    <w:unhideWhenUsed/>
    <w:rsid w:val="003B7B9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B7B91"/>
    <w:rPr>
      <w:sz w:val="20"/>
      <w:szCs w:val="20"/>
    </w:rPr>
  </w:style>
  <w:style w:type="character" w:styleId="Refdenotaalpie">
    <w:name w:val="footnote reference"/>
    <w:basedOn w:val="Fuentedeprrafopredeter"/>
    <w:uiPriority w:val="99"/>
    <w:semiHidden/>
    <w:unhideWhenUsed/>
    <w:rsid w:val="003B7B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1FC76-B1C5-482F-BE93-A715C1D1B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3872</TotalTime>
  <Pages>5</Pages>
  <Words>1374</Words>
  <Characters>7557</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13</cp:revision>
  <dcterms:created xsi:type="dcterms:W3CDTF">2023-01-09T23:04:00Z</dcterms:created>
  <dcterms:modified xsi:type="dcterms:W3CDTF">2023-03-08T20:12:00Z</dcterms:modified>
</cp:coreProperties>
</file>