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F3C7" w14:textId="78B7EFC3" w:rsidR="00B75A36" w:rsidRDefault="00B75A36" w:rsidP="009C0D8D">
      <w:pPr>
        <w:ind w:firstLine="284"/>
        <w:jc w:val="both"/>
        <w:rPr>
          <w:rFonts w:ascii="Times New Roman" w:hAnsi="Times New Roman" w:cs="Times New Roman"/>
          <w:b/>
          <w:bCs/>
          <w:sz w:val="28"/>
          <w:szCs w:val="28"/>
        </w:rPr>
      </w:pPr>
      <w:r w:rsidRPr="00B75A36">
        <w:rPr>
          <w:rFonts w:ascii="Times New Roman" w:hAnsi="Times New Roman" w:cs="Times New Roman"/>
          <w:b/>
          <w:bCs/>
          <w:sz w:val="28"/>
          <w:szCs w:val="28"/>
        </w:rPr>
        <w:t>Discusión de resultados</w:t>
      </w:r>
    </w:p>
    <w:p w14:paraId="5ED0E096" w14:textId="75CF0C92" w:rsidR="003733EA" w:rsidRDefault="003733EA" w:rsidP="009B34E6">
      <w:pPr>
        <w:ind w:firstLine="284"/>
        <w:jc w:val="both"/>
        <w:rPr>
          <w:rFonts w:ascii="Times New Roman" w:hAnsi="Times New Roman" w:cs="Times New Roman"/>
          <w:sz w:val="24"/>
          <w:szCs w:val="24"/>
        </w:rPr>
      </w:pPr>
      <w:r>
        <w:rPr>
          <w:rFonts w:ascii="Times New Roman" w:hAnsi="Times New Roman" w:cs="Times New Roman"/>
          <w:sz w:val="24"/>
          <w:szCs w:val="24"/>
        </w:rPr>
        <w:t xml:space="preserve">En términos generales, las tres metodologías consideradas ---a saber, el estimador no-paramétrico de Kaplan-Meier, el modelo paramétrico de Gompertz y el modelo de riesgos proporcionales de Cox--- coinciden en las siguientes conclusiones: </w:t>
      </w:r>
      <w:r>
        <w:rPr>
          <w:rFonts w:ascii="Times New Roman" w:hAnsi="Times New Roman" w:cs="Times New Roman"/>
          <w:b/>
          <w:bCs/>
          <w:sz w:val="24"/>
          <w:szCs w:val="24"/>
        </w:rPr>
        <w:t>primero</w:t>
      </w:r>
      <w:r>
        <w:rPr>
          <w:rFonts w:ascii="Times New Roman" w:hAnsi="Times New Roman" w:cs="Times New Roman"/>
          <w:sz w:val="24"/>
          <w:szCs w:val="24"/>
        </w:rPr>
        <w:t xml:space="preserve">, si bien la tasa de mortalidad en UCI es superior en pacientes críticos de sexo masculino, no existe una diferencia significativa según el sexo; </w:t>
      </w:r>
      <w:r>
        <w:rPr>
          <w:rFonts w:ascii="Times New Roman" w:hAnsi="Times New Roman" w:cs="Times New Roman"/>
          <w:b/>
          <w:bCs/>
          <w:sz w:val="24"/>
          <w:szCs w:val="24"/>
        </w:rPr>
        <w:t xml:space="preserve">segundo, </w:t>
      </w:r>
      <w:r>
        <w:rPr>
          <w:rFonts w:ascii="Times New Roman" w:hAnsi="Times New Roman" w:cs="Times New Roman"/>
          <w:sz w:val="24"/>
          <w:szCs w:val="24"/>
        </w:rPr>
        <w:t xml:space="preserve">se verifica que la edad es un factor de riesgo en el sentido en que la tasa de mortalidad en UCI es superior en pacientes críticos de COVID-19 mayores de 65 años; y </w:t>
      </w:r>
      <w:r>
        <w:rPr>
          <w:rFonts w:ascii="Times New Roman" w:hAnsi="Times New Roman" w:cs="Times New Roman"/>
          <w:b/>
          <w:bCs/>
          <w:sz w:val="24"/>
          <w:szCs w:val="24"/>
        </w:rPr>
        <w:t>tercero</w:t>
      </w:r>
      <w:r>
        <w:rPr>
          <w:rFonts w:ascii="Times New Roman" w:hAnsi="Times New Roman" w:cs="Times New Roman"/>
          <w:sz w:val="24"/>
          <w:szCs w:val="24"/>
        </w:rPr>
        <w:t xml:space="preserve">, </w:t>
      </w:r>
      <w:r w:rsidR="009B34E6">
        <w:rPr>
          <w:rFonts w:ascii="Times New Roman" w:hAnsi="Times New Roman" w:cs="Times New Roman"/>
          <w:sz w:val="24"/>
          <w:szCs w:val="24"/>
        </w:rPr>
        <w:t>el grupo de pacientes críticos no-crónicos, en comparación con el grupo de pacientes críticos crónicos, registra una tasa de mortalidad en UCI superior.</w:t>
      </w:r>
    </w:p>
    <w:p w14:paraId="40426B66" w14:textId="31344BBA" w:rsidR="00682466" w:rsidRDefault="00682466" w:rsidP="00682466">
      <w:pPr>
        <w:pStyle w:val="Prrafodelista"/>
        <w:numPr>
          <w:ilvl w:val="0"/>
          <w:numId w:val="2"/>
        </w:numPr>
        <w:jc w:val="both"/>
        <w:rPr>
          <w:rFonts w:ascii="Times New Roman" w:hAnsi="Times New Roman" w:cs="Times New Roman"/>
          <w:b/>
          <w:bCs/>
          <w:sz w:val="28"/>
          <w:szCs w:val="28"/>
        </w:rPr>
      </w:pPr>
      <w:r w:rsidRPr="009C0D8D">
        <w:rPr>
          <w:rFonts w:ascii="Times New Roman" w:hAnsi="Times New Roman" w:cs="Times New Roman"/>
          <w:b/>
          <w:bCs/>
          <w:sz w:val="28"/>
          <w:szCs w:val="28"/>
        </w:rPr>
        <w:t>Sexo masculino como factor de riesgo</w:t>
      </w:r>
    </w:p>
    <w:p w14:paraId="0C569557" w14:textId="5D3BD866" w:rsidR="00A265D8" w:rsidRDefault="00EA21B3" w:rsidP="00A265D8">
      <w:pPr>
        <w:jc w:val="both"/>
        <w:rPr>
          <w:rFonts w:ascii="Times New Roman" w:hAnsi="Times New Roman" w:cs="Times New Roman"/>
          <w:lang w:val="en-US"/>
        </w:rPr>
      </w:pPr>
      <w:r w:rsidRPr="009C0D8D">
        <w:rPr>
          <w:rFonts w:ascii="Times New Roman" w:hAnsi="Times New Roman" w:cs="Times New Roman"/>
          <w:highlight w:val="yellow"/>
          <w:lang w:val="en-US"/>
        </w:rPr>
        <w:t>For a discussion on how sex differences in basic molecular and cellular mechanisms can be leveraged to define the immune response to infection with SARS-COV-2, see Scully et al. (2020).</w:t>
      </w:r>
      <w:r w:rsidRPr="009C0D8D">
        <w:rPr>
          <w:highlight w:val="yellow"/>
          <w:lang w:val="en-US"/>
        </w:rPr>
        <w:t xml:space="preserve"> </w:t>
      </w:r>
      <w:r w:rsidRPr="009C0D8D">
        <w:rPr>
          <w:rFonts w:ascii="Times New Roman" w:hAnsi="Times New Roman" w:cs="Times New Roman"/>
          <w:highlight w:val="yellow"/>
          <w:lang w:val="en-US"/>
        </w:rPr>
        <w:t xml:space="preserve">For a systematic review on studies on pharmacological treatment for COVID-19 differentiated by sex, see </w:t>
      </w:r>
      <w:proofErr w:type="spellStart"/>
      <w:r w:rsidRPr="009C0D8D">
        <w:rPr>
          <w:rFonts w:ascii="Times New Roman" w:hAnsi="Times New Roman" w:cs="Times New Roman"/>
          <w:highlight w:val="yellow"/>
          <w:lang w:val="en-US"/>
        </w:rPr>
        <w:t>Shiffer</w:t>
      </w:r>
      <w:proofErr w:type="spellEnd"/>
      <w:r w:rsidRPr="009C0D8D">
        <w:rPr>
          <w:rFonts w:ascii="Times New Roman" w:hAnsi="Times New Roman" w:cs="Times New Roman"/>
          <w:highlight w:val="yellow"/>
          <w:lang w:val="en-US"/>
        </w:rPr>
        <w:t xml:space="preserve"> et al. (2020). For a comprehensive review on sex disparities in susceptibility and outcome of COVID-19 due to pathophysiological and molecular mechanisms (sex hormone influence on fac- tors that facilitate virus entry and priming, immune and inflammatory response, as well as coagulation and thrombosis diathesis), see </w:t>
      </w:r>
      <w:proofErr w:type="spellStart"/>
      <w:r w:rsidRPr="009C0D8D">
        <w:rPr>
          <w:rFonts w:ascii="Times New Roman" w:hAnsi="Times New Roman" w:cs="Times New Roman"/>
          <w:highlight w:val="yellow"/>
          <w:lang w:val="en-US"/>
        </w:rPr>
        <w:t>Pivonello</w:t>
      </w:r>
      <w:proofErr w:type="spellEnd"/>
      <w:r w:rsidRPr="009C0D8D">
        <w:rPr>
          <w:rFonts w:ascii="Times New Roman" w:hAnsi="Times New Roman" w:cs="Times New Roman"/>
          <w:highlight w:val="yellow"/>
          <w:lang w:val="en-US"/>
        </w:rPr>
        <w:t xml:space="preserve"> et al. (2020). Finally, Pradhan &amp; Olsson (2002) claim that difference in immune system function, steroid hormone milieu and sex organs could play a crucial role in pathogenesis.</w:t>
      </w:r>
    </w:p>
    <w:p w14:paraId="286651C2" w14:textId="0B9D0D24" w:rsidR="00505CF8" w:rsidRPr="0049692B" w:rsidRDefault="00EA21B3" w:rsidP="00A265D8">
      <w:pPr>
        <w:jc w:val="both"/>
        <w:rPr>
          <w:rFonts w:ascii="Times New Roman" w:hAnsi="Times New Roman" w:cs="Times New Roman"/>
        </w:rPr>
      </w:pPr>
      <w:r>
        <w:rPr>
          <w:rFonts w:ascii="Times New Roman" w:hAnsi="Times New Roman" w:cs="Times New Roman"/>
        </w:rPr>
        <w:t xml:space="preserve">para una discusión detallada sobre los mecanismos específicos de cada sexo (v.gr.: </w:t>
      </w:r>
      <w:r w:rsidR="0049692B">
        <w:rPr>
          <w:rFonts w:ascii="Times New Roman" w:hAnsi="Times New Roman" w:cs="Times New Roman"/>
        </w:rPr>
        <w:t xml:space="preserve">la </w:t>
      </w:r>
      <w:r w:rsidR="001E1C7B">
        <w:rPr>
          <w:rFonts w:ascii="Times New Roman" w:hAnsi="Times New Roman" w:cs="Times New Roman"/>
        </w:rPr>
        <w:t xml:space="preserve">respuesta inmune innata y adaptativa </w:t>
      </w:r>
      <w:r w:rsidR="0049692B">
        <w:rPr>
          <w:rFonts w:ascii="Times New Roman" w:hAnsi="Times New Roman" w:cs="Times New Roman"/>
        </w:rPr>
        <w:t>modulada por</w:t>
      </w:r>
      <w:r w:rsidR="001E1C7B">
        <w:rPr>
          <w:rFonts w:ascii="Times New Roman" w:hAnsi="Times New Roman" w:cs="Times New Roman"/>
        </w:rPr>
        <w:t xml:space="preserve"> las hormonas sexuales</w:t>
      </w:r>
      <w:r>
        <w:rPr>
          <w:rFonts w:ascii="Times New Roman" w:hAnsi="Times New Roman" w:cs="Times New Roman"/>
        </w:rPr>
        <w:t xml:space="preserve">) y las condiciones (v.gr.: conductas de salud y características socioeconómicas) que delimitan la evolución de los pacientes en UCI por COVID-19, véase </w:t>
      </w:r>
      <w:proofErr w:type="spellStart"/>
      <w:r>
        <w:rPr>
          <w:rFonts w:ascii="Times New Roman" w:hAnsi="Times New Roman" w:cs="Times New Roman"/>
        </w:rPr>
        <w:t>Gebhard</w:t>
      </w:r>
      <w:proofErr w:type="spellEnd"/>
      <w:r>
        <w:rPr>
          <w:rFonts w:ascii="Times New Roman" w:hAnsi="Times New Roman" w:cs="Times New Roman"/>
        </w:rPr>
        <w:t xml:space="preserve"> et al. (2020).</w:t>
      </w:r>
      <w:r w:rsidR="0049692B">
        <w:rPr>
          <w:rFonts w:ascii="Times New Roman" w:hAnsi="Times New Roman" w:cs="Times New Roman"/>
        </w:rPr>
        <w:t xml:space="preserve"> Para una revisión sistemática de estudios sobre la respuesta</w:t>
      </w:r>
      <w:r w:rsidR="00505CF8">
        <w:rPr>
          <w:rFonts w:ascii="Times New Roman" w:hAnsi="Times New Roman" w:cs="Times New Roman"/>
        </w:rPr>
        <w:t xml:space="preserve"> ---</w:t>
      </w:r>
      <w:r w:rsidR="0049692B">
        <w:rPr>
          <w:rFonts w:ascii="Times New Roman" w:hAnsi="Times New Roman" w:cs="Times New Roman"/>
        </w:rPr>
        <w:t>diferenciada según el sexo del paciente</w:t>
      </w:r>
      <w:r w:rsidR="00505CF8">
        <w:rPr>
          <w:rFonts w:ascii="Times New Roman" w:hAnsi="Times New Roman" w:cs="Times New Roman"/>
        </w:rPr>
        <w:t xml:space="preserve">--- </w:t>
      </w:r>
      <w:r w:rsidR="0049692B">
        <w:rPr>
          <w:rFonts w:ascii="Times New Roman" w:hAnsi="Times New Roman" w:cs="Times New Roman"/>
        </w:rPr>
        <w:t xml:space="preserve">ante tratamientos </w:t>
      </w:r>
      <w:r w:rsidR="00505CF8">
        <w:rPr>
          <w:rFonts w:ascii="Times New Roman" w:hAnsi="Times New Roman" w:cs="Times New Roman"/>
        </w:rPr>
        <w:t>farmacológicos</w:t>
      </w:r>
      <w:r w:rsidR="0049692B">
        <w:rPr>
          <w:rFonts w:ascii="Times New Roman" w:hAnsi="Times New Roman" w:cs="Times New Roman"/>
        </w:rPr>
        <w:t xml:space="preserve"> </w:t>
      </w:r>
      <w:r w:rsidR="00505CF8">
        <w:rPr>
          <w:rFonts w:ascii="Times New Roman" w:hAnsi="Times New Roman" w:cs="Times New Roman"/>
        </w:rPr>
        <w:t>contra</w:t>
      </w:r>
      <w:r w:rsidR="0049692B">
        <w:rPr>
          <w:rFonts w:ascii="Times New Roman" w:hAnsi="Times New Roman" w:cs="Times New Roman"/>
        </w:rPr>
        <w:t xml:space="preserve"> el COVID-19, véase </w:t>
      </w:r>
      <w:proofErr w:type="spellStart"/>
      <w:r w:rsidR="0049692B">
        <w:rPr>
          <w:rFonts w:ascii="Times New Roman" w:hAnsi="Times New Roman" w:cs="Times New Roman"/>
        </w:rPr>
        <w:t>Shiffer</w:t>
      </w:r>
      <w:proofErr w:type="spellEnd"/>
      <w:r w:rsidR="0049692B">
        <w:rPr>
          <w:rFonts w:ascii="Times New Roman" w:hAnsi="Times New Roman" w:cs="Times New Roman"/>
        </w:rPr>
        <w:t xml:space="preserve"> et al. (2020). </w:t>
      </w:r>
      <w:r w:rsidR="00505CF8">
        <w:rPr>
          <w:rFonts w:ascii="Times New Roman" w:hAnsi="Times New Roman" w:cs="Times New Roman"/>
        </w:rPr>
        <w:t xml:space="preserve">Por último, para una revisión sistemática sobre los estudios que evalúan la relación de los mecanismos moleculares y </w:t>
      </w:r>
      <w:proofErr w:type="spellStart"/>
      <w:r w:rsidR="00505CF8">
        <w:rPr>
          <w:rFonts w:ascii="Times New Roman" w:hAnsi="Times New Roman" w:cs="Times New Roman"/>
        </w:rPr>
        <w:t>patofisiológicos</w:t>
      </w:r>
      <w:proofErr w:type="spellEnd"/>
      <w:r w:rsidR="00CA26C9">
        <w:rPr>
          <w:rFonts w:ascii="Times New Roman" w:hAnsi="Times New Roman" w:cs="Times New Roman"/>
        </w:rPr>
        <w:t xml:space="preserve"> </w:t>
      </w:r>
      <w:r w:rsidR="00505CF8">
        <w:rPr>
          <w:rFonts w:ascii="Times New Roman" w:hAnsi="Times New Roman" w:cs="Times New Roman"/>
        </w:rPr>
        <w:t xml:space="preserve">con el desenlace de la enfermedad </w:t>
      </w:r>
      <w:r w:rsidR="00CA26C9">
        <w:rPr>
          <w:rFonts w:ascii="Times New Roman" w:hAnsi="Times New Roman" w:cs="Times New Roman"/>
        </w:rPr>
        <w:t xml:space="preserve">diferenciado según el sexo del paciente, véase </w:t>
      </w:r>
      <w:proofErr w:type="spellStart"/>
      <w:r w:rsidR="00CA26C9">
        <w:rPr>
          <w:rFonts w:ascii="Times New Roman" w:hAnsi="Times New Roman" w:cs="Times New Roman"/>
        </w:rPr>
        <w:t>Pivonello</w:t>
      </w:r>
      <w:proofErr w:type="spellEnd"/>
      <w:r w:rsidR="00CA26C9">
        <w:rPr>
          <w:rFonts w:ascii="Times New Roman" w:hAnsi="Times New Roman" w:cs="Times New Roman"/>
        </w:rPr>
        <w:t xml:space="preserve"> et al. (2020). </w:t>
      </w:r>
      <w:r w:rsidR="00505CF8">
        <w:rPr>
          <w:rFonts w:ascii="Times New Roman" w:hAnsi="Times New Roman" w:cs="Times New Roman"/>
        </w:rPr>
        <w:t xml:space="preserve">(En una línea similar, véase los trabajos de </w:t>
      </w:r>
      <w:proofErr w:type="spellStart"/>
      <w:r w:rsidR="00505CF8">
        <w:rPr>
          <w:rFonts w:ascii="Times New Roman" w:hAnsi="Times New Roman" w:cs="Times New Roman"/>
        </w:rPr>
        <w:t>Pradhan</w:t>
      </w:r>
      <w:proofErr w:type="spellEnd"/>
      <w:r w:rsidR="00505CF8">
        <w:rPr>
          <w:rFonts w:ascii="Times New Roman" w:hAnsi="Times New Roman" w:cs="Times New Roman"/>
        </w:rPr>
        <w:t xml:space="preserve"> &amp; </w:t>
      </w:r>
      <w:proofErr w:type="spellStart"/>
      <w:r w:rsidR="00505CF8">
        <w:rPr>
          <w:rFonts w:ascii="Times New Roman" w:hAnsi="Times New Roman" w:cs="Times New Roman"/>
        </w:rPr>
        <w:t>Olsson</w:t>
      </w:r>
      <w:proofErr w:type="spellEnd"/>
      <w:r w:rsidR="00505CF8">
        <w:rPr>
          <w:rFonts w:ascii="Times New Roman" w:hAnsi="Times New Roman" w:cs="Times New Roman"/>
        </w:rPr>
        <w:t xml:space="preserve"> (2002) y </w:t>
      </w:r>
      <w:proofErr w:type="spellStart"/>
      <w:r w:rsidR="00505CF8">
        <w:rPr>
          <w:rFonts w:ascii="Times New Roman" w:hAnsi="Times New Roman" w:cs="Times New Roman"/>
        </w:rPr>
        <w:t>Scully</w:t>
      </w:r>
      <w:proofErr w:type="spellEnd"/>
      <w:r w:rsidR="00505CF8">
        <w:rPr>
          <w:rFonts w:ascii="Times New Roman" w:hAnsi="Times New Roman" w:cs="Times New Roman"/>
        </w:rPr>
        <w:t xml:space="preserve"> et al. (2020)).</w:t>
      </w:r>
    </w:p>
    <w:p w14:paraId="0BF24320" w14:textId="7C5DFD0E" w:rsidR="00A265D8" w:rsidRDefault="00A265D8" w:rsidP="00A265D8">
      <w:pPr>
        <w:jc w:val="both"/>
        <w:rPr>
          <w:rFonts w:ascii="Times New Roman" w:hAnsi="Times New Roman" w:cs="Times New Roman"/>
          <w:sz w:val="24"/>
          <w:szCs w:val="24"/>
        </w:rPr>
      </w:pPr>
    </w:p>
    <w:p w14:paraId="41F0C0C2" w14:textId="77777777" w:rsidR="00A265D8" w:rsidRPr="00EA21B3" w:rsidRDefault="00A265D8" w:rsidP="00A265D8">
      <w:pPr>
        <w:jc w:val="both"/>
        <w:rPr>
          <w:rFonts w:ascii="Times New Roman" w:hAnsi="Times New Roman" w:cs="Times New Roman"/>
          <w:sz w:val="24"/>
          <w:szCs w:val="24"/>
        </w:rPr>
      </w:pPr>
    </w:p>
    <w:p w14:paraId="742887DB" w14:textId="77777777" w:rsidR="00A265D8" w:rsidRPr="00EA21B3" w:rsidRDefault="00A265D8" w:rsidP="00A265D8">
      <w:pPr>
        <w:jc w:val="both"/>
        <w:rPr>
          <w:rFonts w:ascii="Times New Roman" w:hAnsi="Times New Roman" w:cs="Times New Roman"/>
          <w:sz w:val="24"/>
          <w:szCs w:val="24"/>
        </w:rPr>
      </w:pPr>
    </w:p>
    <w:p w14:paraId="1FB6BD93" w14:textId="77777777" w:rsidR="00A265D8" w:rsidRPr="00EA21B3" w:rsidRDefault="00A265D8" w:rsidP="00A265D8">
      <w:pPr>
        <w:jc w:val="both"/>
        <w:rPr>
          <w:rFonts w:ascii="Times New Roman" w:hAnsi="Times New Roman" w:cs="Times New Roman"/>
          <w:sz w:val="24"/>
          <w:szCs w:val="24"/>
        </w:rPr>
      </w:pPr>
    </w:p>
    <w:p w14:paraId="71406259" w14:textId="77777777" w:rsidR="00A265D8" w:rsidRPr="00EA21B3" w:rsidRDefault="00A265D8" w:rsidP="00A265D8">
      <w:pPr>
        <w:jc w:val="both"/>
        <w:rPr>
          <w:rFonts w:ascii="Times New Roman" w:hAnsi="Times New Roman" w:cs="Times New Roman"/>
          <w:sz w:val="24"/>
          <w:szCs w:val="24"/>
        </w:rPr>
      </w:pPr>
    </w:p>
    <w:p w14:paraId="6C10441A" w14:textId="77777777" w:rsidR="00A265D8" w:rsidRPr="00EA21B3" w:rsidRDefault="00A265D8" w:rsidP="00A265D8">
      <w:pPr>
        <w:jc w:val="both"/>
        <w:rPr>
          <w:rFonts w:ascii="Times New Roman" w:hAnsi="Times New Roman" w:cs="Times New Roman"/>
          <w:sz w:val="24"/>
          <w:szCs w:val="24"/>
        </w:rPr>
      </w:pPr>
    </w:p>
    <w:p w14:paraId="05A590A5" w14:textId="77777777" w:rsidR="00A265D8" w:rsidRPr="00EA21B3" w:rsidRDefault="00A265D8" w:rsidP="00A265D8">
      <w:pPr>
        <w:jc w:val="both"/>
        <w:rPr>
          <w:rFonts w:ascii="Times New Roman" w:hAnsi="Times New Roman" w:cs="Times New Roman"/>
          <w:sz w:val="24"/>
          <w:szCs w:val="24"/>
        </w:rPr>
      </w:pPr>
    </w:p>
    <w:p w14:paraId="1F3D2E8A" w14:textId="77777777" w:rsidR="00A265D8" w:rsidRPr="00EA21B3" w:rsidRDefault="00A265D8" w:rsidP="00A265D8">
      <w:pPr>
        <w:jc w:val="both"/>
        <w:rPr>
          <w:rFonts w:ascii="Times New Roman" w:hAnsi="Times New Roman" w:cs="Times New Roman"/>
          <w:sz w:val="24"/>
          <w:szCs w:val="24"/>
        </w:rPr>
      </w:pPr>
    </w:p>
    <w:p w14:paraId="6F58E574" w14:textId="77777777" w:rsidR="00A265D8" w:rsidRPr="00EA21B3" w:rsidRDefault="00A265D8" w:rsidP="00A265D8">
      <w:pPr>
        <w:jc w:val="both"/>
        <w:rPr>
          <w:rFonts w:ascii="Times New Roman" w:hAnsi="Times New Roman" w:cs="Times New Roman"/>
          <w:sz w:val="24"/>
          <w:szCs w:val="24"/>
        </w:rPr>
      </w:pPr>
    </w:p>
    <w:p w14:paraId="5D4DAE2A" w14:textId="77777777" w:rsidR="00A265D8" w:rsidRPr="00EA21B3" w:rsidRDefault="00A265D8" w:rsidP="00A265D8">
      <w:pPr>
        <w:jc w:val="both"/>
        <w:rPr>
          <w:rFonts w:ascii="Times New Roman" w:hAnsi="Times New Roman" w:cs="Times New Roman"/>
          <w:sz w:val="24"/>
          <w:szCs w:val="24"/>
        </w:rPr>
      </w:pPr>
    </w:p>
    <w:p w14:paraId="383E2580" w14:textId="77777777" w:rsidR="00A265D8" w:rsidRPr="00EA21B3" w:rsidRDefault="00A265D8" w:rsidP="00A265D8">
      <w:pPr>
        <w:jc w:val="both"/>
        <w:rPr>
          <w:rFonts w:ascii="Times New Roman" w:hAnsi="Times New Roman" w:cs="Times New Roman"/>
          <w:sz w:val="24"/>
          <w:szCs w:val="24"/>
        </w:rPr>
      </w:pPr>
    </w:p>
    <w:p w14:paraId="5D142440" w14:textId="77777777" w:rsidR="00A265D8" w:rsidRPr="00EA21B3" w:rsidRDefault="00A265D8" w:rsidP="00A265D8">
      <w:pPr>
        <w:jc w:val="both"/>
        <w:rPr>
          <w:rFonts w:ascii="Times New Roman" w:hAnsi="Times New Roman" w:cs="Times New Roman"/>
          <w:sz w:val="24"/>
          <w:szCs w:val="24"/>
        </w:rPr>
      </w:pPr>
    </w:p>
    <w:p w14:paraId="165EB529" w14:textId="77777777" w:rsidR="00A265D8" w:rsidRPr="00EA21B3" w:rsidRDefault="00A265D8" w:rsidP="00A265D8">
      <w:pPr>
        <w:jc w:val="both"/>
        <w:rPr>
          <w:rFonts w:ascii="Times New Roman" w:hAnsi="Times New Roman" w:cs="Times New Roman"/>
          <w:sz w:val="24"/>
          <w:szCs w:val="24"/>
        </w:rPr>
      </w:pPr>
    </w:p>
    <w:p w14:paraId="448D7CD9" w14:textId="77777777" w:rsidR="00A265D8" w:rsidRPr="00EA21B3" w:rsidRDefault="00A265D8" w:rsidP="00A265D8">
      <w:pPr>
        <w:jc w:val="both"/>
        <w:rPr>
          <w:rFonts w:ascii="Times New Roman" w:hAnsi="Times New Roman" w:cs="Times New Roman"/>
          <w:sz w:val="24"/>
          <w:szCs w:val="24"/>
        </w:rPr>
      </w:pPr>
    </w:p>
    <w:p w14:paraId="00A2CC65" w14:textId="77777777" w:rsidR="00A265D8" w:rsidRPr="00EA21B3" w:rsidRDefault="00A265D8" w:rsidP="00A265D8">
      <w:pPr>
        <w:jc w:val="both"/>
        <w:rPr>
          <w:rFonts w:ascii="Times New Roman" w:hAnsi="Times New Roman" w:cs="Times New Roman"/>
          <w:sz w:val="24"/>
          <w:szCs w:val="24"/>
        </w:rPr>
      </w:pPr>
    </w:p>
    <w:p w14:paraId="7718E1B2" w14:textId="77777777" w:rsidR="007D2EBE" w:rsidRPr="00376568" w:rsidRDefault="007D2EBE" w:rsidP="007D2EBE">
      <w:pPr>
        <w:pStyle w:val="Textonotapie"/>
        <w:jc w:val="both"/>
        <w:rPr>
          <w:lang w:val="en-US"/>
        </w:rPr>
      </w:pPr>
      <w:r>
        <w:rPr>
          <w:rFonts w:ascii="Times New Roman" w:hAnsi="Times New Roman" w:cs="Times New Roman"/>
          <w:sz w:val="24"/>
          <w:szCs w:val="24"/>
        </w:rPr>
        <w:t xml:space="preserve">Nuestro estudio verifica un fenómeno copiosamente reportado en </w:t>
      </w:r>
      <w:r w:rsidR="00A265D8" w:rsidRPr="00A265D8">
        <w:rPr>
          <w:rFonts w:ascii="Times New Roman" w:hAnsi="Times New Roman" w:cs="Times New Roman"/>
          <w:sz w:val="24"/>
          <w:szCs w:val="24"/>
        </w:rPr>
        <w:t>estudios anteriores</w:t>
      </w:r>
      <w:r w:rsidR="00A265D8">
        <w:rPr>
          <w:rFonts w:ascii="Times New Roman" w:hAnsi="Times New Roman" w:cs="Times New Roman"/>
          <w:sz w:val="24"/>
          <w:szCs w:val="24"/>
        </w:rPr>
        <w:t xml:space="preserve"> (</w:t>
      </w:r>
      <w:proofErr w:type="spellStart"/>
      <w:r w:rsidR="00A265D8" w:rsidRPr="00A265D8">
        <w:rPr>
          <w:rFonts w:ascii="Times New Roman" w:hAnsi="Times New Roman" w:cs="Times New Roman"/>
        </w:rPr>
        <w:t>Meijs</w:t>
      </w:r>
      <w:proofErr w:type="spellEnd"/>
      <w:r w:rsidR="00A265D8" w:rsidRPr="00A265D8">
        <w:rPr>
          <w:rFonts w:ascii="Times New Roman" w:hAnsi="Times New Roman" w:cs="Times New Roman"/>
        </w:rPr>
        <w:t xml:space="preserve"> et al. </w:t>
      </w:r>
      <w:r w:rsidR="00A265D8" w:rsidRPr="00376568">
        <w:rPr>
          <w:rFonts w:ascii="Times New Roman" w:hAnsi="Times New Roman" w:cs="Times New Roman"/>
          <w:lang w:val="fr-FR"/>
        </w:rPr>
        <w:t xml:space="preserve">(2022), Graselli et al. (2020), Zappella et al. (2022), Haase et al. (2021), Peñuelas et al. (2021), Zhan et al. (2021), Cour et al. (2021), Schmidt et al. (2021), Islam et al. </w:t>
      </w:r>
      <w:r w:rsidR="00A265D8" w:rsidRPr="007D2EBE">
        <w:rPr>
          <w:rFonts w:ascii="Times New Roman" w:hAnsi="Times New Roman" w:cs="Times New Roman"/>
        </w:rPr>
        <w:t xml:space="preserve">(2021), Islam et al. (2021), </w:t>
      </w:r>
      <w:proofErr w:type="spellStart"/>
      <w:r w:rsidR="00A265D8" w:rsidRPr="007D2EBE">
        <w:rPr>
          <w:rFonts w:ascii="Times New Roman" w:hAnsi="Times New Roman" w:cs="Times New Roman"/>
        </w:rPr>
        <w:t>Lapidus</w:t>
      </w:r>
      <w:proofErr w:type="spellEnd"/>
      <w:r w:rsidR="00A265D8" w:rsidRPr="007D2EBE">
        <w:rPr>
          <w:rFonts w:ascii="Times New Roman" w:hAnsi="Times New Roman" w:cs="Times New Roman"/>
        </w:rPr>
        <w:t xml:space="preserve"> et al. (2020), </w:t>
      </w:r>
      <w:proofErr w:type="spellStart"/>
      <w:r w:rsidR="00A265D8" w:rsidRPr="007D2EBE">
        <w:rPr>
          <w:rFonts w:ascii="Times New Roman" w:hAnsi="Times New Roman" w:cs="Times New Roman"/>
        </w:rPr>
        <w:t>Sun</w:t>
      </w:r>
      <w:proofErr w:type="spellEnd"/>
      <w:r w:rsidR="00A265D8" w:rsidRPr="007D2EBE">
        <w:rPr>
          <w:rFonts w:ascii="Times New Roman" w:hAnsi="Times New Roman" w:cs="Times New Roman"/>
        </w:rPr>
        <w:t xml:space="preserve"> et al. (2020).)</w:t>
      </w:r>
      <w:r w:rsidR="00A265D8" w:rsidRPr="00A265D8">
        <w:rPr>
          <w:rFonts w:ascii="Times New Roman" w:hAnsi="Times New Roman" w:cs="Times New Roman"/>
          <w:sz w:val="24"/>
          <w:szCs w:val="24"/>
        </w:rPr>
        <w:t xml:space="preserve"> y revisiones sistemáticas</w:t>
      </w:r>
      <w:r w:rsidR="00A265D8">
        <w:rPr>
          <w:rFonts w:ascii="Times New Roman" w:hAnsi="Times New Roman" w:cs="Times New Roman"/>
          <w:sz w:val="24"/>
          <w:szCs w:val="24"/>
        </w:rPr>
        <w:t xml:space="preserve"> (</w:t>
      </w:r>
      <w:proofErr w:type="spellStart"/>
      <w:r w:rsidR="00A265D8">
        <w:rPr>
          <w:rFonts w:ascii="Times New Roman" w:hAnsi="Times New Roman" w:cs="Times New Roman"/>
          <w:sz w:val="24"/>
          <w:szCs w:val="24"/>
        </w:rPr>
        <w:t>Peckham</w:t>
      </w:r>
      <w:proofErr w:type="spellEnd"/>
      <w:r w:rsidR="00A265D8">
        <w:rPr>
          <w:rFonts w:ascii="Times New Roman" w:hAnsi="Times New Roman" w:cs="Times New Roman"/>
          <w:sz w:val="24"/>
          <w:szCs w:val="24"/>
        </w:rPr>
        <w:t>, Armstrong)</w:t>
      </w:r>
      <w:r>
        <w:rPr>
          <w:rFonts w:ascii="Times New Roman" w:hAnsi="Times New Roman" w:cs="Times New Roman"/>
          <w:sz w:val="24"/>
          <w:szCs w:val="24"/>
        </w:rPr>
        <w:t>: l</w:t>
      </w:r>
      <w:r w:rsidRPr="00A265D8">
        <w:rPr>
          <w:rFonts w:ascii="Times New Roman" w:hAnsi="Times New Roman" w:cs="Times New Roman"/>
          <w:sz w:val="24"/>
          <w:szCs w:val="24"/>
        </w:rPr>
        <w:t>a relación entre el sexo masculino y un desenlace desfavorable de pacientes en UCI por COVID-19</w:t>
      </w:r>
      <w:r w:rsidR="00A265D8" w:rsidRPr="00A265D8">
        <w:rPr>
          <w:rFonts w:ascii="Times New Roman" w:hAnsi="Times New Roman" w:cs="Times New Roman"/>
          <w:sz w:val="24"/>
          <w:szCs w:val="24"/>
        </w:rPr>
        <w:t xml:space="preserve">. Existen, por lo menos, dos explicaciones ampliamente difundidas: primero, se ha argüido que la </w:t>
      </w:r>
      <w:proofErr w:type="spellStart"/>
      <w:r w:rsidR="00A265D8" w:rsidRPr="00A265D8">
        <w:rPr>
          <w:rFonts w:ascii="Times New Roman" w:hAnsi="Times New Roman" w:cs="Times New Roman"/>
          <w:sz w:val="24"/>
          <w:szCs w:val="24"/>
        </w:rPr>
        <w:t>patofisiología</w:t>
      </w:r>
      <w:proofErr w:type="spellEnd"/>
      <w:r w:rsidR="00A265D8" w:rsidRPr="00A265D8">
        <w:rPr>
          <w:rFonts w:ascii="Times New Roman" w:hAnsi="Times New Roman" w:cs="Times New Roman"/>
          <w:sz w:val="24"/>
          <w:szCs w:val="24"/>
        </w:rPr>
        <w:t xml:space="preserve"> de la infección por COVID-19 difiere según el sexo del paciente. Se ha afirmado que los pacientes de sexo femenino y masculino muestran diferencias en la susceptibilidad y respuesta a infecciones virales</w:t>
      </w:r>
      <w:r>
        <w:rPr>
          <w:rFonts w:ascii="Times New Roman" w:hAnsi="Times New Roman" w:cs="Times New Roman"/>
          <w:sz w:val="24"/>
          <w:szCs w:val="24"/>
        </w:rPr>
        <w:t xml:space="preserve"> (</w:t>
      </w:r>
      <w:r w:rsidRPr="007D2EBE">
        <w:rPr>
          <w:rFonts w:ascii="Times New Roman" w:hAnsi="Times New Roman" w:cs="Times New Roman"/>
        </w:rPr>
        <w:t xml:space="preserve">Klein &amp; Huber (2009). </w:t>
      </w:r>
      <w:r w:rsidRPr="00376568">
        <w:rPr>
          <w:rFonts w:ascii="Times New Roman" w:hAnsi="Times New Roman" w:cs="Times New Roman"/>
          <w:lang w:val="en-US"/>
        </w:rPr>
        <w:t xml:space="preserve">Sex differences in susceptibility to viral infection. In: Klein SL, Roberts CW, editors. </w:t>
      </w:r>
      <w:r w:rsidRPr="007D2EBE">
        <w:rPr>
          <w:rFonts w:ascii="Times New Roman" w:hAnsi="Times New Roman" w:cs="Times New Roman"/>
        </w:rPr>
        <w:t xml:space="preserve">Sex Hormones and </w:t>
      </w:r>
      <w:proofErr w:type="spellStart"/>
      <w:r w:rsidRPr="007D2EBE">
        <w:rPr>
          <w:rFonts w:ascii="Times New Roman" w:hAnsi="Times New Roman" w:cs="Times New Roman"/>
        </w:rPr>
        <w:t>Immunity</w:t>
      </w:r>
      <w:proofErr w:type="spellEnd"/>
      <w:r w:rsidRPr="007D2EBE">
        <w:rPr>
          <w:rFonts w:ascii="Times New Roman" w:hAnsi="Times New Roman" w:cs="Times New Roman"/>
        </w:rPr>
        <w:t xml:space="preserve"> </w:t>
      </w:r>
      <w:proofErr w:type="spellStart"/>
      <w:r w:rsidRPr="007D2EBE">
        <w:rPr>
          <w:rFonts w:ascii="Times New Roman" w:hAnsi="Times New Roman" w:cs="Times New Roman"/>
        </w:rPr>
        <w:t>to</w:t>
      </w:r>
      <w:proofErr w:type="spellEnd"/>
      <w:r w:rsidRPr="007D2EBE">
        <w:rPr>
          <w:rFonts w:ascii="Times New Roman" w:hAnsi="Times New Roman" w:cs="Times New Roman"/>
        </w:rPr>
        <w:t xml:space="preserve"> </w:t>
      </w:r>
      <w:proofErr w:type="spellStart"/>
      <w:r w:rsidRPr="007D2EBE">
        <w:rPr>
          <w:rFonts w:ascii="Times New Roman" w:hAnsi="Times New Roman" w:cs="Times New Roman"/>
        </w:rPr>
        <w:t>Infection</w:t>
      </w:r>
      <w:proofErr w:type="spellEnd"/>
      <w:r w:rsidRPr="007D2EBE">
        <w:rPr>
          <w:rFonts w:ascii="Times New Roman" w:hAnsi="Times New Roman" w:cs="Times New Roman"/>
        </w:rPr>
        <w:t xml:space="preserve">. </w:t>
      </w:r>
      <w:proofErr w:type="spellStart"/>
      <w:r w:rsidRPr="007D2EBE">
        <w:rPr>
          <w:rFonts w:ascii="Times New Roman" w:hAnsi="Times New Roman" w:cs="Times New Roman"/>
        </w:rPr>
        <w:t>Berlin</w:t>
      </w:r>
      <w:proofErr w:type="spellEnd"/>
      <w:r w:rsidRPr="007D2EBE">
        <w:rPr>
          <w:rFonts w:ascii="Times New Roman" w:hAnsi="Times New Roman" w:cs="Times New Roman"/>
        </w:rPr>
        <w:t>: Springer-</w:t>
      </w:r>
      <w:proofErr w:type="spellStart"/>
      <w:r w:rsidRPr="007D2EBE">
        <w:rPr>
          <w:rFonts w:ascii="Times New Roman" w:hAnsi="Times New Roman" w:cs="Times New Roman"/>
        </w:rPr>
        <w:t>Verlag</w:t>
      </w:r>
      <w:proofErr w:type="spellEnd"/>
      <w:r w:rsidRPr="007D2EBE">
        <w:rPr>
          <w:rFonts w:ascii="Times New Roman" w:hAnsi="Times New Roman" w:cs="Times New Roman"/>
        </w:rPr>
        <w:t>.</w:t>
      </w:r>
      <w:r>
        <w:rPr>
          <w:rFonts w:ascii="Times New Roman" w:hAnsi="Times New Roman" w:cs="Times New Roman"/>
          <w:sz w:val="24"/>
          <w:szCs w:val="24"/>
        </w:rPr>
        <w:t>)</w:t>
      </w:r>
      <w:r w:rsidR="00A265D8" w:rsidRPr="00A265D8">
        <w:rPr>
          <w:rFonts w:ascii="Times New Roman" w:hAnsi="Times New Roman" w:cs="Times New Roman"/>
          <w:sz w:val="24"/>
          <w:szCs w:val="24"/>
        </w:rPr>
        <w:t>, de donde se desprende la diferencia en la prevalencia, la respuesta inmune, la severidad y el desenlace de la infección por COVID-19</w:t>
      </w:r>
      <w:r>
        <w:rPr>
          <w:rFonts w:ascii="Times New Roman" w:hAnsi="Times New Roman" w:cs="Times New Roman"/>
          <w:sz w:val="24"/>
          <w:szCs w:val="24"/>
        </w:rPr>
        <w:t xml:space="preserve"> [FOOTNORE]</w:t>
      </w:r>
      <w:r w:rsidR="00A265D8">
        <w:rPr>
          <w:rStyle w:val="Refdenotaalpie"/>
          <w:rFonts w:ascii="Times New Roman" w:hAnsi="Times New Roman" w:cs="Times New Roman"/>
          <w:sz w:val="24"/>
          <w:szCs w:val="24"/>
        </w:rPr>
        <w:footnoteReference w:id="1"/>
      </w:r>
      <w:r w:rsidR="00A265D8" w:rsidRPr="00A265D8">
        <w:rPr>
          <w:rFonts w:ascii="Times New Roman" w:hAnsi="Times New Roman" w:cs="Times New Roman"/>
          <w:sz w:val="24"/>
          <w:szCs w:val="24"/>
        </w:rPr>
        <w:t>. En segundo lugar, investigaciones tempranas arguyeron que el desenlace desfavorable de los pacientes en UCI por COVID-19 está relacionado con comorbilidades ---v.gr.: hipertensión, enfermedades cardiovasculares y pulmonares--- u otros factores de riesgo asociados ---v.gr.: tabaquismo---, cuya prevalencia es superior en hombres</w:t>
      </w:r>
      <w:r>
        <w:rPr>
          <w:rFonts w:ascii="Times New Roman" w:hAnsi="Times New Roman" w:cs="Times New Roman"/>
          <w:sz w:val="24"/>
          <w:szCs w:val="24"/>
        </w:rPr>
        <w:t xml:space="preserve"> (</w:t>
      </w:r>
      <w:proofErr w:type="spellStart"/>
      <w:r w:rsidRPr="007D2EBE">
        <w:rPr>
          <w:rFonts w:ascii="Times New Roman" w:hAnsi="Times New Roman" w:cs="Times New Roman"/>
        </w:rPr>
        <w:t>The</w:t>
      </w:r>
      <w:proofErr w:type="spellEnd"/>
      <w:r w:rsidRPr="007D2EBE">
        <w:rPr>
          <w:rFonts w:ascii="Times New Roman" w:hAnsi="Times New Roman" w:cs="Times New Roman"/>
        </w:rPr>
        <w:t xml:space="preserve"> Lancet (2020) y </w:t>
      </w:r>
      <w:proofErr w:type="spellStart"/>
      <w:r w:rsidRPr="007D2EBE">
        <w:rPr>
          <w:rFonts w:ascii="Times New Roman" w:hAnsi="Times New Roman" w:cs="Times New Roman"/>
        </w:rPr>
        <w:t>Cai</w:t>
      </w:r>
      <w:proofErr w:type="spellEnd"/>
      <w:r w:rsidRPr="007D2EBE">
        <w:rPr>
          <w:rFonts w:ascii="Times New Roman" w:hAnsi="Times New Roman" w:cs="Times New Roman"/>
        </w:rPr>
        <w:t xml:space="preserve"> (2020). </w:t>
      </w:r>
      <w:r w:rsidRPr="00376568">
        <w:rPr>
          <w:rFonts w:ascii="Times New Roman" w:hAnsi="Times New Roman" w:cs="Times New Roman"/>
          <w:lang w:val="en-US"/>
        </w:rPr>
        <w:t>Sex difference and smoking predisposition in patients with COVID-19.</w:t>
      </w:r>
      <w:r w:rsidRPr="00376568">
        <w:rPr>
          <w:lang w:val="en-US"/>
        </w:rPr>
        <w:t xml:space="preserve"> </w:t>
      </w:r>
    </w:p>
    <w:p w14:paraId="4723BC82" w14:textId="10975856" w:rsidR="00A265D8" w:rsidRPr="00A265D8" w:rsidRDefault="007D2EBE" w:rsidP="00A265D8">
      <w:pPr>
        <w:jc w:val="both"/>
        <w:rPr>
          <w:rFonts w:ascii="Times New Roman" w:hAnsi="Times New Roman" w:cs="Times New Roman"/>
          <w:sz w:val="24"/>
          <w:szCs w:val="24"/>
        </w:rPr>
      </w:pPr>
      <w:r w:rsidRPr="00951271">
        <w:rPr>
          <w:rFonts w:ascii="Times New Roman" w:hAnsi="Times New Roman" w:cs="Times New Roman"/>
          <w:sz w:val="24"/>
          <w:szCs w:val="24"/>
          <w:lang w:val="en-US"/>
        </w:rPr>
        <w:t>)</w:t>
      </w:r>
      <w:r w:rsidR="00A265D8" w:rsidRPr="00951271">
        <w:rPr>
          <w:rFonts w:ascii="Times New Roman" w:hAnsi="Times New Roman" w:cs="Times New Roman"/>
          <w:sz w:val="24"/>
          <w:szCs w:val="24"/>
          <w:lang w:val="en-US"/>
        </w:rPr>
        <w:t xml:space="preserve">. La </w:t>
      </w:r>
      <w:proofErr w:type="spellStart"/>
      <w:r w:rsidR="00A265D8" w:rsidRPr="00951271">
        <w:rPr>
          <w:rFonts w:ascii="Times New Roman" w:hAnsi="Times New Roman" w:cs="Times New Roman"/>
          <w:sz w:val="24"/>
          <w:szCs w:val="24"/>
          <w:lang w:val="en-US"/>
        </w:rPr>
        <w:t>investigación</w:t>
      </w:r>
      <w:proofErr w:type="spellEnd"/>
      <w:r w:rsidR="00A265D8" w:rsidRPr="00951271">
        <w:rPr>
          <w:rFonts w:ascii="Times New Roman" w:hAnsi="Times New Roman" w:cs="Times New Roman"/>
          <w:sz w:val="24"/>
          <w:szCs w:val="24"/>
          <w:lang w:val="en-US"/>
        </w:rPr>
        <w:t xml:space="preserve"> </w:t>
      </w:r>
      <w:proofErr w:type="spellStart"/>
      <w:r w:rsidR="00A265D8" w:rsidRPr="00951271">
        <w:rPr>
          <w:rFonts w:ascii="Times New Roman" w:hAnsi="Times New Roman" w:cs="Times New Roman"/>
          <w:sz w:val="24"/>
          <w:szCs w:val="24"/>
          <w:lang w:val="en-US"/>
        </w:rPr>
        <w:t>reciente</w:t>
      </w:r>
      <w:proofErr w:type="spellEnd"/>
      <w:r w:rsidR="00A265D8" w:rsidRPr="00951271">
        <w:rPr>
          <w:rFonts w:ascii="Times New Roman" w:hAnsi="Times New Roman" w:cs="Times New Roman"/>
          <w:sz w:val="24"/>
          <w:szCs w:val="24"/>
          <w:lang w:val="en-US"/>
        </w:rPr>
        <w:t xml:space="preserve"> de </w:t>
      </w:r>
      <w:proofErr w:type="spellStart"/>
      <w:r w:rsidR="00A265D8" w:rsidRPr="00951271">
        <w:rPr>
          <w:rFonts w:ascii="Times New Roman" w:hAnsi="Times New Roman" w:cs="Times New Roman"/>
          <w:sz w:val="24"/>
          <w:szCs w:val="24"/>
          <w:lang w:val="en-US"/>
        </w:rPr>
        <w:t>Meijs</w:t>
      </w:r>
      <w:proofErr w:type="spellEnd"/>
      <w:r w:rsidR="00A265D8" w:rsidRPr="00951271">
        <w:rPr>
          <w:rFonts w:ascii="Times New Roman" w:hAnsi="Times New Roman" w:cs="Times New Roman"/>
          <w:sz w:val="24"/>
          <w:szCs w:val="24"/>
          <w:lang w:val="en-US"/>
        </w:rPr>
        <w:t xml:space="preserve"> et al. </w:t>
      </w:r>
      <w:r w:rsidR="00A265D8" w:rsidRPr="00A265D8">
        <w:rPr>
          <w:rFonts w:ascii="Times New Roman" w:hAnsi="Times New Roman" w:cs="Times New Roman"/>
          <w:sz w:val="24"/>
          <w:szCs w:val="24"/>
        </w:rPr>
        <w:t>(2022) proporciona, no obstante, evidencia en favor de la primera tesis.</w:t>
      </w:r>
    </w:p>
    <w:p w14:paraId="012638D1" w14:textId="77777777" w:rsidR="00CA26C9" w:rsidRPr="00A265D8" w:rsidRDefault="00CA26C9" w:rsidP="00A265D8">
      <w:pPr>
        <w:jc w:val="both"/>
        <w:rPr>
          <w:rFonts w:ascii="Times New Roman" w:hAnsi="Times New Roman" w:cs="Times New Roman"/>
          <w:b/>
          <w:bCs/>
          <w:sz w:val="28"/>
          <w:szCs w:val="28"/>
        </w:rPr>
      </w:pPr>
    </w:p>
    <w:p w14:paraId="70018460" w14:textId="3A07E471" w:rsidR="00192FB6" w:rsidRDefault="00210F42" w:rsidP="00C87D00">
      <w:pPr>
        <w:ind w:firstLine="284"/>
        <w:jc w:val="both"/>
        <w:rPr>
          <w:rFonts w:ascii="Times New Roman" w:hAnsi="Times New Roman" w:cs="Times New Roman"/>
          <w:sz w:val="24"/>
          <w:szCs w:val="24"/>
        </w:rPr>
      </w:pPr>
      <w:r>
        <w:rPr>
          <w:rFonts w:ascii="Times New Roman" w:hAnsi="Times New Roman" w:cs="Times New Roman"/>
          <w:sz w:val="24"/>
          <w:szCs w:val="24"/>
        </w:rPr>
        <w:t>La</w:t>
      </w:r>
      <w:r w:rsidR="009B34E6">
        <w:rPr>
          <w:rFonts w:ascii="Times New Roman" w:hAnsi="Times New Roman" w:cs="Times New Roman"/>
          <w:sz w:val="24"/>
          <w:szCs w:val="24"/>
        </w:rPr>
        <w:t xml:space="preserve"> relación entre el sexo masculino y un desenlace desfavorable </w:t>
      </w:r>
      <w:r>
        <w:rPr>
          <w:rFonts w:ascii="Times New Roman" w:hAnsi="Times New Roman" w:cs="Times New Roman"/>
          <w:sz w:val="24"/>
          <w:szCs w:val="24"/>
        </w:rPr>
        <w:t>de</w:t>
      </w:r>
      <w:r w:rsidR="009B34E6">
        <w:rPr>
          <w:rFonts w:ascii="Times New Roman" w:hAnsi="Times New Roman" w:cs="Times New Roman"/>
          <w:sz w:val="24"/>
          <w:szCs w:val="24"/>
        </w:rPr>
        <w:t xml:space="preserve"> </w:t>
      </w:r>
      <w:r>
        <w:rPr>
          <w:rFonts w:ascii="Times New Roman" w:hAnsi="Times New Roman" w:cs="Times New Roman"/>
          <w:sz w:val="24"/>
          <w:szCs w:val="24"/>
        </w:rPr>
        <w:t xml:space="preserve">pacientes en </w:t>
      </w:r>
      <w:r w:rsidR="009B34E6">
        <w:rPr>
          <w:rFonts w:ascii="Times New Roman" w:hAnsi="Times New Roman" w:cs="Times New Roman"/>
          <w:sz w:val="24"/>
          <w:szCs w:val="24"/>
        </w:rPr>
        <w:t>UCI</w:t>
      </w:r>
      <w:r>
        <w:rPr>
          <w:rFonts w:ascii="Times New Roman" w:hAnsi="Times New Roman" w:cs="Times New Roman"/>
          <w:sz w:val="24"/>
          <w:szCs w:val="24"/>
        </w:rPr>
        <w:t xml:space="preserve"> por COVID-19</w:t>
      </w:r>
      <w:r w:rsidR="009B34E6">
        <w:rPr>
          <w:rFonts w:ascii="Times New Roman" w:hAnsi="Times New Roman" w:cs="Times New Roman"/>
          <w:sz w:val="24"/>
          <w:szCs w:val="24"/>
        </w:rPr>
        <w:t xml:space="preserve"> ha sido</w:t>
      </w:r>
      <w:r w:rsidR="00682466">
        <w:rPr>
          <w:rFonts w:ascii="Times New Roman" w:hAnsi="Times New Roman" w:cs="Times New Roman"/>
          <w:sz w:val="24"/>
          <w:szCs w:val="24"/>
        </w:rPr>
        <w:t xml:space="preserve"> </w:t>
      </w:r>
      <w:r w:rsidR="009B34E6">
        <w:rPr>
          <w:rFonts w:ascii="Times New Roman" w:hAnsi="Times New Roman" w:cs="Times New Roman"/>
          <w:sz w:val="24"/>
          <w:szCs w:val="24"/>
        </w:rPr>
        <w:t>un fenómeno copiosamente reportado en estudios anteriores</w:t>
      </w:r>
      <w:r w:rsidR="00653C5D">
        <w:rPr>
          <w:rStyle w:val="Refdenotaalpie"/>
          <w:rFonts w:ascii="Times New Roman" w:hAnsi="Times New Roman" w:cs="Times New Roman"/>
          <w:sz w:val="24"/>
          <w:szCs w:val="24"/>
        </w:rPr>
        <w:footnoteReference w:id="2"/>
      </w:r>
      <w:r w:rsidR="009B34E6">
        <w:rPr>
          <w:rFonts w:ascii="Times New Roman" w:hAnsi="Times New Roman" w:cs="Times New Roman"/>
          <w:sz w:val="24"/>
          <w:szCs w:val="24"/>
        </w:rPr>
        <w:t xml:space="preserve"> y revisiones sistemáticas</w:t>
      </w:r>
      <w:r w:rsidR="00653C5D">
        <w:rPr>
          <w:rStyle w:val="Refdenotaalpie"/>
          <w:rFonts w:ascii="Times New Roman" w:hAnsi="Times New Roman" w:cs="Times New Roman"/>
          <w:sz w:val="24"/>
          <w:szCs w:val="24"/>
        </w:rPr>
        <w:footnoteReference w:id="3"/>
      </w:r>
      <w:r w:rsidR="009B34E6">
        <w:rPr>
          <w:rFonts w:ascii="Times New Roman" w:hAnsi="Times New Roman" w:cs="Times New Roman"/>
          <w:sz w:val="24"/>
          <w:szCs w:val="24"/>
        </w:rPr>
        <w:t xml:space="preserve">. Existen, por lo menos, dos explicaciones ampliamente difundidas: primero, se ha argüido que la </w:t>
      </w:r>
      <w:proofErr w:type="spellStart"/>
      <w:r w:rsidR="009B34E6">
        <w:rPr>
          <w:rFonts w:ascii="Times New Roman" w:hAnsi="Times New Roman" w:cs="Times New Roman"/>
          <w:sz w:val="24"/>
          <w:szCs w:val="24"/>
        </w:rPr>
        <w:t>pato</w:t>
      </w:r>
      <w:r w:rsidR="001E0D6A">
        <w:rPr>
          <w:rFonts w:ascii="Times New Roman" w:hAnsi="Times New Roman" w:cs="Times New Roman"/>
          <w:sz w:val="24"/>
          <w:szCs w:val="24"/>
        </w:rPr>
        <w:t>fisiología</w:t>
      </w:r>
      <w:proofErr w:type="spellEnd"/>
      <w:r w:rsidR="009B34E6">
        <w:rPr>
          <w:rFonts w:ascii="Times New Roman" w:hAnsi="Times New Roman" w:cs="Times New Roman"/>
          <w:sz w:val="24"/>
          <w:szCs w:val="24"/>
        </w:rPr>
        <w:t xml:space="preserve"> de l</w:t>
      </w:r>
      <w:r w:rsidR="001E0D6A">
        <w:rPr>
          <w:rFonts w:ascii="Times New Roman" w:hAnsi="Times New Roman" w:cs="Times New Roman"/>
          <w:sz w:val="24"/>
          <w:szCs w:val="24"/>
        </w:rPr>
        <w:t xml:space="preserve">a infección por COVID-19 difiere según el sexo del paciente. Se ha afirmado que los pacientes de sexo femenino y </w:t>
      </w:r>
      <w:r w:rsidR="001E0D6A">
        <w:rPr>
          <w:rFonts w:ascii="Times New Roman" w:hAnsi="Times New Roman" w:cs="Times New Roman"/>
          <w:sz w:val="24"/>
          <w:szCs w:val="24"/>
        </w:rPr>
        <w:lastRenderedPageBreak/>
        <w:t>masculino muestran diferencias en la susceptibilidad y respuesta a infecciones virales</w:t>
      </w:r>
      <w:r w:rsidR="00653C5D">
        <w:rPr>
          <w:rStyle w:val="Refdenotaalpie"/>
          <w:rFonts w:ascii="Times New Roman" w:hAnsi="Times New Roman" w:cs="Times New Roman"/>
          <w:sz w:val="24"/>
          <w:szCs w:val="24"/>
        </w:rPr>
        <w:footnoteReference w:id="4"/>
      </w:r>
      <w:r w:rsidR="001E0D6A">
        <w:rPr>
          <w:rFonts w:ascii="Times New Roman" w:hAnsi="Times New Roman" w:cs="Times New Roman"/>
          <w:sz w:val="24"/>
          <w:szCs w:val="24"/>
        </w:rPr>
        <w:t>, de donde se desprende la diferencia en la prevalencia, la respuesta inmune, la severidad y el desenlace de la infección por COVID-19</w:t>
      </w:r>
      <w:r w:rsidR="00376568">
        <w:rPr>
          <w:rStyle w:val="Refdenotaalpie"/>
          <w:rFonts w:ascii="Times New Roman" w:hAnsi="Times New Roman" w:cs="Times New Roman"/>
          <w:sz w:val="24"/>
          <w:szCs w:val="24"/>
        </w:rPr>
        <w:footnoteReference w:id="5"/>
      </w:r>
      <w:r w:rsidR="00376568">
        <w:rPr>
          <w:rFonts w:ascii="Times New Roman" w:hAnsi="Times New Roman" w:cs="Times New Roman"/>
          <w:sz w:val="24"/>
          <w:szCs w:val="24"/>
        </w:rPr>
        <w:t xml:space="preserve">. </w:t>
      </w:r>
      <w:r w:rsidR="001E0D6A">
        <w:rPr>
          <w:rFonts w:ascii="Times New Roman" w:hAnsi="Times New Roman" w:cs="Times New Roman"/>
          <w:sz w:val="24"/>
          <w:szCs w:val="24"/>
        </w:rPr>
        <w:t xml:space="preserve">En segundo lugar, investigaciones tempranas arguyeron que el desenlace desfavorable de los pacientes </w:t>
      </w:r>
      <w:r w:rsidR="00B12928">
        <w:rPr>
          <w:rFonts w:ascii="Times New Roman" w:hAnsi="Times New Roman" w:cs="Times New Roman"/>
          <w:sz w:val="24"/>
          <w:szCs w:val="24"/>
        </w:rPr>
        <w:t>en UCI por</w:t>
      </w:r>
      <w:r w:rsidR="001E0D6A">
        <w:rPr>
          <w:rFonts w:ascii="Times New Roman" w:hAnsi="Times New Roman" w:cs="Times New Roman"/>
          <w:sz w:val="24"/>
          <w:szCs w:val="24"/>
        </w:rPr>
        <w:t xml:space="preserve"> COVID-19 está</w:t>
      </w:r>
      <w:r w:rsidR="00B12928">
        <w:rPr>
          <w:rFonts w:ascii="Times New Roman" w:hAnsi="Times New Roman" w:cs="Times New Roman"/>
          <w:sz w:val="24"/>
          <w:szCs w:val="24"/>
        </w:rPr>
        <w:t xml:space="preserve"> </w:t>
      </w:r>
      <w:r w:rsidR="001E0D6A">
        <w:rPr>
          <w:rFonts w:ascii="Times New Roman" w:hAnsi="Times New Roman" w:cs="Times New Roman"/>
          <w:sz w:val="24"/>
          <w:szCs w:val="24"/>
        </w:rPr>
        <w:t xml:space="preserve">relacionado con comorbilidades ---v.gr.: </w:t>
      </w:r>
      <w:r w:rsidR="00B12928">
        <w:rPr>
          <w:rFonts w:ascii="Times New Roman" w:hAnsi="Times New Roman" w:cs="Times New Roman"/>
          <w:sz w:val="24"/>
          <w:szCs w:val="24"/>
        </w:rPr>
        <w:t>hipertensión, enfermedades cardiovasculares y pulmonares--- u otros factores de riesgo asociados ---v.gr.: tabaquismo---, cuya prevalencia es superior en hombres</w:t>
      </w:r>
      <w:r w:rsidR="00376568">
        <w:rPr>
          <w:rStyle w:val="Refdenotaalpie"/>
          <w:rFonts w:ascii="Times New Roman" w:hAnsi="Times New Roman" w:cs="Times New Roman"/>
          <w:sz w:val="24"/>
          <w:szCs w:val="24"/>
        </w:rPr>
        <w:footnoteReference w:id="6"/>
      </w:r>
      <w:r w:rsidR="00B12928">
        <w:rPr>
          <w:rFonts w:ascii="Times New Roman" w:hAnsi="Times New Roman" w:cs="Times New Roman"/>
          <w:sz w:val="24"/>
          <w:szCs w:val="24"/>
        </w:rPr>
        <w:t xml:space="preserve">. </w:t>
      </w:r>
      <w:r w:rsidR="00755D9A">
        <w:rPr>
          <w:rFonts w:ascii="Times New Roman" w:hAnsi="Times New Roman" w:cs="Times New Roman"/>
          <w:sz w:val="24"/>
          <w:szCs w:val="24"/>
        </w:rPr>
        <w:t xml:space="preserve">La investigación reciente de </w:t>
      </w:r>
      <w:proofErr w:type="spellStart"/>
      <w:r w:rsidR="00755D9A">
        <w:rPr>
          <w:rFonts w:ascii="Times New Roman" w:hAnsi="Times New Roman" w:cs="Times New Roman"/>
          <w:sz w:val="24"/>
          <w:szCs w:val="24"/>
        </w:rPr>
        <w:t>Meijs</w:t>
      </w:r>
      <w:proofErr w:type="spellEnd"/>
      <w:r w:rsidR="00755D9A">
        <w:rPr>
          <w:rFonts w:ascii="Times New Roman" w:hAnsi="Times New Roman" w:cs="Times New Roman"/>
          <w:sz w:val="24"/>
          <w:szCs w:val="24"/>
        </w:rPr>
        <w:t xml:space="preserve"> et al. (2022) proporciona, no obstante, evidencia en favor de la primera tesis.</w:t>
      </w:r>
    </w:p>
    <w:p w14:paraId="33177DEE" w14:textId="784E54A3" w:rsidR="00D67B70" w:rsidRDefault="00682466" w:rsidP="00192FB6">
      <w:pPr>
        <w:ind w:firstLine="284"/>
        <w:jc w:val="both"/>
        <w:rPr>
          <w:rFonts w:ascii="Times New Roman" w:hAnsi="Times New Roman" w:cs="Times New Roman"/>
          <w:sz w:val="24"/>
          <w:szCs w:val="24"/>
        </w:rPr>
      </w:pPr>
      <w:r>
        <w:rPr>
          <w:rFonts w:ascii="Times New Roman" w:hAnsi="Times New Roman" w:cs="Times New Roman"/>
          <w:sz w:val="24"/>
          <w:szCs w:val="24"/>
        </w:rPr>
        <w:t xml:space="preserve">La </w:t>
      </w:r>
      <w:r w:rsidR="00335691">
        <w:rPr>
          <w:rFonts w:ascii="Times New Roman" w:hAnsi="Times New Roman" w:cs="Times New Roman"/>
          <w:sz w:val="24"/>
          <w:szCs w:val="24"/>
        </w:rPr>
        <w:t xml:space="preserve">razón entre pacientes </w:t>
      </w:r>
      <w:r w:rsidR="00192FB6">
        <w:rPr>
          <w:rFonts w:ascii="Times New Roman" w:hAnsi="Times New Roman" w:cs="Times New Roman"/>
          <w:sz w:val="24"/>
          <w:szCs w:val="24"/>
        </w:rPr>
        <w:t xml:space="preserve">en UCI por COVID-19 </w:t>
      </w:r>
      <w:r w:rsidR="00335691">
        <w:rPr>
          <w:rFonts w:ascii="Times New Roman" w:hAnsi="Times New Roman" w:cs="Times New Roman"/>
          <w:sz w:val="24"/>
          <w:szCs w:val="24"/>
        </w:rPr>
        <w:t>de sexo masculino y femenino registrada</w:t>
      </w:r>
      <w:r>
        <w:rPr>
          <w:rFonts w:ascii="Times New Roman" w:hAnsi="Times New Roman" w:cs="Times New Roman"/>
          <w:sz w:val="24"/>
          <w:szCs w:val="24"/>
        </w:rPr>
        <w:t xml:space="preserve"> en nuestro estudio es, en términos generales, comparable con estudios anteriores </w:t>
      </w:r>
      <w:r w:rsidR="00335691">
        <w:rPr>
          <w:rFonts w:ascii="Times New Roman" w:hAnsi="Times New Roman" w:cs="Times New Roman"/>
          <w:sz w:val="24"/>
          <w:szCs w:val="24"/>
        </w:rPr>
        <w:t xml:space="preserve">($n_{m}/n_{f}$ = $1.7865$), los cuales han reportado razones </w:t>
      </w:r>
      <w:r w:rsidR="00192FB6">
        <w:rPr>
          <w:rFonts w:ascii="Times New Roman" w:hAnsi="Times New Roman" w:cs="Times New Roman"/>
          <w:sz w:val="24"/>
          <w:szCs w:val="24"/>
        </w:rPr>
        <w:t>entre $1.3641$ (</w:t>
      </w:r>
      <w:proofErr w:type="spellStart"/>
      <w:r w:rsidR="00192FB6">
        <w:rPr>
          <w:rFonts w:ascii="Times New Roman" w:hAnsi="Times New Roman" w:cs="Times New Roman"/>
          <w:sz w:val="24"/>
          <w:szCs w:val="24"/>
        </w:rPr>
        <w:t>Anesi</w:t>
      </w:r>
      <w:proofErr w:type="spellEnd"/>
      <w:r w:rsidR="00192FB6">
        <w:rPr>
          <w:rFonts w:ascii="Times New Roman" w:hAnsi="Times New Roman" w:cs="Times New Roman"/>
          <w:sz w:val="24"/>
          <w:szCs w:val="24"/>
        </w:rPr>
        <w:t xml:space="preserve"> et al., 2021) y $2.8462$ (Schmidt et al., 2021). </w:t>
      </w:r>
      <w:r w:rsidR="00335691">
        <w:rPr>
          <w:rFonts w:ascii="Times New Roman" w:hAnsi="Times New Roman" w:cs="Times New Roman"/>
          <w:sz w:val="24"/>
          <w:szCs w:val="24"/>
        </w:rPr>
        <w:t xml:space="preserve">De manera análoga, nuestra investigación verifica, a partir </w:t>
      </w:r>
      <w:r w:rsidR="00192FB6">
        <w:rPr>
          <w:rFonts w:ascii="Times New Roman" w:hAnsi="Times New Roman" w:cs="Times New Roman"/>
          <w:sz w:val="24"/>
          <w:szCs w:val="24"/>
        </w:rPr>
        <w:t>de los resultados de la regresión multivariada</w:t>
      </w:r>
      <w:r w:rsidR="00335691">
        <w:rPr>
          <w:rFonts w:ascii="Times New Roman" w:hAnsi="Times New Roman" w:cs="Times New Roman"/>
          <w:sz w:val="24"/>
          <w:szCs w:val="24"/>
        </w:rPr>
        <w:t xml:space="preserve"> de Cox, que </w:t>
      </w:r>
      <w:r w:rsidR="00B51D8C">
        <w:rPr>
          <w:rFonts w:ascii="Times New Roman" w:hAnsi="Times New Roman" w:cs="Times New Roman"/>
          <w:sz w:val="24"/>
          <w:szCs w:val="24"/>
        </w:rPr>
        <w:t>el riesgo relativo de un paciente de</w:t>
      </w:r>
      <w:r w:rsidR="00BD0C47">
        <w:rPr>
          <w:rFonts w:ascii="Times New Roman" w:hAnsi="Times New Roman" w:cs="Times New Roman"/>
          <w:sz w:val="24"/>
          <w:szCs w:val="24"/>
        </w:rPr>
        <w:t xml:space="preserve"> </w:t>
      </w:r>
      <w:r w:rsidR="00B51D8C">
        <w:rPr>
          <w:rFonts w:ascii="Times New Roman" w:hAnsi="Times New Roman" w:cs="Times New Roman"/>
          <w:sz w:val="24"/>
          <w:szCs w:val="24"/>
        </w:rPr>
        <w:t xml:space="preserve">sexo masculino en comparación con </w:t>
      </w:r>
      <w:r w:rsidR="00BD0C47">
        <w:rPr>
          <w:rFonts w:ascii="Times New Roman" w:hAnsi="Times New Roman" w:cs="Times New Roman"/>
          <w:sz w:val="24"/>
          <w:szCs w:val="24"/>
        </w:rPr>
        <w:t xml:space="preserve">un </w:t>
      </w:r>
      <w:r w:rsidR="00B51D8C">
        <w:rPr>
          <w:rFonts w:ascii="Times New Roman" w:hAnsi="Times New Roman" w:cs="Times New Roman"/>
          <w:sz w:val="24"/>
          <w:szCs w:val="24"/>
        </w:rPr>
        <w:t xml:space="preserve">paciente de sexo femenino </w:t>
      </w:r>
      <w:r w:rsidR="00BD0C47">
        <w:rPr>
          <w:rFonts w:ascii="Times New Roman" w:hAnsi="Times New Roman" w:cs="Times New Roman"/>
          <w:sz w:val="24"/>
          <w:szCs w:val="24"/>
        </w:rPr>
        <w:t>es $1.10$ (95% IC: $0.92$, $1.29$). Esto implica que, para el caso de pacientes en UCI por COVID-19, la probabilidad de morir para un paciente de sexo masculino es 1.1 veces mayor que la probabilidad de morir para un paciente de sexo femenino.</w:t>
      </w:r>
    </w:p>
    <w:p w14:paraId="5DB1D13E" w14:textId="77777777" w:rsidR="00F52E0F" w:rsidRDefault="00F52E0F" w:rsidP="00192FB6">
      <w:pPr>
        <w:ind w:firstLine="284"/>
        <w:jc w:val="both"/>
        <w:rPr>
          <w:rFonts w:ascii="Times New Roman" w:hAnsi="Times New Roman" w:cs="Times New Roman"/>
          <w:sz w:val="24"/>
          <w:szCs w:val="24"/>
        </w:rPr>
      </w:pPr>
    </w:p>
    <w:p w14:paraId="06BA9CAC" w14:textId="77777777" w:rsidR="00F52E0F" w:rsidRDefault="00F52E0F" w:rsidP="00192FB6">
      <w:pPr>
        <w:ind w:firstLine="284"/>
        <w:jc w:val="both"/>
        <w:rPr>
          <w:rFonts w:ascii="Times New Roman" w:hAnsi="Times New Roman" w:cs="Times New Roman"/>
          <w:sz w:val="24"/>
          <w:szCs w:val="24"/>
        </w:rPr>
      </w:pPr>
    </w:p>
    <w:p w14:paraId="1DB2D87C" w14:textId="77777777" w:rsidR="00F52E0F" w:rsidRDefault="00F52E0F" w:rsidP="00192FB6">
      <w:pPr>
        <w:ind w:firstLine="284"/>
        <w:jc w:val="both"/>
        <w:rPr>
          <w:rFonts w:ascii="Times New Roman" w:hAnsi="Times New Roman" w:cs="Times New Roman"/>
          <w:sz w:val="24"/>
          <w:szCs w:val="24"/>
        </w:rPr>
      </w:pPr>
    </w:p>
    <w:p w14:paraId="1EBDF316" w14:textId="77777777" w:rsidR="00F52E0F" w:rsidRDefault="00F52E0F" w:rsidP="00192FB6">
      <w:pPr>
        <w:ind w:firstLine="284"/>
        <w:jc w:val="both"/>
        <w:rPr>
          <w:rFonts w:ascii="Times New Roman" w:hAnsi="Times New Roman" w:cs="Times New Roman"/>
          <w:sz w:val="24"/>
          <w:szCs w:val="24"/>
        </w:rPr>
      </w:pPr>
    </w:p>
    <w:p w14:paraId="7C3C3C4C" w14:textId="77777777" w:rsidR="00F52E0F" w:rsidRDefault="00F52E0F" w:rsidP="00192FB6">
      <w:pPr>
        <w:ind w:firstLine="284"/>
        <w:jc w:val="both"/>
        <w:rPr>
          <w:rFonts w:ascii="Times New Roman" w:hAnsi="Times New Roman" w:cs="Times New Roman"/>
          <w:sz w:val="24"/>
          <w:szCs w:val="24"/>
        </w:rPr>
      </w:pPr>
    </w:p>
    <w:p w14:paraId="58769A23" w14:textId="77777777" w:rsidR="00F52E0F" w:rsidRDefault="00F52E0F" w:rsidP="00192FB6">
      <w:pPr>
        <w:ind w:firstLine="284"/>
        <w:jc w:val="both"/>
        <w:rPr>
          <w:rFonts w:ascii="Times New Roman" w:hAnsi="Times New Roman" w:cs="Times New Roman"/>
          <w:sz w:val="24"/>
          <w:szCs w:val="24"/>
        </w:rPr>
      </w:pPr>
    </w:p>
    <w:p w14:paraId="0D014526" w14:textId="77777777" w:rsidR="00F52E0F" w:rsidRDefault="00F52E0F" w:rsidP="00192FB6">
      <w:pPr>
        <w:ind w:firstLine="284"/>
        <w:jc w:val="both"/>
        <w:rPr>
          <w:rFonts w:ascii="Times New Roman" w:hAnsi="Times New Roman" w:cs="Times New Roman"/>
          <w:sz w:val="24"/>
          <w:szCs w:val="24"/>
        </w:rPr>
      </w:pPr>
    </w:p>
    <w:p w14:paraId="4A83F30C" w14:textId="77777777" w:rsidR="00F52E0F" w:rsidRDefault="00F52E0F" w:rsidP="00192FB6">
      <w:pPr>
        <w:ind w:firstLine="284"/>
        <w:jc w:val="both"/>
        <w:rPr>
          <w:rFonts w:ascii="Times New Roman" w:hAnsi="Times New Roman" w:cs="Times New Roman"/>
          <w:sz w:val="24"/>
          <w:szCs w:val="24"/>
        </w:rPr>
      </w:pPr>
    </w:p>
    <w:p w14:paraId="54ACB377" w14:textId="77777777" w:rsidR="00F52E0F" w:rsidRDefault="00F52E0F" w:rsidP="00192FB6">
      <w:pPr>
        <w:ind w:firstLine="284"/>
        <w:jc w:val="both"/>
        <w:rPr>
          <w:rFonts w:ascii="Times New Roman" w:hAnsi="Times New Roman" w:cs="Times New Roman"/>
          <w:sz w:val="24"/>
          <w:szCs w:val="24"/>
        </w:rPr>
      </w:pPr>
    </w:p>
    <w:p w14:paraId="0EFF5EE9" w14:textId="77777777" w:rsidR="00F52E0F" w:rsidRDefault="00F52E0F" w:rsidP="00192FB6">
      <w:pPr>
        <w:ind w:firstLine="284"/>
        <w:jc w:val="both"/>
        <w:rPr>
          <w:rFonts w:ascii="Times New Roman" w:hAnsi="Times New Roman" w:cs="Times New Roman"/>
          <w:sz w:val="24"/>
          <w:szCs w:val="24"/>
        </w:rPr>
      </w:pPr>
    </w:p>
    <w:p w14:paraId="7BC76CCE" w14:textId="77777777" w:rsidR="00F52E0F" w:rsidRDefault="00F52E0F" w:rsidP="00192FB6">
      <w:pPr>
        <w:ind w:firstLine="284"/>
        <w:jc w:val="both"/>
        <w:rPr>
          <w:rFonts w:ascii="Times New Roman" w:hAnsi="Times New Roman" w:cs="Times New Roman"/>
          <w:sz w:val="24"/>
          <w:szCs w:val="24"/>
        </w:rPr>
      </w:pPr>
    </w:p>
    <w:p w14:paraId="7B28E339" w14:textId="0A0515A5" w:rsidR="00F52E0F" w:rsidRPr="00FC7DD8" w:rsidRDefault="00193689" w:rsidP="001B77B2">
      <w:pPr>
        <w:ind w:firstLine="284"/>
        <w:jc w:val="both"/>
        <w:rPr>
          <w:rStyle w:val="nfasis"/>
          <w:rFonts w:ascii="Times New Roman" w:hAnsi="Times New Roman" w:cs="Times New Roman"/>
          <w:i w:val="0"/>
          <w:iCs w:val="0"/>
          <w:sz w:val="24"/>
          <w:szCs w:val="24"/>
        </w:rPr>
      </w:pPr>
      <w:r>
        <w:rPr>
          <w:rFonts w:ascii="Times New Roman" w:hAnsi="Times New Roman" w:cs="Times New Roman"/>
          <w:sz w:val="24"/>
          <w:szCs w:val="24"/>
        </w:rPr>
        <w:t>La razón de riesgo estimada coincide, en general, con los resultados reportados en investigaciones anteriores</w:t>
      </w:r>
      <w:r w:rsidR="00051A94">
        <w:rPr>
          <w:rFonts w:ascii="Times New Roman" w:hAnsi="Times New Roman" w:cs="Times New Roman"/>
          <w:sz w:val="24"/>
          <w:szCs w:val="24"/>
        </w:rPr>
        <w:t xml:space="preserve"> para </w:t>
      </w:r>
      <w:r w:rsidR="001B77B2">
        <w:rPr>
          <w:rFonts w:ascii="Times New Roman" w:hAnsi="Times New Roman" w:cs="Times New Roman"/>
          <w:sz w:val="24"/>
          <w:szCs w:val="24"/>
        </w:rPr>
        <w:t>el caso colombiano</w:t>
      </w:r>
      <w:r>
        <w:rPr>
          <w:rFonts w:ascii="Times New Roman" w:hAnsi="Times New Roman" w:cs="Times New Roman"/>
          <w:sz w:val="24"/>
          <w:szCs w:val="24"/>
        </w:rPr>
        <w:t xml:space="preserve">. </w:t>
      </w:r>
      <w:r w:rsidR="00051A94">
        <w:rPr>
          <w:rFonts w:ascii="Times New Roman" w:hAnsi="Times New Roman" w:cs="Times New Roman"/>
          <w:sz w:val="24"/>
          <w:szCs w:val="24"/>
        </w:rPr>
        <w:t>A partir de un estudio retrospectivo sobre una cohorte de pacientes en UCI por COVID-19 admitidos en el Hospital Universitario Nacional de Colombia, se documentó un riesgo relativo de 1.05 (95\% 0.72 – 1.53) [Cortes, citar]</w:t>
      </w:r>
      <w:r w:rsidR="001B77B2">
        <w:rPr>
          <w:rFonts w:ascii="Times New Roman" w:hAnsi="Times New Roman" w:cs="Times New Roman"/>
          <w:sz w:val="24"/>
          <w:szCs w:val="24"/>
        </w:rPr>
        <w:t xml:space="preserve">. </w:t>
      </w:r>
      <w:r w:rsidR="00051A94">
        <w:rPr>
          <w:rStyle w:val="nfasis"/>
          <w:rFonts w:ascii="Times New Roman" w:hAnsi="Times New Roman" w:cs="Times New Roman"/>
          <w:i w:val="0"/>
          <w:iCs w:val="0"/>
          <w:color w:val="000000" w:themeColor="text1"/>
          <w:sz w:val="24"/>
          <w:szCs w:val="24"/>
          <w:shd w:val="clear" w:color="auto" w:fill="FFFFFF"/>
        </w:rPr>
        <w:t>Resultados</w:t>
      </w:r>
      <w:r>
        <w:rPr>
          <w:rStyle w:val="nfasis"/>
          <w:rFonts w:ascii="Times New Roman" w:hAnsi="Times New Roman" w:cs="Times New Roman"/>
          <w:i w:val="0"/>
          <w:iCs w:val="0"/>
          <w:color w:val="000000" w:themeColor="text1"/>
          <w:sz w:val="24"/>
          <w:szCs w:val="24"/>
          <w:shd w:val="clear" w:color="auto" w:fill="FFFFFF"/>
        </w:rPr>
        <w:t xml:space="preserve"> </w:t>
      </w:r>
      <w:r w:rsidR="00051A94">
        <w:rPr>
          <w:rStyle w:val="nfasis"/>
          <w:rFonts w:ascii="Times New Roman" w:hAnsi="Times New Roman" w:cs="Times New Roman"/>
          <w:i w:val="0"/>
          <w:iCs w:val="0"/>
          <w:color w:val="000000" w:themeColor="text1"/>
          <w:sz w:val="24"/>
          <w:szCs w:val="24"/>
          <w:shd w:val="clear" w:color="auto" w:fill="FFFFFF"/>
        </w:rPr>
        <w:t xml:space="preserve">similares han sido también </w:t>
      </w:r>
      <w:r>
        <w:rPr>
          <w:rStyle w:val="nfasis"/>
          <w:rFonts w:ascii="Times New Roman" w:hAnsi="Times New Roman" w:cs="Times New Roman"/>
          <w:i w:val="0"/>
          <w:iCs w:val="0"/>
          <w:color w:val="000000" w:themeColor="text1"/>
          <w:sz w:val="24"/>
          <w:szCs w:val="24"/>
          <w:shd w:val="clear" w:color="auto" w:fill="FFFFFF"/>
        </w:rPr>
        <w:t>documentad</w:t>
      </w:r>
      <w:r w:rsidR="00051A94">
        <w:rPr>
          <w:rStyle w:val="nfasis"/>
          <w:rFonts w:ascii="Times New Roman" w:hAnsi="Times New Roman" w:cs="Times New Roman"/>
          <w:i w:val="0"/>
          <w:iCs w:val="0"/>
          <w:color w:val="000000" w:themeColor="text1"/>
          <w:sz w:val="24"/>
          <w:szCs w:val="24"/>
          <w:shd w:val="clear" w:color="auto" w:fill="FFFFFF"/>
        </w:rPr>
        <w:t>o</w:t>
      </w:r>
      <w:r>
        <w:rPr>
          <w:rStyle w:val="nfasis"/>
          <w:rFonts w:ascii="Times New Roman" w:hAnsi="Times New Roman" w:cs="Times New Roman"/>
          <w:i w:val="0"/>
          <w:iCs w:val="0"/>
          <w:color w:val="000000" w:themeColor="text1"/>
          <w:sz w:val="24"/>
          <w:szCs w:val="24"/>
          <w:shd w:val="clear" w:color="auto" w:fill="FFFFFF"/>
        </w:rPr>
        <w:t xml:space="preserve">s en países </w:t>
      </w:r>
      <w:r w:rsidR="00051A94">
        <w:rPr>
          <w:rStyle w:val="nfasis"/>
          <w:rFonts w:ascii="Times New Roman" w:hAnsi="Times New Roman" w:cs="Times New Roman"/>
          <w:i w:val="0"/>
          <w:iCs w:val="0"/>
          <w:color w:val="000000" w:themeColor="text1"/>
          <w:sz w:val="24"/>
          <w:szCs w:val="24"/>
          <w:shd w:val="clear" w:color="auto" w:fill="FFFFFF"/>
        </w:rPr>
        <w:t>fuera de</w:t>
      </w:r>
      <w:r>
        <w:rPr>
          <w:rStyle w:val="nfasis"/>
          <w:rFonts w:ascii="Times New Roman" w:hAnsi="Times New Roman" w:cs="Times New Roman"/>
          <w:i w:val="0"/>
          <w:iCs w:val="0"/>
          <w:color w:val="000000" w:themeColor="text1"/>
          <w:sz w:val="24"/>
          <w:szCs w:val="24"/>
          <w:shd w:val="clear" w:color="auto" w:fill="FFFFFF"/>
        </w:rPr>
        <w:t xml:space="preserve"> la región. </w:t>
      </w:r>
      <w:r w:rsidR="00051A94">
        <w:rPr>
          <w:rFonts w:ascii="Times New Roman" w:hAnsi="Times New Roman" w:cs="Times New Roman"/>
          <w:sz w:val="24"/>
          <w:szCs w:val="24"/>
        </w:rPr>
        <w:t xml:space="preserve">En un estudio temprano de cohorte retrospectivo para pacientes en UCI por COVID-19 en la región Lombardía, Italia, se registró un riesgo relativo de 1.57 (95\% CI: 1.31 – 1.88). </w:t>
      </w:r>
      <w:r w:rsidR="00051A94">
        <w:rPr>
          <w:rFonts w:ascii="Times New Roman" w:hAnsi="Times New Roman" w:cs="Times New Roman"/>
          <w:color w:val="000000" w:themeColor="text1"/>
          <w:sz w:val="24"/>
          <w:szCs w:val="24"/>
        </w:rPr>
        <w:t>U</w:t>
      </w:r>
      <w:r w:rsidR="00051A94" w:rsidRPr="00193689">
        <w:rPr>
          <w:rFonts w:ascii="Times New Roman" w:hAnsi="Times New Roman" w:cs="Times New Roman"/>
          <w:color w:val="000000" w:themeColor="text1"/>
          <w:sz w:val="24"/>
          <w:szCs w:val="24"/>
        </w:rPr>
        <w:t xml:space="preserve">n resultado similar </w:t>
      </w:r>
      <w:r w:rsidR="00051A94">
        <w:rPr>
          <w:rFonts w:ascii="Times New Roman" w:hAnsi="Times New Roman" w:cs="Times New Roman"/>
          <w:color w:val="000000" w:themeColor="text1"/>
          <w:sz w:val="24"/>
          <w:szCs w:val="24"/>
        </w:rPr>
        <w:t>(</w:t>
      </w:r>
      <w:r w:rsidR="00051A94">
        <w:rPr>
          <w:rFonts w:ascii="Times New Roman" w:hAnsi="Times New Roman" w:cs="Times New Roman"/>
          <w:sz w:val="24"/>
          <w:szCs w:val="24"/>
        </w:rPr>
        <w:t xml:space="preserve">1.57 [95\% CI: 1.31 – 1.83]) </w:t>
      </w:r>
      <w:r w:rsidR="00051A94">
        <w:rPr>
          <w:rFonts w:ascii="Times New Roman" w:hAnsi="Times New Roman" w:cs="Times New Roman"/>
          <w:color w:val="000000" w:themeColor="text1"/>
          <w:sz w:val="24"/>
          <w:szCs w:val="24"/>
        </w:rPr>
        <w:t xml:space="preserve">es documentado </w:t>
      </w:r>
      <w:r w:rsidR="00051A94" w:rsidRPr="00193689">
        <w:rPr>
          <w:rFonts w:ascii="Times New Roman" w:hAnsi="Times New Roman" w:cs="Times New Roman"/>
          <w:color w:val="000000" w:themeColor="text1"/>
          <w:sz w:val="24"/>
          <w:szCs w:val="24"/>
        </w:rPr>
        <w:t xml:space="preserve">en un estudio </w:t>
      </w:r>
      <w:r w:rsidR="00051A94">
        <w:rPr>
          <w:rFonts w:ascii="Times New Roman" w:hAnsi="Times New Roman" w:cs="Times New Roman"/>
          <w:color w:val="000000" w:themeColor="text1"/>
          <w:sz w:val="24"/>
          <w:szCs w:val="24"/>
        </w:rPr>
        <w:t>sobre</w:t>
      </w:r>
      <w:r w:rsidR="00051A94" w:rsidRPr="00193689">
        <w:rPr>
          <w:rFonts w:ascii="Times New Roman" w:hAnsi="Times New Roman" w:cs="Times New Roman"/>
          <w:color w:val="000000" w:themeColor="text1"/>
          <w:sz w:val="24"/>
          <w:szCs w:val="24"/>
        </w:rPr>
        <w:t xml:space="preserve"> pacientes en UCI por</w:t>
      </w:r>
      <w:r w:rsidR="00051A94" w:rsidRPr="00193689">
        <w:rPr>
          <w:rFonts w:ascii="Times New Roman" w:hAnsi="Times New Roman" w:cs="Times New Roman"/>
          <w:i/>
          <w:iCs/>
          <w:color w:val="000000" w:themeColor="text1"/>
          <w:sz w:val="24"/>
          <w:szCs w:val="24"/>
          <w:shd w:val="clear" w:color="auto" w:fill="FFFFFF"/>
        </w:rPr>
        <w:t xml:space="preserve"> </w:t>
      </w:r>
      <w:r w:rsidR="00051A94" w:rsidRPr="00193689">
        <w:rPr>
          <w:rStyle w:val="nfasis"/>
          <w:rFonts w:ascii="Times New Roman" w:hAnsi="Times New Roman" w:cs="Times New Roman"/>
          <w:i w:val="0"/>
          <w:iCs w:val="0"/>
          <w:color w:val="000000" w:themeColor="text1"/>
          <w:sz w:val="24"/>
          <w:szCs w:val="24"/>
          <w:shd w:val="clear" w:color="auto" w:fill="FFFFFF"/>
        </w:rPr>
        <w:t>neumonía SARS-CoV-2</w:t>
      </w:r>
      <w:r w:rsidR="00051A94">
        <w:rPr>
          <w:rStyle w:val="nfasis"/>
          <w:rFonts w:ascii="Times New Roman" w:hAnsi="Times New Roman" w:cs="Times New Roman"/>
          <w:i w:val="0"/>
          <w:iCs w:val="0"/>
          <w:color w:val="000000" w:themeColor="text1"/>
          <w:sz w:val="24"/>
          <w:szCs w:val="24"/>
          <w:shd w:val="clear" w:color="auto" w:fill="FFFFFF"/>
        </w:rPr>
        <w:t xml:space="preserve"> admitidos, durante la primera ola de la pandemia, en siete UCIS de una región entre Bélgica, Holanda y Alemania</w:t>
      </w:r>
      <w:r w:rsidR="003F0706">
        <w:rPr>
          <w:rStyle w:val="nfasis"/>
          <w:rFonts w:ascii="Times New Roman" w:hAnsi="Times New Roman" w:cs="Times New Roman"/>
          <w:i w:val="0"/>
          <w:iCs w:val="0"/>
          <w:color w:val="000000" w:themeColor="text1"/>
          <w:sz w:val="24"/>
          <w:szCs w:val="24"/>
          <w:shd w:val="clear" w:color="auto" w:fill="FFFFFF"/>
        </w:rPr>
        <w:t xml:space="preserve"> (véase también Cummings et al., 2020; Haase et al., 2021)</w:t>
      </w:r>
    </w:p>
    <w:p w14:paraId="69B093EF" w14:textId="77777777" w:rsidR="00193689" w:rsidRDefault="00193689" w:rsidP="00192FB6">
      <w:pPr>
        <w:ind w:firstLine="284"/>
        <w:jc w:val="both"/>
        <w:rPr>
          <w:rStyle w:val="nfasis"/>
          <w:rFonts w:ascii="Times New Roman" w:hAnsi="Times New Roman" w:cs="Times New Roman"/>
          <w:i w:val="0"/>
          <w:iCs w:val="0"/>
          <w:color w:val="000000" w:themeColor="text1"/>
          <w:sz w:val="24"/>
          <w:szCs w:val="24"/>
          <w:shd w:val="clear" w:color="auto" w:fill="FFFFFF"/>
        </w:rPr>
      </w:pPr>
    </w:p>
    <w:p w14:paraId="3E1FEB8E" w14:textId="70552520" w:rsidR="00193689" w:rsidRDefault="001B77B2" w:rsidP="00192FB6">
      <w:pPr>
        <w:ind w:firstLine="284"/>
        <w:jc w:val="both"/>
        <w:rPr>
          <w:rFonts w:ascii="Times New Roman" w:hAnsi="Times New Roman" w:cs="Times New Roman"/>
          <w:sz w:val="24"/>
          <w:szCs w:val="24"/>
        </w:rPr>
      </w:pPr>
      <w:r>
        <w:rPr>
          <w:rFonts w:ascii="Times New Roman" w:hAnsi="Times New Roman" w:cs="Times New Roman"/>
          <w:sz w:val="24"/>
          <w:szCs w:val="24"/>
        </w:rPr>
        <w:t>Si bien nuestro estudio documenta que los pacientes de sexo femenino registran una tasa de supervivencia acumulada en UCI superior, la diferencia es pequeña y, en general, no es significativa. La diferencia no significativa se puede explicar, no obstante, en las diferencias de la prevalencia de otros factores de riesgo que, por las limitaciones de la información, no han sido considerados (v.gr.: sistemas de clasificación de severidad de la enfermedad en UCI, tabaquismo y comorbilidades tales como obesidad, hipertensión arterial, enfermedades cardiovasculares preexistentes, etc.).</w:t>
      </w:r>
    </w:p>
    <w:p w14:paraId="61811839" w14:textId="77777777" w:rsidR="00F52E0F" w:rsidRDefault="00F52E0F" w:rsidP="00192FB6">
      <w:pPr>
        <w:ind w:firstLine="284"/>
        <w:jc w:val="both"/>
        <w:rPr>
          <w:rFonts w:ascii="Times New Roman" w:hAnsi="Times New Roman" w:cs="Times New Roman"/>
          <w:sz w:val="24"/>
          <w:szCs w:val="24"/>
        </w:rPr>
      </w:pPr>
    </w:p>
    <w:p w14:paraId="67A16CB0" w14:textId="77777777" w:rsidR="00F52E0F" w:rsidRDefault="00F52E0F" w:rsidP="00192FB6">
      <w:pPr>
        <w:ind w:firstLine="284"/>
        <w:jc w:val="both"/>
        <w:rPr>
          <w:rFonts w:ascii="Times New Roman" w:hAnsi="Times New Roman" w:cs="Times New Roman"/>
          <w:sz w:val="24"/>
          <w:szCs w:val="24"/>
        </w:rPr>
      </w:pPr>
    </w:p>
    <w:p w14:paraId="6CA45F12" w14:textId="77777777" w:rsidR="00F52E0F" w:rsidRDefault="00F52E0F" w:rsidP="00192FB6">
      <w:pPr>
        <w:ind w:firstLine="284"/>
        <w:jc w:val="both"/>
        <w:rPr>
          <w:rFonts w:ascii="Times New Roman" w:hAnsi="Times New Roman" w:cs="Times New Roman"/>
          <w:sz w:val="24"/>
          <w:szCs w:val="24"/>
        </w:rPr>
      </w:pPr>
    </w:p>
    <w:p w14:paraId="49AECC0C" w14:textId="77777777" w:rsidR="00F52E0F" w:rsidRDefault="00F52E0F" w:rsidP="00192FB6">
      <w:pPr>
        <w:ind w:firstLine="284"/>
        <w:jc w:val="both"/>
        <w:rPr>
          <w:rFonts w:ascii="Times New Roman" w:hAnsi="Times New Roman" w:cs="Times New Roman"/>
          <w:sz w:val="24"/>
          <w:szCs w:val="24"/>
        </w:rPr>
      </w:pPr>
    </w:p>
    <w:p w14:paraId="10388DC8" w14:textId="74E61E84" w:rsidR="009C0D8D" w:rsidRDefault="00BD0C47" w:rsidP="009C0D8D">
      <w:pPr>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D67B70">
        <w:rPr>
          <w:rFonts w:ascii="Times New Roman" w:hAnsi="Times New Roman" w:cs="Times New Roman"/>
          <w:sz w:val="24"/>
          <w:szCs w:val="24"/>
        </w:rPr>
        <w:t>La razón de riesgo estimada coincide, en general, con los resultados reportados en</w:t>
      </w:r>
      <w:r>
        <w:rPr>
          <w:rFonts w:ascii="Times New Roman" w:hAnsi="Times New Roman" w:cs="Times New Roman"/>
          <w:sz w:val="24"/>
          <w:szCs w:val="24"/>
        </w:rPr>
        <w:t xml:space="preserve"> </w:t>
      </w:r>
      <w:r w:rsidR="00D67B70">
        <w:rPr>
          <w:rFonts w:ascii="Times New Roman" w:hAnsi="Times New Roman" w:cs="Times New Roman"/>
          <w:sz w:val="24"/>
          <w:szCs w:val="24"/>
        </w:rPr>
        <w:t>investigaciones anteriores. Ejercicios similares han registrado</w:t>
      </w:r>
      <w:r>
        <w:rPr>
          <w:rFonts w:ascii="Times New Roman" w:hAnsi="Times New Roman" w:cs="Times New Roman"/>
          <w:sz w:val="24"/>
          <w:szCs w:val="24"/>
        </w:rPr>
        <w:t>, para el caso de Asia, Europa y Norte América, razones de riesgo de entre 1.13 (95% IC: 0.71 – 1.81)</w:t>
      </w:r>
      <w:r w:rsidR="00192FB6">
        <w:rPr>
          <w:rFonts w:ascii="Times New Roman" w:hAnsi="Times New Roman" w:cs="Times New Roman"/>
          <w:sz w:val="24"/>
          <w:szCs w:val="24"/>
        </w:rPr>
        <w:t xml:space="preserve"> (Cummings et al., </w:t>
      </w:r>
      <w:r w:rsidR="00C87D00">
        <w:rPr>
          <w:rFonts w:ascii="Times New Roman" w:hAnsi="Times New Roman" w:cs="Times New Roman"/>
          <w:sz w:val="24"/>
          <w:szCs w:val="24"/>
        </w:rPr>
        <w:t>2020</w:t>
      </w:r>
      <w:r w:rsidR="00192FB6">
        <w:rPr>
          <w:rFonts w:ascii="Times New Roman" w:hAnsi="Times New Roman" w:cs="Times New Roman"/>
          <w:sz w:val="24"/>
          <w:szCs w:val="24"/>
        </w:rPr>
        <w:t>)</w:t>
      </w:r>
      <w:r>
        <w:rPr>
          <w:rFonts w:ascii="Times New Roman" w:hAnsi="Times New Roman" w:cs="Times New Roman"/>
          <w:sz w:val="24"/>
          <w:szCs w:val="24"/>
        </w:rPr>
        <w:t xml:space="preserve"> y 1.57 (1.31 – 1.83) (</w:t>
      </w:r>
      <w:proofErr w:type="spellStart"/>
      <w:r w:rsidR="00192FB6">
        <w:rPr>
          <w:rFonts w:ascii="Times New Roman" w:hAnsi="Times New Roman" w:cs="Times New Roman"/>
          <w:sz w:val="24"/>
          <w:szCs w:val="24"/>
        </w:rPr>
        <w:t>Meijs</w:t>
      </w:r>
      <w:proofErr w:type="spellEnd"/>
      <w:r w:rsidR="00192FB6">
        <w:rPr>
          <w:rFonts w:ascii="Times New Roman" w:hAnsi="Times New Roman" w:cs="Times New Roman"/>
          <w:sz w:val="24"/>
          <w:szCs w:val="24"/>
        </w:rPr>
        <w:t xml:space="preserve"> et al., 2022</w:t>
      </w:r>
      <w:r>
        <w:rPr>
          <w:rFonts w:ascii="Times New Roman" w:hAnsi="Times New Roman" w:cs="Times New Roman"/>
          <w:sz w:val="24"/>
          <w:szCs w:val="24"/>
        </w:rPr>
        <w:t>)</w:t>
      </w:r>
      <w:r w:rsidR="00C87D00">
        <w:rPr>
          <w:rFonts w:ascii="Times New Roman" w:hAnsi="Times New Roman" w:cs="Times New Roman"/>
          <w:sz w:val="24"/>
          <w:szCs w:val="24"/>
        </w:rPr>
        <w:t xml:space="preserve"> (véase también </w:t>
      </w:r>
      <w:proofErr w:type="spellStart"/>
      <w:r w:rsidR="00C87D00">
        <w:rPr>
          <w:rFonts w:ascii="Times New Roman" w:hAnsi="Times New Roman" w:cs="Times New Roman"/>
          <w:sz w:val="24"/>
          <w:szCs w:val="24"/>
        </w:rPr>
        <w:t>Graselli</w:t>
      </w:r>
      <w:proofErr w:type="spellEnd"/>
      <w:r w:rsidR="00C87D00">
        <w:rPr>
          <w:rFonts w:ascii="Times New Roman" w:hAnsi="Times New Roman" w:cs="Times New Roman"/>
          <w:sz w:val="24"/>
          <w:szCs w:val="24"/>
        </w:rPr>
        <w:t xml:space="preserve"> (2021), Haase (2021))</w:t>
      </w:r>
      <w:r>
        <w:rPr>
          <w:rFonts w:ascii="Times New Roman" w:hAnsi="Times New Roman" w:cs="Times New Roman"/>
          <w:sz w:val="24"/>
          <w:szCs w:val="24"/>
        </w:rPr>
        <w:t xml:space="preserve">; y, </w:t>
      </w:r>
      <w:commentRangeStart w:id="0"/>
      <w:r w:rsidRPr="009C0D8D">
        <w:rPr>
          <w:rFonts w:ascii="Times New Roman" w:hAnsi="Times New Roman" w:cs="Times New Roman"/>
          <w:sz w:val="24"/>
          <w:szCs w:val="24"/>
          <w:highlight w:val="yellow"/>
        </w:rPr>
        <w:t>para el caso de países de la región, de</w:t>
      </w:r>
      <w:r w:rsidR="00C87D00" w:rsidRPr="009C0D8D">
        <w:rPr>
          <w:rFonts w:ascii="Times New Roman" w:hAnsi="Times New Roman" w:cs="Times New Roman"/>
          <w:sz w:val="24"/>
          <w:szCs w:val="24"/>
          <w:highlight w:val="yellow"/>
        </w:rPr>
        <w:t xml:space="preserve"> </w:t>
      </w:r>
      <w:r w:rsidR="005B4E0F" w:rsidRPr="009C0D8D">
        <w:rPr>
          <w:rFonts w:ascii="Times New Roman" w:hAnsi="Times New Roman" w:cs="Times New Roman"/>
          <w:sz w:val="24"/>
          <w:szCs w:val="24"/>
          <w:highlight w:val="yellow"/>
        </w:rPr>
        <w:t>1.78 (1.56 – 2)</w:t>
      </w:r>
      <w:r w:rsidR="009C0D8D" w:rsidRPr="009C0D8D">
        <w:rPr>
          <w:rFonts w:ascii="Times New Roman" w:hAnsi="Times New Roman" w:cs="Times New Roman"/>
          <w:sz w:val="24"/>
          <w:szCs w:val="24"/>
          <w:highlight w:val="yellow"/>
        </w:rPr>
        <w:t>,</w:t>
      </w:r>
      <w:r w:rsidR="00C87D00" w:rsidRPr="009C0D8D">
        <w:rPr>
          <w:rFonts w:ascii="Times New Roman" w:hAnsi="Times New Roman" w:cs="Times New Roman"/>
          <w:sz w:val="24"/>
          <w:szCs w:val="24"/>
          <w:highlight w:val="yellow"/>
        </w:rPr>
        <w:t xml:space="preserve"> en una cohorte de pacientes en Colombia,</w:t>
      </w:r>
      <w:r w:rsidR="005B4E0F" w:rsidRPr="009C0D8D">
        <w:rPr>
          <w:rFonts w:ascii="Times New Roman" w:hAnsi="Times New Roman" w:cs="Times New Roman"/>
          <w:sz w:val="24"/>
          <w:szCs w:val="24"/>
          <w:highlight w:val="yellow"/>
        </w:rPr>
        <w:t xml:space="preserve"> y 2.29 [1.33 – 3.96]</w:t>
      </w:r>
      <w:r w:rsidR="00C87D00" w:rsidRPr="009C0D8D">
        <w:rPr>
          <w:rFonts w:ascii="Times New Roman" w:hAnsi="Times New Roman" w:cs="Times New Roman"/>
          <w:sz w:val="24"/>
          <w:szCs w:val="24"/>
          <w:highlight w:val="yellow"/>
        </w:rPr>
        <w:t>, en un estudio retrospectivo de Brasil</w:t>
      </w:r>
      <w:r w:rsidR="005B4E0F" w:rsidRPr="009C0D8D">
        <w:rPr>
          <w:rFonts w:ascii="Times New Roman" w:hAnsi="Times New Roman" w:cs="Times New Roman"/>
          <w:sz w:val="24"/>
          <w:szCs w:val="24"/>
          <w:highlight w:val="yellow"/>
        </w:rPr>
        <w:t>.</w:t>
      </w:r>
      <w:r w:rsidR="00D67B70">
        <w:rPr>
          <w:rFonts w:ascii="Times New Roman" w:hAnsi="Times New Roman" w:cs="Times New Roman"/>
          <w:sz w:val="24"/>
          <w:szCs w:val="24"/>
        </w:rPr>
        <w:t xml:space="preserve"> </w:t>
      </w:r>
      <w:commentRangeEnd w:id="0"/>
      <w:r w:rsidR="009C0D8D">
        <w:rPr>
          <w:rStyle w:val="Refdecomentario"/>
        </w:rPr>
        <w:commentReference w:id="0"/>
      </w:r>
      <w:r w:rsidR="00D67B70">
        <w:rPr>
          <w:rFonts w:ascii="Times New Roman" w:hAnsi="Times New Roman" w:cs="Times New Roman"/>
          <w:sz w:val="24"/>
          <w:szCs w:val="24"/>
        </w:rPr>
        <w:t xml:space="preserve">Si bien nuestro estudio verifica que los pacientes de sexo femenino registran una tasa de supervivencia acumulada en UCI superior, la diferencia es pequeña y, en general, no es significativa. La </w:t>
      </w:r>
      <w:r w:rsidR="008B4EED">
        <w:rPr>
          <w:rFonts w:ascii="Times New Roman" w:hAnsi="Times New Roman" w:cs="Times New Roman"/>
          <w:sz w:val="24"/>
          <w:szCs w:val="24"/>
        </w:rPr>
        <w:t xml:space="preserve">magnitud de la diferencia se puede explicar, no obstante, en las diferencias de la prevalencia de otros factores de riesgo que, </w:t>
      </w:r>
      <w:r w:rsidR="00C87D00">
        <w:rPr>
          <w:rFonts w:ascii="Times New Roman" w:hAnsi="Times New Roman" w:cs="Times New Roman"/>
          <w:sz w:val="24"/>
          <w:szCs w:val="24"/>
        </w:rPr>
        <w:t>por</w:t>
      </w:r>
      <w:r w:rsidR="008B4EED">
        <w:rPr>
          <w:rFonts w:ascii="Times New Roman" w:hAnsi="Times New Roman" w:cs="Times New Roman"/>
          <w:sz w:val="24"/>
          <w:szCs w:val="24"/>
        </w:rPr>
        <w:t xml:space="preserve"> las limitaciones de la información, no han sido considerados (v.gr.: sistemas de clasificación de severidad de la enfermedad en UCI, tabaquismo y comorbilidades tales como obesidad, hipertensión arterial, enfermedades cardiovasculares preexistentes, etc.).</w:t>
      </w:r>
    </w:p>
    <w:p w14:paraId="51FBB89D" w14:textId="77777777" w:rsidR="00951271" w:rsidRDefault="00951271" w:rsidP="009C0D8D">
      <w:pPr>
        <w:ind w:firstLine="284"/>
        <w:jc w:val="both"/>
        <w:rPr>
          <w:rFonts w:ascii="Times New Roman" w:hAnsi="Times New Roman" w:cs="Times New Roman"/>
          <w:sz w:val="24"/>
          <w:szCs w:val="24"/>
        </w:rPr>
      </w:pPr>
    </w:p>
    <w:p w14:paraId="5AB65FD5" w14:textId="77777777" w:rsidR="00951271" w:rsidRPr="00C87D00" w:rsidRDefault="00951271" w:rsidP="009C0D8D">
      <w:pPr>
        <w:ind w:firstLine="284"/>
        <w:jc w:val="both"/>
        <w:rPr>
          <w:rFonts w:ascii="Times New Roman" w:hAnsi="Times New Roman" w:cs="Times New Roman"/>
          <w:sz w:val="24"/>
          <w:szCs w:val="24"/>
        </w:rPr>
      </w:pPr>
    </w:p>
    <w:p w14:paraId="380786DF" w14:textId="77777777" w:rsidR="009C0D8D" w:rsidRDefault="00682466" w:rsidP="009C0D8D">
      <w:pPr>
        <w:pStyle w:val="Prrafodelista"/>
        <w:numPr>
          <w:ilvl w:val="0"/>
          <w:numId w:val="2"/>
        </w:numPr>
        <w:rPr>
          <w:rFonts w:ascii="Times New Roman" w:hAnsi="Times New Roman" w:cs="Times New Roman"/>
          <w:b/>
          <w:bCs/>
          <w:sz w:val="28"/>
          <w:szCs w:val="28"/>
        </w:rPr>
      </w:pPr>
      <w:r w:rsidRPr="009C0D8D">
        <w:rPr>
          <w:rFonts w:ascii="Times New Roman" w:hAnsi="Times New Roman" w:cs="Times New Roman"/>
          <w:b/>
          <w:bCs/>
          <w:sz w:val="28"/>
          <w:szCs w:val="28"/>
        </w:rPr>
        <w:lastRenderedPageBreak/>
        <w:t>Edad como factor de riesgo (2 párrafos)</w:t>
      </w:r>
    </w:p>
    <w:p w14:paraId="58F5013B" w14:textId="76CF41EF" w:rsidR="00714936" w:rsidRPr="00714936" w:rsidRDefault="00714936" w:rsidP="00714936">
      <w:pPr>
        <w:rPr>
          <w:rFonts w:ascii="Times New Roman" w:hAnsi="Times New Roman" w:cs="Times New Roman"/>
          <w:b/>
          <w:bCs/>
          <w:sz w:val="28"/>
          <w:szCs w:val="28"/>
        </w:rPr>
      </w:pPr>
      <w:r>
        <w:rPr>
          <w:rFonts w:ascii="Times New Roman" w:hAnsi="Times New Roman" w:cs="Times New Roman"/>
          <w:b/>
          <w:bCs/>
          <w:sz w:val="28"/>
          <w:szCs w:val="28"/>
        </w:rPr>
        <w:t>Primer párrafo</w:t>
      </w:r>
    </w:p>
    <w:p w14:paraId="48CA48A6" w14:textId="54D91F7D" w:rsidR="00951271" w:rsidRDefault="009C0D8D" w:rsidP="003D4B8C">
      <w:pPr>
        <w:ind w:firstLine="284"/>
        <w:rPr>
          <w:rFonts w:ascii="Times New Roman" w:hAnsi="Times New Roman" w:cs="Times New Roman"/>
          <w:sz w:val="24"/>
          <w:szCs w:val="24"/>
        </w:rPr>
      </w:pPr>
      <w:r w:rsidRPr="00AD1D33">
        <w:rPr>
          <w:rFonts w:ascii="Times New Roman" w:hAnsi="Times New Roman" w:cs="Times New Roman"/>
          <w:sz w:val="24"/>
          <w:szCs w:val="24"/>
        </w:rPr>
        <w:t>En consonancia con estudios anteriores, nuestra investigación verifica que la edad es un factor de riesgo asociado a la mortalidad en UCI de pacientes con COVID-19.</w:t>
      </w:r>
      <w:r w:rsidR="001770CB">
        <w:rPr>
          <w:rFonts w:ascii="Times New Roman" w:hAnsi="Times New Roman" w:cs="Times New Roman"/>
          <w:sz w:val="24"/>
          <w:szCs w:val="24"/>
        </w:rPr>
        <w:t xml:space="preserve"> [Cifras].</w:t>
      </w:r>
      <w:r w:rsidR="00951271">
        <w:rPr>
          <w:rFonts w:ascii="Times New Roman" w:hAnsi="Times New Roman" w:cs="Times New Roman"/>
          <w:sz w:val="24"/>
          <w:szCs w:val="24"/>
        </w:rPr>
        <w:t xml:space="preserve"> [Tasa de mortalidad estimada] [Valores y estudios]</w:t>
      </w:r>
      <w:r w:rsidR="003D4B8C">
        <w:rPr>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1582"/>
        <w:gridCol w:w="1689"/>
        <w:gridCol w:w="1482"/>
        <w:gridCol w:w="1399"/>
        <w:gridCol w:w="1430"/>
      </w:tblGrid>
      <w:tr w:rsidR="00714936" w14:paraId="64E09B78" w14:textId="50095BCF" w:rsidTr="003D4B8C">
        <w:trPr>
          <w:jc w:val="center"/>
        </w:trPr>
        <w:tc>
          <w:tcPr>
            <w:tcW w:w="1582" w:type="dxa"/>
          </w:tcPr>
          <w:p w14:paraId="6D46B206" w14:textId="34A62D3B" w:rsidR="00714936" w:rsidRPr="003D4B8C" w:rsidRDefault="00714936" w:rsidP="001770CB">
            <w:pPr>
              <w:rPr>
                <w:rFonts w:ascii="Times New Roman" w:hAnsi="Times New Roman" w:cs="Times New Roman"/>
                <w:b/>
                <w:bCs/>
                <w:sz w:val="24"/>
                <w:szCs w:val="24"/>
              </w:rPr>
            </w:pPr>
            <w:r w:rsidRPr="003D4B8C">
              <w:rPr>
                <w:rFonts w:ascii="Times New Roman" w:hAnsi="Times New Roman" w:cs="Times New Roman"/>
                <w:b/>
                <w:bCs/>
                <w:sz w:val="24"/>
                <w:szCs w:val="24"/>
              </w:rPr>
              <w:t>Mortalidad por edad</w:t>
            </w:r>
          </w:p>
        </w:tc>
        <w:tc>
          <w:tcPr>
            <w:tcW w:w="1689" w:type="dxa"/>
          </w:tcPr>
          <w:p w14:paraId="4C2878C7" w14:textId="7BA018D2" w:rsidR="00714936" w:rsidRPr="003D4B8C" w:rsidRDefault="00714936" w:rsidP="001770CB">
            <w:pPr>
              <w:rPr>
                <w:rFonts w:ascii="Times New Roman" w:hAnsi="Times New Roman" w:cs="Times New Roman"/>
                <w:b/>
                <w:bCs/>
                <w:sz w:val="24"/>
                <w:szCs w:val="24"/>
              </w:rPr>
            </w:pPr>
            <w:r w:rsidRPr="003D4B8C">
              <w:rPr>
                <w:rFonts w:ascii="Times New Roman" w:hAnsi="Times New Roman" w:cs="Times New Roman"/>
                <w:b/>
                <w:bCs/>
                <w:sz w:val="24"/>
                <w:szCs w:val="24"/>
              </w:rPr>
              <w:t>País</w:t>
            </w:r>
          </w:p>
        </w:tc>
        <w:tc>
          <w:tcPr>
            <w:tcW w:w="1482" w:type="dxa"/>
          </w:tcPr>
          <w:p w14:paraId="47AE5A03" w14:textId="3846D388" w:rsidR="00714936" w:rsidRPr="003D4B8C" w:rsidRDefault="00714936" w:rsidP="001770CB">
            <w:pPr>
              <w:rPr>
                <w:rFonts w:ascii="Times New Roman" w:hAnsi="Times New Roman" w:cs="Times New Roman"/>
                <w:b/>
                <w:bCs/>
                <w:sz w:val="24"/>
                <w:szCs w:val="24"/>
              </w:rPr>
            </w:pPr>
            <w:r w:rsidRPr="003D4B8C">
              <w:rPr>
                <w:rFonts w:ascii="Times New Roman" w:hAnsi="Times New Roman" w:cs="Times New Roman"/>
                <w:b/>
                <w:bCs/>
                <w:sz w:val="24"/>
                <w:szCs w:val="24"/>
              </w:rPr>
              <w:t>Medida</w:t>
            </w:r>
          </w:p>
        </w:tc>
        <w:tc>
          <w:tcPr>
            <w:tcW w:w="1399" w:type="dxa"/>
          </w:tcPr>
          <w:p w14:paraId="06BFF844" w14:textId="50E4090E" w:rsidR="00714936" w:rsidRPr="003D4B8C" w:rsidRDefault="00714936" w:rsidP="001770CB">
            <w:pPr>
              <w:rPr>
                <w:rFonts w:ascii="Times New Roman" w:hAnsi="Times New Roman" w:cs="Times New Roman"/>
                <w:b/>
                <w:bCs/>
                <w:sz w:val="24"/>
                <w:szCs w:val="24"/>
              </w:rPr>
            </w:pPr>
            <w:proofErr w:type="spellStart"/>
            <w:r w:rsidRPr="003D4B8C">
              <w:rPr>
                <w:rFonts w:ascii="Times New Roman" w:hAnsi="Times New Roman" w:cs="Times New Roman"/>
                <w:b/>
                <w:bCs/>
                <w:sz w:val="24"/>
                <w:szCs w:val="24"/>
              </w:rPr>
              <w:t>Rate</w:t>
            </w:r>
            <w:proofErr w:type="spellEnd"/>
            <w:r w:rsidRPr="003D4B8C">
              <w:rPr>
                <w:rFonts w:ascii="Times New Roman" w:hAnsi="Times New Roman" w:cs="Times New Roman"/>
                <w:b/>
                <w:bCs/>
                <w:sz w:val="24"/>
                <w:szCs w:val="24"/>
              </w:rPr>
              <w:t xml:space="preserve"> (95% IC)</w:t>
            </w:r>
          </w:p>
        </w:tc>
        <w:tc>
          <w:tcPr>
            <w:tcW w:w="1376" w:type="dxa"/>
          </w:tcPr>
          <w:p w14:paraId="1213EA85" w14:textId="160D8AB5" w:rsidR="00714936" w:rsidRPr="003D4B8C" w:rsidRDefault="00714936" w:rsidP="001770CB">
            <w:pPr>
              <w:rPr>
                <w:rFonts w:ascii="Times New Roman" w:hAnsi="Times New Roman" w:cs="Times New Roman"/>
                <w:b/>
                <w:bCs/>
                <w:sz w:val="24"/>
                <w:szCs w:val="24"/>
              </w:rPr>
            </w:pPr>
            <w:r w:rsidRPr="003D4B8C">
              <w:rPr>
                <w:rFonts w:ascii="Times New Roman" w:hAnsi="Times New Roman" w:cs="Times New Roman"/>
                <w:b/>
                <w:bCs/>
                <w:sz w:val="24"/>
                <w:szCs w:val="24"/>
              </w:rPr>
              <w:t>Descripción</w:t>
            </w:r>
          </w:p>
        </w:tc>
      </w:tr>
      <w:tr w:rsidR="00714936" w14:paraId="26550419" w14:textId="2118AD63" w:rsidTr="003D4B8C">
        <w:trPr>
          <w:jc w:val="center"/>
        </w:trPr>
        <w:tc>
          <w:tcPr>
            <w:tcW w:w="1582" w:type="dxa"/>
          </w:tcPr>
          <w:p w14:paraId="17B94435" w14:textId="49396EC0" w:rsidR="00714936" w:rsidRDefault="003D4B8C" w:rsidP="001770CB">
            <w:pPr>
              <w:rPr>
                <w:rFonts w:ascii="Times New Roman" w:hAnsi="Times New Roman" w:cs="Times New Roman"/>
                <w:sz w:val="24"/>
                <w:szCs w:val="24"/>
              </w:rPr>
            </w:pPr>
            <w:proofErr w:type="spellStart"/>
            <w:r>
              <w:rPr>
                <w:rFonts w:ascii="Times New Roman" w:hAnsi="Times New Roman" w:cs="Times New Roman"/>
                <w:sz w:val="24"/>
                <w:szCs w:val="24"/>
              </w:rPr>
              <w:t>Nuetro</w:t>
            </w:r>
            <w:proofErr w:type="spellEnd"/>
            <w:r>
              <w:rPr>
                <w:rFonts w:ascii="Times New Roman" w:hAnsi="Times New Roman" w:cs="Times New Roman"/>
                <w:sz w:val="24"/>
                <w:szCs w:val="24"/>
              </w:rPr>
              <w:t xml:space="preserve"> (65 años)</w:t>
            </w:r>
          </w:p>
        </w:tc>
        <w:tc>
          <w:tcPr>
            <w:tcW w:w="1689" w:type="dxa"/>
          </w:tcPr>
          <w:p w14:paraId="397A512A" w14:textId="4D090DEA" w:rsidR="00714936" w:rsidRDefault="003D4B8C" w:rsidP="001770CB">
            <w:pPr>
              <w:rPr>
                <w:rFonts w:ascii="Times New Roman" w:hAnsi="Times New Roman" w:cs="Times New Roman"/>
                <w:sz w:val="24"/>
                <w:szCs w:val="24"/>
              </w:rPr>
            </w:pPr>
            <w:r>
              <w:rPr>
                <w:rFonts w:ascii="Times New Roman" w:hAnsi="Times New Roman" w:cs="Times New Roman"/>
                <w:sz w:val="24"/>
                <w:szCs w:val="24"/>
              </w:rPr>
              <w:t>Colombia</w:t>
            </w:r>
          </w:p>
        </w:tc>
        <w:tc>
          <w:tcPr>
            <w:tcW w:w="1482" w:type="dxa"/>
          </w:tcPr>
          <w:p w14:paraId="24887CAB" w14:textId="52E400DC" w:rsidR="00714936" w:rsidRDefault="003D4B8C" w:rsidP="001770CB">
            <w:pPr>
              <w:rPr>
                <w:rFonts w:ascii="Times New Roman" w:hAnsi="Times New Roman" w:cs="Times New Roman"/>
                <w:sz w:val="24"/>
                <w:szCs w:val="24"/>
              </w:rPr>
            </w:pPr>
            <w:r>
              <w:rPr>
                <w:rFonts w:ascii="Times New Roman" w:hAnsi="Times New Roman" w:cs="Times New Roman"/>
                <w:sz w:val="24"/>
                <w:szCs w:val="24"/>
              </w:rPr>
              <w:t>65.73%</w:t>
            </w:r>
          </w:p>
        </w:tc>
        <w:tc>
          <w:tcPr>
            <w:tcW w:w="1399" w:type="dxa"/>
          </w:tcPr>
          <w:p w14:paraId="23237FBE" w14:textId="6FC5E324" w:rsidR="00714936" w:rsidRDefault="003D4B8C" w:rsidP="001770CB">
            <w:pPr>
              <w:rPr>
                <w:rFonts w:ascii="Times New Roman" w:hAnsi="Times New Roman" w:cs="Times New Roman"/>
                <w:sz w:val="24"/>
                <w:szCs w:val="24"/>
              </w:rPr>
            </w:pPr>
            <w:r>
              <w:rPr>
                <w:rFonts w:ascii="Times New Roman" w:hAnsi="Times New Roman" w:cs="Times New Roman"/>
                <w:sz w:val="24"/>
                <w:szCs w:val="24"/>
              </w:rPr>
              <w:t>(60.67% - 70.74%)</w:t>
            </w:r>
          </w:p>
        </w:tc>
        <w:tc>
          <w:tcPr>
            <w:tcW w:w="1376" w:type="dxa"/>
          </w:tcPr>
          <w:p w14:paraId="4AC063DD" w14:textId="77777777" w:rsidR="00714936" w:rsidRDefault="00714936" w:rsidP="001770CB">
            <w:pPr>
              <w:rPr>
                <w:rFonts w:ascii="Times New Roman" w:hAnsi="Times New Roman" w:cs="Times New Roman"/>
                <w:sz w:val="24"/>
                <w:szCs w:val="24"/>
              </w:rPr>
            </w:pPr>
          </w:p>
        </w:tc>
      </w:tr>
      <w:tr w:rsidR="00714936" w14:paraId="76D112EA" w14:textId="51C3F844" w:rsidTr="003D4B8C">
        <w:trPr>
          <w:jc w:val="center"/>
        </w:trPr>
        <w:tc>
          <w:tcPr>
            <w:tcW w:w="1582" w:type="dxa"/>
          </w:tcPr>
          <w:p w14:paraId="268B0894" w14:textId="77777777" w:rsidR="00714936" w:rsidRDefault="00714936" w:rsidP="001770CB">
            <w:pPr>
              <w:rPr>
                <w:rFonts w:ascii="Times New Roman" w:hAnsi="Times New Roman" w:cs="Times New Roman"/>
                <w:sz w:val="24"/>
                <w:szCs w:val="24"/>
              </w:rPr>
            </w:pPr>
          </w:p>
        </w:tc>
        <w:tc>
          <w:tcPr>
            <w:tcW w:w="1689" w:type="dxa"/>
          </w:tcPr>
          <w:p w14:paraId="3ED4D2E8" w14:textId="77777777" w:rsidR="00714936" w:rsidRDefault="00714936" w:rsidP="001770CB">
            <w:pPr>
              <w:rPr>
                <w:rFonts w:ascii="Times New Roman" w:hAnsi="Times New Roman" w:cs="Times New Roman"/>
                <w:sz w:val="24"/>
                <w:szCs w:val="24"/>
              </w:rPr>
            </w:pPr>
          </w:p>
        </w:tc>
        <w:tc>
          <w:tcPr>
            <w:tcW w:w="1482" w:type="dxa"/>
          </w:tcPr>
          <w:p w14:paraId="05ABF084" w14:textId="77777777" w:rsidR="00714936" w:rsidRDefault="00714936" w:rsidP="001770CB">
            <w:pPr>
              <w:rPr>
                <w:rFonts w:ascii="Times New Roman" w:hAnsi="Times New Roman" w:cs="Times New Roman"/>
                <w:sz w:val="24"/>
                <w:szCs w:val="24"/>
              </w:rPr>
            </w:pPr>
          </w:p>
        </w:tc>
        <w:tc>
          <w:tcPr>
            <w:tcW w:w="1399" w:type="dxa"/>
          </w:tcPr>
          <w:p w14:paraId="3036B073" w14:textId="77777777" w:rsidR="00714936" w:rsidRDefault="00714936" w:rsidP="001770CB">
            <w:pPr>
              <w:rPr>
                <w:rFonts w:ascii="Times New Roman" w:hAnsi="Times New Roman" w:cs="Times New Roman"/>
                <w:sz w:val="24"/>
                <w:szCs w:val="24"/>
              </w:rPr>
            </w:pPr>
          </w:p>
        </w:tc>
        <w:tc>
          <w:tcPr>
            <w:tcW w:w="1376" w:type="dxa"/>
          </w:tcPr>
          <w:p w14:paraId="66182084" w14:textId="77777777" w:rsidR="00714936" w:rsidRDefault="00714936" w:rsidP="001770CB">
            <w:pPr>
              <w:rPr>
                <w:rFonts w:ascii="Times New Roman" w:hAnsi="Times New Roman" w:cs="Times New Roman"/>
                <w:sz w:val="24"/>
                <w:szCs w:val="24"/>
              </w:rPr>
            </w:pPr>
          </w:p>
        </w:tc>
      </w:tr>
      <w:tr w:rsidR="00714936" w14:paraId="3340606E" w14:textId="46A463A9" w:rsidTr="003D4B8C">
        <w:trPr>
          <w:jc w:val="center"/>
        </w:trPr>
        <w:tc>
          <w:tcPr>
            <w:tcW w:w="1582" w:type="dxa"/>
          </w:tcPr>
          <w:p w14:paraId="4DCF8255" w14:textId="77777777" w:rsidR="00714936" w:rsidRDefault="00714936" w:rsidP="001770CB">
            <w:pPr>
              <w:rPr>
                <w:rFonts w:ascii="Times New Roman" w:hAnsi="Times New Roman" w:cs="Times New Roman"/>
                <w:sz w:val="24"/>
                <w:szCs w:val="24"/>
              </w:rPr>
            </w:pPr>
          </w:p>
        </w:tc>
        <w:tc>
          <w:tcPr>
            <w:tcW w:w="1689" w:type="dxa"/>
          </w:tcPr>
          <w:p w14:paraId="2CC7E34D" w14:textId="77777777" w:rsidR="00714936" w:rsidRDefault="00714936" w:rsidP="001770CB">
            <w:pPr>
              <w:rPr>
                <w:rFonts w:ascii="Times New Roman" w:hAnsi="Times New Roman" w:cs="Times New Roman"/>
                <w:sz w:val="24"/>
                <w:szCs w:val="24"/>
              </w:rPr>
            </w:pPr>
          </w:p>
        </w:tc>
        <w:tc>
          <w:tcPr>
            <w:tcW w:w="1482" w:type="dxa"/>
          </w:tcPr>
          <w:p w14:paraId="0B67D472" w14:textId="77777777" w:rsidR="00714936" w:rsidRDefault="00714936" w:rsidP="001770CB">
            <w:pPr>
              <w:rPr>
                <w:rFonts w:ascii="Times New Roman" w:hAnsi="Times New Roman" w:cs="Times New Roman"/>
                <w:sz w:val="24"/>
                <w:szCs w:val="24"/>
              </w:rPr>
            </w:pPr>
          </w:p>
        </w:tc>
        <w:tc>
          <w:tcPr>
            <w:tcW w:w="1399" w:type="dxa"/>
          </w:tcPr>
          <w:p w14:paraId="294DDA3B" w14:textId="77777777" w:rsidR="00714936" w:rsidRDefault="00714936" w:rsidP="001770CB">
            <w:pPr>
              <w:rPr>
                <w:rFonts w:ascii="Times New Roman" w:hAnsi="Times New Roman" w:cs="Times New Roman"/>
                <w:sz w:val="24"/>
                <w:szCs w:val="24"/>
              </w:rPr>
            </w:pPr>
          </w:p>
        </w:tc>
        <w:tc>
          <w:tcPr>
            <w:tcW w:w="1376" w:type="dxa"/>
          </w:tcPr>
          <w:p w14:paraId="2B901FF7" w14:textId="77777777" w:rsidR="00714936" w:rsidRDefault="00714936" w:rsidP="001770CB">
            <w:pPr>
              <w:rPr>
                <w:rFonts w:ascii="Times New Roman" w:hAnsi="Times New Roman" w:cs="Times New Roman"/>
                <w:sz w:val="24"/>
                <w:szCs w:val="24"/>
              </w:rPr>
            </w:pPr>
          </w:p>
        </w:tc>
      </w:tr>
      <w:tr w:rsidR="00714936" w14:paraId="794B7824" w14:textId="53270AD7" w:rsidTr="003D4B8C">
        <w:trPr>
          <w:jc w:val="center"/>
        </w:trPr>
        <w:tc>
          <w:tcPr>
            <w:tcW w:w="1582" w:type="dxa"/>
          </w:tcPr>
          <w:p w14:paraId="54B4C7D4" w14:textId="77777777" w:rsidR="00714936" w:rsidRDefault="00714936" w:rsidP="001770CB">
            <w:pPr>
              <w:rPr>
                <w:rFonts w:ascii="Times New Roman" w:hAnsi="Times New Roman" w:cs="Times New Roman"/>
                <w:sz w:val="24"/>
                <w:szCs w:val="24"/>
              </w:rPr>
            </w:pPr>
          </w:p>
        </w:tc>
        <w:tc>
          <w:tcPr>
            <w:tcW w:w="1689" w:type="dxa"/>
          </w:tcPr>
          <w:p w14:paraId="3662ECA1" w14:textId="77777777" w:rsidR="00714936" w:rsidRDefault="00714936" w:rsidP="001770CB">
            <w:pPr>
              <w:rPr>
                <w:rFonts w:ascii="Times New Roman" w:hAnsi="Times New Roman" w:cs="Times New Roman"/>
                <w:sz w:val="24"/>
                <w:szCs w:val="24"/>
              </w:rPr>
            </w:pPr>
          </w:p>
        </w:tc>
        <w:tc>
          <w:tcPr>
            <w:tcW w:w="1482" w:type="dxa"/>
          </w:tcPr>
          <w:p w14:paraId="0C1CA373" w14:textId="77777777" w:rsidR="00714936" w:rsidRDefault="00714936" w:rsidP="001770CB">
            <w:pPr>
              <w:rPr>
                <w:rFonts w:ascii="Times New Roman" w:hAnsi="Times New Roman" w:cs="Times New Roman"/>
                <w:sz w:val="24"/>
                <w:szCs w:val="24"/>
              </w:rPr>
            </w:pPr>
          </w:p>
        </w:tc>
        <w:tc>
          <w:tcPr>
            <w:tcW w:w="1399" w:type="dxa"/>
          </w:tcPr>
          <w:p w14:paraId="41B726C7" w14:textId="77777777" w:rsidR="00714936" w:rsidRDefault="00714936" w:rsidP="001770CB">
            <w:pPr>
              <w:rPr>
                <w:rFonts w:ascii="Times New Roman" w:hAnsi="Times New Roman" w:cs="Times New Roman"/>
                <w:sz w:val="24"/>
                <w:szCs w:val="24"/>
              </w:rPr>
            </w:pPr>
          </w:p>
        </w:tc>
        <w:tc>
          <w:tcPr>
            <w:tcW w:w="1376" w:type="dxa"/>
          </w:tcPr>
          <w:p w14:paraId="1BD7B838" w14:textId="77777777" w:rsidR="00714936" w:rsidRDefault="00714936" w:rsidP="001770CB">
            <w:pPr>
              <w:rPr>
                <w:rFonts w:ascii="Times New Roman" w:hAnsi="Times New Roman" w:cs="Times New Roman"/>
                <w:sz w:val="24"/>
                <w:szCs w:val="24"/>
              </w:rPr>
            </w:pPr>
          </w:p>
        </w:tc>
      </w:tr>
    </w:tbl>
    <w:p w14:paraId="5B70CB86" w14:textId="77777777" w:rsidR="003D4B8C" w:rsidRDefault="003D4B8C" w:rsidP="00714936">
      <w:pPr>
        <w:rPr>
          <w:rFonts w:ascii="Times New Roman" w:hAnsi="Times New Roman" w:cs="Times New Roman"/>
          <w:sz w:val="24"/>
          <w:szCs w:val="24"/>
        </w:rPr>
      </w:pPr>
    </w:p>
    <w:p w14:paraId="3DD9448F" w14:textId="77777777" w:rsidR="00FD2764" w:rsidRDefault="003433FD" w:rsidP="00D22EA1">
      <w:pPr>
        <w:ind w:firstLine="284"/>
        <w:jc w:val="both"/>
        <w:rPr>
          <w:rFonts w:ascii="Times New Roman" w:hAnsi="Times New Roman" w:cs="Times New Roman"/>
          <w:sz w:val="24"/>
          <w:szCs w:val="24"/>
        </w:rPr>
      </w:pPr>
      <w:r>
        <w:rPr>
          <w:rFonts w:ascii="Times New Roman" w:hAnsi="Times New Roman" w:cs="Times New Roman"/>
          <w:sz w:val="24"/>
          <w:szCs w:val="24"/>
        </w:rPr>
        <w:t xml:space="preserve">Nuestro estudio documenta una </w:t>
      </w:r>
      <w:r w:rsidR="00747712" w:rsidRPr="003D4B8C">
        <w:rPr>
          <w:rFonts w:ascii="Times New Roman" w:hAnsi="Times New Roman" w:cs="Times New Roman"/>
          <w:sz w:val="24"/>
          <w:szCs w:val="24"/>
        </w:rPr>
        <w:t xml:space="preserve">tasa </w:t>
      </w:r>
      <w:r w:rsidR="001149EF">
        <w:rPr>
          <w:rFonts w:ascii="Times New Roman" w:hAnsi="Times New Roman" w:cs="Times New Roman"/>
          <w:sz w:val="24"/>
          <w:szCs w:val="24"/>
        </w:rPr>
        <w:t xml:space="preserve">relativamente alta </w:t>
      </w:r>
      <w:r w:rsidR="00747712" w:rsidRPr="003D4B8C">
        <w:rPr>
          <w:rFonts w:ascii="Times New Roman" w:hAnsi="Times New Roman" w:cs="Times New Roman"/>
          <w:sz w:val="24"/>
          <w:szCs w:val="24"/>
        </w:rPr>
        <w:t xml:space="preserve">de mortalidad </w:t>
      </w:r>
      <w:r w:rsidR="00341E65">
        <w:rPr>
          <w:rFonts w:ascii="Times New Roman" w:hAnsi="Times New Roman" w:cs="Times New Roman"/>
          <w:sz w:val="24"/>
          <w:szCs w:val="24"/>
        </w:rPr>
        <w:t xml:space="preserve">a los 30 días </w:t>
      </w:r>
      <w:r w:rsidR="001149EF">
        <w:rPr>
          <w:rFonts w:ascii="Times New Roman" w:hAnsi="Times New Roman" w:cs="Times New Roman"/>
          <w:sz w:val="24"/>
          <w:szCs w:val="24"/>
        </w:rPr>
        <w:t xml:space="preserve">para </w:t>
      </w:r>
      <w:r w:rsidR="00747712" w:rsidRPr="003D4B8C">
        <w:rPr>
          <w:rFonts w:ascii="Times New Roman" w:hAnsi="Times New Roman" w:cs="Times New Roman"/>
          <w:sz w:val="24"/>
          <w:szCs w:val="24"/>
        </w:rPr>
        <w:t>pacientes</w:t>
      </w:r>
      <w:r w:rsidR="002B06C6">
        <w:rPr>
          <w:rFonts w:ascii="Times New Roman" w:hAnsi="Times New Roman" w:cs="Times New Roman"/>
          <w:sz w:val="24"/>
          <w:szCs w:val="24"/>
        </w:rPr>
        <w:t xml:space="preserve"> en UCI por COVID-19</w:t>
      </w:r>
      <w:r w:rsidR="00747712" w:rsidRPr="003D4B8C">
        <w:rPr>
          <w:rFonts w:ascii="Times New Roman" w:hAnsi="Times New Roman" w:cs="Times New Roman"/>
          <w:sz w:val="24"/>
          <w:szCs w:val="24"/>
        </w:rPr>
        <w:t xml:space="preserve"> mayores de 65 años (</w:t>
      </w:r>
      <w:r w:rsidR="00321A0B">
        <w:rPr>
          <w:rFonts w:ascii="Times New Roman" w:hAnsi="Times New Roman" w:cs="Times New Roman"/>
          <w:sz w:val="24"/>
          <w:szCs w:val="24"/>
        </w:rPr>
        <w:t>6</w:t>
      </w:r>
      <w:r w:rsidR="00D22EA1">
        <w:rPr>
          <w:rFonts w:ascii="Times New Roman" w:hAnsi="Times New Roman" w:cs="Times New Roman"/>
          <w:sz w:val="24"/>
          <w:szCs w:val="24"/>
        </w:rPr>
        <w:t>5</w:t>
      </w:r>
      <w:r w:rsidR="00321A0B">
        <w:rPr>
          <w:rFonts w:ascii="Times New Roman" w:hAnsi="Times New Roman" w:cs="Times New Roman"/>
          <w:sz w:val="24"/>
          <w:szCs w:val="24"/>
        </w:rPr>
        <w:t>.</w:t>
      </w:r>
      <w:r w:rsidR="00D22EA1">
        <w:rPr>
          <w:rFonts w:ascii="Times New Roman" w:hAnsi="Times New Roman" w:cs="Times New Roman"/>
          <w:sz w:val="24"/>
          <w:szCs w:val="24"/>
        </w:rPr>
        <w:t>68</w:t>
      </w:r>
      <w:r w:rsidR="00321A0B">
        <w:rPr>
          <w:rFonts w:ascii="Times New Roman" w:hAnsi="Times New Roman" w:cs="Times New Roman"/>
          <w:sz w:val="24"/>
          <w:szCs w:val="24"/>
        </w:rPr>
        <w:t xml:space="preserve">% [95% CI: </w:t>
      </w:r>
      <w:r w:rsidR="00D22EA1">
        <w:rPr>
          <w:rFonts w:ascii="Times New Roman" w:hAnsi="Times New Roman" w:cs="Times New Roman"/>
          <w:sz w:val="24"/>
          <w:szCs w:val="24"/>
        </w:rPr>
        <w:t>62</w:t>
      </w:r>
      <w:r w:rsidR="00B525FF">
        <w:rPr>
          <w:rFonts w:ascii="Times New Roman" w:hAnsi="Times New Roman" w:cs="Times New Roman"/>
          <w:sz w:val="24"/>
          <w:szCs w:val="24"/>
        </w:rPr>
        <w:t>.</w:t>
      </w:r>
      <w:r w:rsidR="00D22EA1">
        <w:rPr>
          <w:rFonts w:ascii="Times New Roman" w:hAnsi="Times New Roman" w:cs="Times New Roman"/>
          <w:sz w:val="24"/>
          <w:szCs w:val="24"/>
        </w:rPr>
        <w:t>07</w:t>
      </w:r>
      <w:r w:rsidR="00321A0B">
        <w:rPr>
          <w:rFonts w:ascii="Times New Roman" w:hAnsi="Times New Roman" w:cs="Times New Roman"/>
          <w:sz w:val="24"/>
          <w:szCs w:val="24"/>
        </w:rPr>
        <w:t xml:space="preserve">% - </w:t>
      </w:r>
      <w:r w:rsidR="00B525FF">
        <w:rPr>
          <w:rFonts w:ascii="Times New Roman" w:hAnsi="Times New Roman" w:cs="Times New Roman"/>
          <w:sz w:val="24"/>
          <w:szCs w:val="24"/>
        </w:rPr>
        <w:t>6</w:t>
      </w:r>
      <w:r w:rsidR="00D22EA1">
        <w:rPr>
          <w:rFonts w:ascii="Times New Roman" w:hAnsi="Times New Roman" w:cs="Times New Roman"/>
          <w:sz w:val="24"/>
          <w:szCs w:val="24"/>
        </w:rPr>
        <w:t>9</w:t>
      </w:r>
      <w:r w:rsidR="00B525FF">
        <w:rPr>
          <w:rFonts w:ascii="Times New Roman" w:hAnsi="Times New Roman" w:cs="Times New Roman"/>
          <w:sz w:val="24"/>
          <w:szCs w:val="24"/>
        </w:rPr>
        <w:t>.</w:t>
      </w:r>
      <w:r w:rsidR="00D22EA1">
        <w:rPr>
          <w:rFonts w:ascii="Times New Roman" w:hAnsi="Times New Roman" w:cs="Times New Roman"/>
          <w:sz w:val="24"/>
          <w:szCs w:val="24"/>
        </w:rPr>
        <w:t>29</w:t>
      </w:r>
      <w:r w:rsidR="00321A0B">
        <w:rPr>
          <w:rFonts w:ascii="Times New Roman" w:hAnsi="Times New Roman" w:cs="Times New Roman"/>
          <w:sz w:val="24"/>
          <w:szCs w:val="24"/>
        </w:rPr>
        <w:t>%], según el</w:t>
      </w:r>
      <w:r w:rsidR="00321A0B">
        <w:rPr>
          <w:rFonts w:ascii="Times New Roman" w:hAnsi="Times New Roman" w:cs="Times New Roman"/>
          <w:sz w:val="24"/>
          <w:szCs w:val="24"/>
        </w:rPr>
        <w:t xml:space="preserve"> modelo paramétrico de Gompertz; y </w:t>
      </w:r>
      <w:r w:rsidR="003D4B8C">
        <w:rPr>
          <w:rFonts w:ascii="Times New Roman" w:hAnsi="Times New Roman" w:cs="Times New Roman"/>
          <w:sz w:val="24"/>
          <w:szCs w:val="24"/>
        </w:rPr>
        <w:t>65.73%</w:t>
      </w:r>
      <w:r w:rsidR="003D4B8C">
        <w:rPr>
          <w:rFonts w:ascii="Times New Roman" w:hAnsi="Times New Roman" w:cs="Times New Roman"/>
          <w:sz w:val="24"/>
          <w:szCs w:val="24"/>
        </w:rPr>
        <w:t xml:space="preserve"> [95% CI: </w:t>
      </w:r>
      <w:r w:rsidR="003D4B8C">
        <w:rPr>
          <w:rFonts w:ascii="Times New Roman" w:hAnsi="Times New Roman" w:cs="Times New Roman"/>
          <w:sz w:val="24"/>
          <w:szCs w:val="24"/>
        </w:rPr>
        <w:t>60.67% - 70.74%</w:t>
      </w:r>
      <w:r w:rsidR="003D4B8C">
        <w:rPr>
          <w:rFonts w:ascii="Times New Roman" w:hAnsi="Times New Roman" w:cs="Times New Roman"/>
          <w:sz w:val="24"/>
          <w:szCs w:val="24"/>
        </w:rPr>
        <w:t>]</w:t>
      </w:r>
      <w:r w:rsidR="00321A0B">
        <w:rPr>
          <w:rFonts w:ascii="Times New Roman" w:hAnsi="Times New Roman" w:cs="Times New Roman"/>
          <w:sz w:val="24"/>
          <w:szCs w:val="24"/>
        </w:rPr>
        <w:t>, según el estimador de Kaplan-Meier</w:t>
      </w:r>
      <w:r w:rsidR="00747712" w:rsidRPr="003D4B8C">
        <w:rPr>
          <w:rFonts w:ascii="Times New Roman" w:hAnsi="Times New Roman" w:cs="Times New Roman"/>
          <w:sz w:val="24"/>
          <w:szCs w:val="24"/>
        </w:rPr>
        <w:t>)</w:t>
      </w:r>
      <w:r w:rsidR="00341E65">
        <w:rPr>
          <w:rFonts w:ascii="Times New Roman" w:hAnsi="Times New Roman" w:cs="Times New Roman"/>
          <w:sz w:val="24"/>
          <w:szCs w:val="24"/>
        </w:rPr>
        <w:t xml:space="preserve">. </w:t>
      </w:r>
      <w:r w:rsidR="00B525FF">
        <w:rPr>
          <w:rFonts w:ascii="Times New Roman" w:hAnsi="Times New Roman" w:cs="Times New Roman"/>
          <w:sz w:val="24"/>
          <w:szCs w:val="24"/>
        </w:rPr>
        <w:t xml:space="preserve">El resultado es significativamente superior a la tasa de mortalidad documentada en un amplio estudio sobre una cohorte internacional de pacientes de COVID-19 mayores de 70 años (46%), la cual aumenta en pacientes mayores de 80 años (67%) </w:t>
      </w:r>
      <w:r w:rsidR="00D22EA1">
        <w:rPr>
          <w:rFonts w:ascii="Times New Roman" w:hAnsi="Times New Roman" w:cs="Times New Roman"/>
          <w:sz w:val="24"/>
          <w:szCs w:val="24"/>
        </w:rPr>
        <w:t xml:space="preserve">[1]. </w:t>
      </w:r>
    </w:p>
    <w:p w14:paraId="11DFB8F5" w14:textId="5B614678" w:rsidR="00D22EA1" w:rsidRDefault="00D22EA1" w:rsidP="00D22EA1">
      <w:pPr>
        <w:ind w:firstLine="284"/>
        <w:jc w:val="both"/>
        <w:rPr>
          <w:rFonts w:ascii="Times New Roman" w:hAnsi="Times New Roman" w:cs="Times New Roman"/>
          <w:sz w:val="24"/>
          <w:szCs w:val="24"/>
        </w:rPr>
      </w:pPr>
      <w:r>
        <w:rPr>
          <w:rFonts w:ascii="Times New Roman" w:hAnsi="Times New Roman" w:cs="Times New Roman"/>
          <w:sz w:val="24"/>
          <w:szCs w:val="24"/>
        </w:rPr>
        <w:t>Nuestros hallazgos son, no obstante, cercanos a</w:t>
      </w:r>
      <w:r w:rsidR="001149EF">
        <w:rPr>
          <w:rFonts w:ascii="Times New Roman" w:hAnsi="Times New Roman" w:cs="Times New Roman"/>
          <w:sz w:val="24"/>
          <w:szCs w:val="24"/>
        </w:rPr>
        <w:t xml:space="preserve"> </w:t>
      </w:r>
      <w:r>
        <w:rPr>
          <w:rFonts w:ascii="Times New Roman" w:hAnsi="Times New Roman" w:cs="Times New Roman"/>
          <w:sz w:val="24"/>
          <w:szCs w:val="24"/>
        </w:rPr>
        <w:t>resultados reportados en un estudio retrospectivo multicéntrico en Brasil</w:t>
      </w:r>
      <w:r w:rsidR="003433FD">
        <w:rPr>
          <w:rFonts w:ascii="Times New Roman" w:hAnsi="Times New Roman" w:cs="Times New Roman"/>
          <w:sz w:val="24"/>
          <w:szCs w:val="24"/>
        </w:rPr>
        <w:t xml:space="preserve"> sobre una cohorte de </w:t>
      </w:r>
      <w:r w:rsidR="003433FD" w:rsidRPr="003433FD">
        <w:rPr>
          <w:rFonts w:ascii="Times New Roman" w:hAnsi="Times New Roman" w:cs="Times New Roman"/>
          <w:sz w:val="24"/>
          <w:szCs w:val="24"/>
        </w:rPr>
        <w:t>55,563</w:t>
      </w:r>
      <w:r w:rsidR="003433FD" w:rsidRPr="003433FD">
        <w:rPr>
          <w:rFonts w:ascii="Times New Roman" w:hAnsi="Times New Roman" w:cs="Times New Roman"/>
          <w:sz w:val="24"/>
          <w:szCs w:val="24"/>
        </w:rPr>
        <w:t xml:space="preserve"> </w:t>
      </w:r>
      <w:r w:rsidR="003433FD">
        <w:rPr>
          <w:rFonts w:ascii="Times New Roman" w:hAnsi="Times New Roman" w:cs="Times New Roman"/>
          <w:sz w:val="24"/>
          <w:szCs w:val="24"/>
        </w:rPr>
        <w:t>pacientes críticos de COVID-19</w:t>
      </w:r>
      <w:r w:rsidR="001149EF">
        <w:rPr>
          <w:rFonts w:ascii="Times New Roman" w:hAnsi="Times New Roman" w:cs="Times New Roman"/>
          <w:sz w:val="24"/>
          <w:szCs w:val="24"/>
        </w:rPr>
        <w:t xml:space="preserve">. </w:t>
      </w:r>
      <w:r w:rsidR="003433FD">
        <w:rPr>
          <w:rFonts w:ascii="Times New Roman" w:hAnsi="Times New Roman" w:cs="Times New Roman"/>
          <w:sz w:val="24"/>
          <w:szCs w:val="24"/>
        </w:rPr>
        <w:t>El estudio documenta una la tasa de mortalidad a los 15 días de 55% para pacientes de entre 65 y 74 años; 63%, para pacientes de entre 75 y 84 años; y 71% para pacientes mayores de 85 años [2]. Para una edad media</w:t>
      </w:r>
      <w:r w:rsidR="00216571">
        <w:rPr>
          <w:rFonts w:ascii="Times New Roman" w:hAnsi="Times New Roman" w:cs="Times New Roman"/>
          <w:sz w:val="24"/>
          <w:szCs w:val="24"/>
        </w:rPr>
        <w:t xml:space="preserve"> </w:t>
      </w:r>
      <w:r w:rsidR="003433FD">
        <w:rPr>
          <w:rFonts w:ascii="Times New Roman" w:hAnsi="Times New Roman" w:cs="Times New Roman"/>
          <w:sz w:val="24"/>
          <w:szCs w:val="24"/>
        </w:rPr>
        <w:t>comparable con nuestro estudio</w:t>
      </w:r>
      <w:r w:rsidR="00216571">
        <w:rPr>
          <w:rFonts w:ascii="Times New Roman" w:hAnsi="Times New Roman" w:cs="Times New Roman"/>
          <w:sz w:val="24"/>
          <w:szCs w:val="24"/>
        </w:rPr>
        <w:t xml:space="preserve"> </w:t>
      </w:r>
      <w:r w:rsidR="00216571">
        <w:rPr>
          <w:rFonts w:ascii="Times New Roman" w:hAnsi="Times New Roman" w:cs="Times New Roman"/>
          <w:sz w:val="24"/>
          <w:szCs w:val="24"/>
        </w:rPr>
        <w:t>(66 +/- 10)</w:t>
      </w:r>
      <w:r w:rsidR="003433FD">
        <w:rPr>
          <w:rFonts w:ascii="Times New Roman" w:hAnsi="Times New Roman" w:cs="Times New Roman"/>
          <w:sz w:val="24"/>
          <w:szCs w:val="24"/>
        </w:rPr>
        <w:t>, una tasa de mortalidad a largo plazo similar es documenta en un estudio retrospectivo multicéntrico para 16 UCI de España (60% en pacientes críticos mayores de 70 años) [3].</w:t>
      </w:r>
    </w:p>
    <w:p w14:paraId="09B33B7A" w14:textId="77777777" w:rsidR="00880FE1" w:rsidRPr="00880FE1" w:rsidRDefault="00880FE1" w:rsidP="00880FE1">
      <w:pPr>
        <w:rPr>
          <w:rFonts w:ascii="Times New Roman" w:hAnsi="Times New Roman" w:cs="Times New Roman"/>
          <w:b/>
          <w:bCs/>
          <w:sz w:val="24"/>
          <w:szCs w:val="24"/>
          <w:lang w:val="en-US"/>
        </w:rPr>
      </w:pPr>
    </w:p>
    <w:p w14:paraId="3699A7CC" w14:textId="66E875B8" w:rsidR="005646EC" w:rsidRPr="00146630" w:rsidRDefault="00D22EA1" w:rsidP="00714936">
      <w:pPr>
        <w:rPr>
          <w:rFonts w:ascii="Times New Roman" w:hAnsi="Times New Roman" w:cs="Times New Roman"/>
          <w:sz w:val="24"/>
          <w:szCs w:val="24"/>
        </w:rPr>
      </w:pPr>
      <w:r>
        <w:rPr>
          <w:rFonts w:ascii="Times New Roman" w:hAnsi="Times New Roman" w:cs="Times New Roman"/>
          <w:b/>
          <w:bCs/>
          <w:sz w:val="24"/>
          <w:szCs w:val="24"/>
        </w:rPr>
        <w:t xml:space="preserve"> </w:t>
      </w:r>
    </w:p>
    <w:p w14:paraId="693ED9E6" w14:textId="77777777" w:rsidR="00714936" w:rsidRDefault="00714936" w:rsidP="00714936">
      <w:pPr>
        <w:rPr>
          <w:rFonts w:ascii="Times New Roman" w:hAnsi="Times New Roman" w:cs="Times New Roman"/>
          <w:b/>
          <w:bCs/>
          <w:sz w:val="28"/>
          <w:szCs w:val="28"/>
        </w:rPr>
      </w:pPr>
      <w:r>
        <w:rPr>
          <w:rFonts w:ascii="Times New Roman" w:hAnsi="Times New Roman" w:cs="Times New Roman"/>
          <w:b/>
          <w:bCs/>
          <w:sz w:val="28"/>
          <w:szCs w:val="28"/>
        </w:rPr>
        <w:t xml:space="preserve">Segundo </w:t>
      </w:r>
      <w:r>
        <w:rPr>
          <w:rFonts w:ascii="Times New Roman" w:hAnsi="Times New Roman" w:cs="Times New Roman"/>
          <w:b/>
          <w:bCs/>
          <w:sz w:val="28"/>
          <w:szCs w:val="28"/>
        </w:rPr>
        <w:t>párrafo</w:t>
      </w:r>
    </w:p>
    <w:p w14:paraId="3D24A663" w14:textId="77777777" w:rsidR="00FD2764" w:rsidRDefault="00FD2764" w:rsidP="00714936">
      <w:pPr>
        <w:rPr>
          <w:rFonts w:ascii="Times New Roman" w:hAnsi="Times New Roman" w:cs="Times New Roman"/>
          <w:b/>
          <w:bCs/>
          <w:sz w:val="28"/>
          <w:szCs w:val="28"/>
        </w:rPr>
      </w:pPr>
    </w:p>
    <w:p w14:paraId="79A2A3DA" w14:textId="77777777" w:rsidR="00FD2764" w:rsidRDefault="00FD2764" w:rsidP="00714936">
      <w:pPr>
        <w:rPr>
          <w:rFonts w:ascii="Times New Roman" w:hAnsi="Times New Roman" w:cs="Times New Roman"/>
          <w:b/>
          <w:bCs/>
          <w:sz w:val="28"/>
          <w:szCs w:val="28"/>
        </w:rPr>
      </w:pPr>
    </w:p>
    <w:p w14:paraId="6FB7107A" w14:textId="77777777" w:rsidR="00FD2764" w:rsidRDefault="00FD2764" w:rsidP="00714936">
      <w:pPr>
        <w:rPr>
          <w:rFonts w:ascii="Times New Roman" w:hAnsi="Times New Roman" w:cs="Times New Roman"/>
          <w:b/>
          <w:bCs/>
          <w:sz w:val="28"/>
          <w:szCs w:val="28"/>
        </w:rPr>
      </w:pPr>
    </w:p>
    <w:p w14:paraId="62E59609" w14:textId="77777777" w:rsidR="00FD2764" w:rsidRDefault="00FD2764" w:rsidP="00714936">
      <w:pPr>
        <w:rPr>
          <w:rFonts w:ascii="Times New Roman" w:hAnsi="Times New Roman" w:cs="Times New Roman"/>
          <w:b/>
          <w:bCs/>
          <w:sz w:val="28"/>
          <w:szCs w:val="28"/>
        </w:rPr>
      </w:pPr>
    </w:p>
    <w:p w14:paraId="1CE018EC" w14:textId="77777777" w:rsidR="00FD2764" w:rsidRDefault="00FD2764" w:rsidP="00714936">
      <w:pPr>
        <w:rPr>
          <w:rFonts w:ascii="Times New Roman" w:hAnsi="Times New Roman" w:cs="Times New Roman"/>
          <w:b/>
          <w:bCs/>
          <w:sz w:val="28"/>
          <w:szCs w:val="28"/>
        </w:rPr>
      </w:pPr>
    </w:p>
    <w:p w14:paraId="246586A9" w14:textId="77777777" w:rsidR="00FD2764" w:rsidRDefault="00FD2764" w:rsidP="00714936">
      <w:pPr>
        <w:rPr>
          <w:rFonts w:ascii="Times New Roman" w:hAnsi="Times New Roman" w:cs="Times New Roman"/>
          <w:b/>
          <w:bCs/>
          <w:sz w:val="28"/>
          <w:szCs w:val="28"/>
        </w:rPr>
      </w:pPr>
    </w:p>
    <w:p w14:paraId="4DFE7C20" w14:textId="2F39CB9E" w:rsidR="00FD2764" w:rsidRPr="000853FE" w:rsidRDefault="00FD2764" w:rsidP="00FD2764">
      <w:pPr>
        <w:ind w:firstLine="284"/>
        <w:jc w:val="both"/>
        <w:rPr>
          <w:rFonts w:ascii="Times New Roman" w:hAnsi="Times New Roman" w:cs="Times New Roman"/>
          <w:sz w:val="24"/>
          <w:szCs w:val="24"/>
        </w:rPr>
      </w:pPr>
      <w:r w:rsidRPr="00FD2764">
        <w:rPr>
          <w:rFonts w:ascii="Times New Roman" w:hAnsi="Times New Roman" w:cs="Times New Roman"/>
          <w:sz w:val="24"/>
          <w:szCs w:val="24"/>
        </w:rPr>
        <w:lastRenderedPageBreak/>
        <w:t>Lo mismo valdría decir sobre la razón de riesgo documentad</w:t>
      </w:r>
      <w:r>
        <w:rPr>
          <w:rFonts w:ascii="Times New Roman" w:hAnsi="Times New Roman" w:cs="Times New Roman"/>
          <w:sz w:val="24"/>
          <w:szCs w:val="24"/>
        </w:rPr>
        <w:t>a</w:t>
      </w:r>
      <w:r w:rsidRPr="00FD2764">
        <w:rPr>
          <w:rFonts w:ascii="Times New Roman" w:hAnsi="Times New Roman" w:cs="Times New Roman"/>
          <w:sz w:val="24"/>
          <w:szCs w:val="24"/>
        </w:rPr>
        <w:t xml:space="preserve"> para</w:t>
      </w:r>
      <w:r w:rsidRPr="00FD2764">
        <w:rPr>
          <w:rFonts w:ascii="Times New Roman" w:hAnsi="Times New Roman" w:cs="Times New Roman"/>
          <w:sz w:val="24"/>
          <w:szCs w:val="24"/>
        </w:rPr>
        <w:t xml:space="preserve"> un paciente </w:t>
      </w:r>
      <w:r w:rsidRPr="00FD2764">
        <w:rPr>
          <w:rFonts w:ascii="Times New Roman" w:hAnsi="Times New Roman" w:cs="Times New Roman"/>
          <w:sz w:val="24"/>
          <w:szCs w:val="24"/>
        </w:rPr>
        <w:t>crítico mayor de 65 años</w:t>
      </w:r>
      <w:r w:rsidRPr="00FD2764">
        <w:rPr>
          <w:rFonts w:ascii="Times New Roman" w:hAnsi="Times New Roman" w:cs="Times New Roman"/>
          <w:sz w:val="24"/>
          <w:szCs w:val="24"/>
        </w:rPr>
        <w:t xml:space="preserve"> en comparación con un paciente </w:t>
      </w:r>
      <w:r w:rsidRPr="00FD2764">
        <w:rPr>
          <w:rFonts w:ascii="Times New Roman" w:hAnsi="Times New Roman" w:cs="Times New Roman"/>
          <w:sz w:val="24"/>
          <w:szCs w:val="24"/>
        </w:rPr>
        <w:t xml:space="preserve">crítico menor de 65 años (HR: 2.25 [95% IC: </w:t>
      </w:r>
      <w:r w:rsidRPr="00FD2764">
        <w:rPr>
          <w:rFonts w:ascii="Times New Roman" w:hAnsi="Times New Roman" w:cs="Times New Roman"/>
          <w:sz w:val="24"/>
          <w:szCs w:val="24"/>
          <w:shd w:val="clear" w:color="auto" w:fill="FFFFFF"/>
        </w:rPr>
        <w:t>1.89 - 2.68</w:t>
      </w:r>
      <w:r w:rsidRPr="00FD2764">
        <w:rPr>
          <w:rFonts w:ascii="Times New Roman" w:hAnsi="Times New Roman" w:cs="Times New Roman"/>
          <w:sz w:val="24"/>
          <w:szCs w:val="24"/>
          <w:shd w:val="clear" w:color="auto" w:fill="FFFFFF"/>
        </w:rPr>
        <w:t>]</w:t>
      </w:r>
      <w:r w:rsidRPr="00FD2764">
        <w:rPr>
          <w:rFonts w:ascii="Times New Roman" w:hAnsi="Times New Roman" w:cs="Times New Roman"/>
          <w:sz w:val="24"/>
          <w:szCs w:val="24"/>
        </w:rPr>
        <w:t xml:space="preserve">). </w:t>
      </w:r>
      <w:r>
        <w:rPr>
          <w:rFonts w:ascii="Times New Roman" w:hAnsi="Times New Roman" w:cs="Times New Roman"/>
          <w:sz w:val="24"/>
          <w:szCs w:val="24"/>
        </w:rPr>
        <w:t xml:space="preserve">Dada una cohorte de pacientes en UCI por COVID-19 con edad mediana de 68 años (9 – 75), una estudio en Dinamarca documentó un resultado similar considerando, como grupo de referencia, a los pacientes de entre 60 y 69 (HR: 1.91 [95% CI: 1.19 – 3.05], para pacientes de 70 a 79 años; y </w:t>
      </w:r>
      <w:r>
        <w:rPr>
          <w:rFonts w:ascii="Times New Roman" w:hAnsi="Times New Roman" w:cs="Times New Roman"/>
          <w:sz w:val="24"/>
          <w:szCs w:val="24"/>
        </w:rPr>
        <w:t xml:space="preserve">HR: </w:t>
      </w:r>
      <w:r>
        <w:rPr>
          <w:rFonts w:ascii="Times New Roman" w:hAnsi="Times New Roman" w:cs="Times New Roman"/>
          <w:sz w:val="24"/>
          <w:szCs w:val="24"/>
        </w:rPr>
        <w:t>2.64</w:t>
      </w:r>
      <w:r>
        <w:rPr>
          <w:rFonts w:ascii="Times New Roman" w:hAnsi="Times New Roman" w:cs="Times New Roman"/>
          <w:sz w:val="24"/>
          <w:szCs w:val="24"/>
        </w:rPr>
        <w:t xml:space="preserve"> [95% CI: 1.</w:t>
      </w:r>
      <w:r>
        <w:rPr>
          <w:rFonts w:ascii="Times New Roman" w:hAnsi="Times New Roman" w:cs="Times New Roman"/>
          <w:sz w:val="24"/>
          <w:szCs w:val="24"/>
        </w:rPr>
        <w:t>4</w:t>
      </w:r>
      <w:r>
        <w:rPr>
          <w:rFonts w:ascii="Times New Roman" w:hAnsi="Times New Roman" w:cs="Times New Roman"/>
          <w:sz w:val="24"/>
          <w:szCs w:val="24"/>
        </w:rPr>
        <w:t xml:space="preserve">9 – </w:t>
      </w:r>
      <w:r>
        <w:rPr>
          <w:rFonts w:ascii="Times New Roman" w:hAnsi="Times New Roman" w:cs="Times New Roman"/>
          <w:sz w:val="24"/>
          <w:szCs w:val="24"/>
        </w:rPr>
        <w:t>4.68</w:t>
      </w:r>
      <w:r>
        <w:rPr>
          <w:rFonts w:ascii="Times New Roman" w:hAnsi="Times New Roman" w:cs="Times New Roman"/>
          <w:sz w:val="24"/>
          <w:szCs w:val="24"/>
        </w:rPr>
        <w:t>],</w:t>
      </w:r>
      <w:r>
        <w:rPr>
          <w:rFonts w:ascii="Times New Roman" w:hAnsi="Times New Roman" w:cs="Times New Roman"/>
          <w:sz w:val="24"/>
          <w:szCs w:val="24"/>
        </w:rPr>
        <w:t xml:space="preserve"> para pacientes mayores de 80 años) [4] (véase también </w:t>
      </w:r>
      <w:proofErr w:type="spellStart"/>
      <w:r>
        <w:rPr>
          <w:rFonts w:ascii="Times New Roman" w:hAnsi="Times New Roman" w:cs="Times New Roman"/>
          <w:sz w:val="24"/>
          <w:szCs w:val="24"/>
        </w:rPr>
        <w:t>Grasselli</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Kukoc</w:t>
      </w:r>
      <w:proofErr w:type="spellEnd"/>
      <w:r>
        <w:rPr>
          <w:rFonts w:ascii="Times New Roman" w:hAnsi="Times New Roman" w:cs="Times New Roman"/>
          <w:sz w:val="24"/>
          <w:szCs w:val="24"/>
        </w:rPr>
        <w:t xml:space="preserve">). Si la edad es incorporada como una variable continua, nuestros hallazgos coinciden con los resultados de un estudio multicéntrico prospectivo sobre  una cohorte ---con imputaciones múltiples--- de paciente críticos en Francia, Bélgica y Suiza </w:t>
      </w:r>
      <w:r w:rsidRPr="00714936">
        <w:rPr>
          <w:rFonts w:ascii="Times New Roman" w:hAnsi="Times New Roman" w:cs="Times New Roman"/>
          <w:sz w:val="24"/>
          <w:szCs w:val="24"/>
        </w:rPr>
        <w:t>(HR: 1.05</w:t>
      </w:r>
      <w:r>
        <w:rPr>
          <w:rFonts w:ascii="Times New Roman" w:hAnsi="Times New Roman" w:cs="Times New Roman"/>
          <w:sz w:val="24"/>
          <w:szCs w:val="24"/>
        </w:rPr>
        <w:t xml:space="preserve"> [95% CI: 1.04 – 1.05])</w:t>
      </w:r>
      <w:r>
        <w:rPr>
          <w:rFonts w:ascii="Times New Roman" w:hAnsi="Times New Roman" w:cs="Times New Roman"/>
          <w:sz w:val="24"/>
          <w:szCs w:val="24"/>
        </w:rPr>
        <w:t xml:space="preserve"> [5] (véase Cuadro S5). Hallazgos similares han sido documentados en países de la región. Para una cohorte de pacientes con ventilación mecánica invasiva en 63 UCI de Argentina, se reporta un riesgo relativo de </w:t>
      </w:r>
      <w:r>
        <w:rPr>
          <w:rFonts w:ascii="Times New Roman" w:hAnsi="Times New Roman" w:cs="Times New Roman"/>
          <w:sz w:val="24"/>
          <w:szCs w:val="24"/>
        </w:rPr>
        <w:t>1.02 [95% IC: 1.01 – 1.03</w:t>
      </w:r>
      <w:r>
        <w:rPr>
          <w:rFonts w:ascii="Times New Roman" w:hAnsi="Times New Roman" w:cs="Times New Roman"/>
          <w:sz w:val="24"/>
          <w:szCs w:val="24"/>
        </w:rPr>
        <w:t xml:space="preserve">] [6]; análogamente, para el caso colombiano, se documenta un riesgo relativo de </w:t>
      </w:r>
      <w:r w:rsidRPr="000853FE">
        <w:rPr>
          <w:rFonts w:ascii="Times New Roman" w:hAnsi="Times New Roman" w:cs="Times New Roman"/>
          <w:sz w:val="24"/>
          <w:szCs w:val="24"/>
        </w:rPr>
        <w:t xml:space="preserve">1.04 </w:t>
      </w:r>
      <w:r>
        <w:rPr>
          <w:rFonts w:ascii="Times New Roman" w:hAnsi="Times New Roman" w:cs="Times New Roman"/>
          <w:sz w:val="24"/>
          <w:szCs w:val="24"/>
        </w:rPr>
        <w:t xml:space="preserve">(95% CI; </w:t>
      </w:r>
      <w:r w:rsidRPr="000853FE">
        <w:rPr>
          <w:rFonts w:ascii="Times New Roman" w:hAnsi="Times New Roman" w:cs="Times New Roman"/>
          <w:sz w:val="24"/>
          <w:szCs w:val="24"/>
        </w:rPr>
        <w:t>1.01</w:t>
      </w:r>
      <w:r>
        <w:rPr>
          <w:rFonts w:ascii="Times New Roman" w:hAnsi="Times New Roman" w:cs="Times New Roman"/>
          <w:sz w:val="24"/>
          <w:szCs w:val="24"/>
        </w:rPr>
        <w:t>-</w:t>
      </w:r>
      <w:r w:rsidRPr="000853FE">
        <w:rPr>
          <w:rFonts w:ascii="Times New Roman" w:hAnsi="Times New Roman" w:cs="Times New Roman"/>
          <w:sz w:val="24"/>
          <w:szCs w:val="24"/>
        </w:rPr>
        <w:t>1.08</w:t>
      </w:r>
      <w:r>
        <w:rPr>
          <w:rFonts w:ascii="Times New Roman" w:hAnsi="Times New Roman" w:cs="Times New Roman"/>
          <w:sz w:val="24"/>
          <w:szCs w:val="24"/>
        </w:rPr>
        <w:t>)</w:t>
      </w:r>
      <w:r>
        <w:rPr>
          <w:rFonts w:ascii="Times New Roman" w:hAnsi="Times New Roman" w:cs="Times New Roman"/>
          <w:sz w:val="24"/>
          <w:szCs w:val="24"/>
        </w:rPr>
        <w:t xml:space="preserve"> [7].</w:t>
      </w:r>
    </w:p>
    <w:p w14:paraId="36ECBB5B" w14:textId="77777777" w:rsidR="00FD2764" w:rsidRPr="006B1979" w:rsidRDefault="00FD2764" w:rsidP="00FD2764">
      <w:pPr>
        <w:jc w:val="both"/>
        <w:rPr>
          <w:rFonts w:ascii="Times New Roman" w:hAnsi="Times New Roman" w:cs="Times New Roman"/>
          <w:sz w:val="24"/>
          <w:szCs w:val="24"/>
        </w:rPr>
      </w:pPr>
      <w:r>
        <w:rPr>
          <w:rFonts w:ascii="Times New Roman" w:hAnsi="Times New Roman" w:cs="Times New Roman"/>
          <w:b/>
          <w:bCs/>
          <w:sz w:val="24"/>
          <w:szCs w:val="24"/>
        </w:rPr>
        <w:t xml:space="preserve">Estudio local 2: </w:t>
      </w:r>
      <w:r>
        <w:rPr>
          <w:rFonts w:ascii="Times New Roman" w:hAnsi="Times New Roman" w:cs="Times New Roman"/>
          <w:sz w:val="24"/>
          <w:szCs w:val="24"/>
        </w:rPr>
        <w:t xml:space="preserve">Considerando una cohorte de pacientes de COVID-19 con ventilación mecánica invasiva admitidos en 63 </w:t>
      </w:r>
      <w:proofErr w:type="spellStart"/>
      <w:r>
        <w:rPr>
          <w:rFonts w:ascii="Times New Roman" w:hAnsi="Times New Roman" w:cs="Times New Roman"/>
          <w:sz w:val="24"/>
          <w:szCs w:val="24"/>
        </w:rPr>
        <w:t>UCIs</w:t>
      </w:r>
      <w:proofErr w:type="spellEnd"/>
      <w:r>
        <w:rPr>
          <w:rFonts w:ascii="Times New Roman" w:hAnsi="Times New Roman" w:cs="Times New Roman"/>
          <w:sz w:val="24"/>
          <w:szCs w:val="24"/>
        </w:rPr>
        <w:t xml:space="preserve"> de Argentina, Estenssoro (2021) verifica un resultado similar (1.02 [95% IC: 1.01 – 1.03]). La edad mediana de la cohorte es </w:t>
      </w:r>
      <w:r w:rsidRPr="00747712">
        <w:rPr>
          <w:rFonts w:ascii="Times New Roman" w:hAnsi="Times New Roman" w:cs="Times New Roman"/>
          <w:sz w:val="24"/>
          <w:szCs w:val="24"/>
        </w:rPr>
        <w:t xml:space="preserve">62 </w:t>
      </w:r>
      <w:r>
        <w:rPr>
          <w:rFonts w:ascii="Times New Roman" w:hAnsi="Times New Roman" w:cs="Times New Roman"/>
          <w:sz w:val="24"/>
          <w:szCs w:val="24"/>
        </w:rPr>
        <w:t>años</w:t>
      </w:r>
      <w:r w:rsidRPr="00747712">
        <w:rPr>
          <w:rFonts w:ascii="Times New Roman" w:hAnsi="Times New Roman" w:cs="Times New Roman"/>
          <w:sz w:val="24"/>
          <w:szCs w:val="24"/>
        </w:rPr>
        <w:t xml:space="preserve"> (IQR 52–70</w:t>
      </w:r>
      <w:r>
        <w:rPr>
          <w:rFonts w:ascii="Times New Roman" w:hAnsi="Times New Roman" w:cs="Times New Roman"/>
          <w:sz w:val="24"/>
          <w:szCs w:val="24"/>
        </w:rPr>
        <w:t>).</w:t>
      </w:r>
    </w:p>
    <w:p w14:paraId="74B11664" w14:textId="3653EBD6" w:rsidR="00714936" w:rsidRPr="00FD2764" w:rsidRDefault="00FD2764" w:rsidP="00FD2764">
      <w:pPr>
        <w:ind w:firstLine="284"/>
        <w:jc w:val="both"/>
        <w:rPr>
          <w:rFonts w:ascii="Times New Roman" w:hAnsi="Times New Roman" w:cs="Times New Roman"/>
          <w:sz w:val="24"/>
          <w:szCs w:val="24"/>
        </w:rPr>
      </w:pPr>
      <w:r>
        <w:rPr>
          <w:rFonts w:ascii="Times New Roman" w:hAnsi="Times New Roman" w:cs="Times New Roman"/>
          <w:sz w:val="24"/>
          <w:szCs w:val="24"/>
        </w:rPr>
        <w:t xml:space="preserve"> (véase Cuadro S5)</w:t>
      </w:r>
    </w:p>
    <w:p w14:paraId="76767E5A" w14:textId="77777777" w:rsidR="00714936" w:rsidRDefault="00714936" w:rsidP="00714936">
      <w:pPr>
        <w:rPr>
          <w:rFonts w:ascii="Times New Roman" w:hAnsi="Times New Roman" w:cs="Times New Roman"/>
          <w:sz w:val="24"/>
          <w:szCs w:val="24"/>
        </w:rPr>
      </w:pPr>
    </w:p>
    <w:p w14:paraId="41165EB4" w14:textId="4BC2B663" w:rsidR="005646EC" w:rsidRPr="003D4B8C" w:rsidRDefault="005646EC" w:rsidP="006308D5">
      <w:pPr>
        <w:jc w:val="both"/>
        <w:rPr>
          <w:rFonts w:ascii="Times New Roman" w:hAnsi="Times New Roman" w:cs="Times New Roman"/>
          <w:sz w:val="24"/>
          <w:szCs w:val="24"/>
        </w:rPr>
      </w:pPr>
      <w:r>
        <w:rPr>
          <w:rFonts w:ascii="Times New Roman" w:hAnsi="Times New Roman" w:cs="Times New Roman"/>
          <w:b/>
          <w:bCs/>
          <w:sz w:val="24"/>
          <w:szCs w:val="24"/>
        </w:rPr>
        <w:t>Estudio global 1:</w:t>
      </w:r>
      <w:r w:rsidR="003D4B8C">
        <w:rPr>
          <w:rFonts w:ascii="Times New Roman" w:hAnsi="Times New Roman" w:cs="Times New Roman"/>
          <w:b/>
          <w:bCs/>
          <w:sz w:val="24"/>
          <w:szCs w:val="24"/>
        </w:rPr>
        <w:t xml:space="preserve"> </w:t>
      </w:r>
      <w:r w:rsidR="003D4B8C">
        <w:rPr>
          <w:rFonts w:ascii="Times New Roman" w:hAnsi="Times New Roman" w:cs="Times New Roman"/>
          <w:sz w:val="24"/>
          <w:szCs w:val="24"/>
        </w:rPr>
        <w:t>Teniendo en cuente una cohorte de pacientes admitidos en UCI por COVID-19 en Dinamarca, donde la capacidad UCI no estaba excedida, se verificaron los siguientes resultados: La edad mediana es 68 (59 - 75) con una prevalencia de hipertensión arterial (50%) para pacientes de entre 70 y 79 años (1.91 [95% CI: 1.19 – 3.05]) y mayores de 80 años (2.64</w:t>
      </w:r>
      <w:r w:rsidR="006308D5">
        <w:rPr>
          <w:rFonts w:ascii="Times New Roman" w:hAnsi="Times New Roman" w:cs="Times New Roman"/>
          <w:sz w:val="24"/>
          <w:szCs w:val="24"/>
        </w:rPr>
        <w:t xml:space="preserve"> </w:t>
      </w:r>
      <w:r w:rsidR="003D4B8C">
        <w:rPr>
          <w:rFonts w:ascii="Times New Roman" w:hAnsi="Times New Roman" w:cs="Times New Roman"/>
          <w:sz w:val="24"/>
          <w:szCs w:val="24"/>
        </w:rPr>
        <w:t xml:space="preserve">[1.49 – 4.68]), considerando como grupo de referencia a los pacientes de entre 60 y 69 años. </w:t>
      </w:r>
      <w:r w:rsidR="00530B1F">
        <w:rPr>
          <w:rFonts w:ascii="Times New Roman" w:hAnsi="Times New Roman" w:cs="Times New Roman"/>
          <w:sz w:val="24"/>
          <w:szCs w:val="24"/>
        </w:rPr>
        <w:t xml:space="preserve">(véase un resultado similar en </w:t>
      </w:r>
      <w:proofErr w:type="spellStart"/>
      <w:r w:rsidR="00530B1F">
        <w:rPr>
          <w:rFonts w:ascii="Times New Roman" w:hAnsi="Times New Roman" w:cs="Times New Roman"/>
          <w:sz w:val="24"/>
          <w:szCs w:val="24"/>
        </w:rPr>
        <w:t>Kukoc</w:t>
      </w:r>
      <w:proofErr w:type="spellEnd"/>
      <w:r w:rsidR="00530B1F">
        <w:rPr>
          <w:rFonts w:ascii="Times New Roman" w:hAnsi="Times New Roman" w:cs="Times New Roman"/>
          <w:sz w:val="24"/>
          <w:szCs w:val="24"/>
        </w:rPr>
        <w:t>)</w:t>
      </w:r>
    </w:p>
    <w:p w14:paraId="76C26FAB" w14:textId="63B7DBDB" w:rsidR="00747712" w:rsidRDefault="00714936" w:rsidP="00714936">
      <w:pPr>
        <w:jc w:val="both"/>
        <w:rPr>
          <w:rFonts w:ascii="Times New Roman" w:hAnsi="Times New Roman" w:cs="Times New Roman"/>
          <w:sz w:val="24"/>
          <w:szCs w:val="24"/>
        </w:rPr>
      </w:pPr>
      <w:r w:rsidRPr="005646EC">
        <w:rPr>
          <w:rFonts w:ascii="Times New Roman" w:hAnsi="Times New Roman" w:cs="Times New Roman"/>
          <w:b/>
          <w:bCs/>
          <w:sz w:val="24"/>
          <w:szCs w:val="24"/>
        </w:rPr>
        <w:t xml:space="preserve">Estudio global </w:t>
      </w:r>
      <w:r w:rsidR="005646EC">
        <w:rPr>
          <w:rFonts w:ascii="Times New Roman" w:hAnsi="Times New Roman" w:cs="Times New Roman"/>
          <w:b/>
          <w:bCs/>
          <w:sz w:val="24"/>
          <w:szCs w:val="24"/>
        </w:rPr>
        <w:t>2</w:t>
      </w:r>
      <w:r w:rsidRPr="005646EC">
        <w:rPr>
          <w:rFonts w:ascii="Times New Roman" w:hAnsi="Times New Roman" w:cs="Times New Roman"/>
          <w:b/>
          <w:bCs/>
          <w:sz w:val="24"/>
          <w:szCs w:val="24"/>
        </w:rPr>
        <w:t>:</w:t>
      </w:r>
      <w:r>
        <w:rPr>
          <w:rFonts w:ascii="Times New Roman" w:hAnsi="Times New Roman" w:cs="Times New Roman"/>
          <w:sz w:val="24"/>
          <w:szCs w:val="24"/>
        </w:rPr>
        <w:t xml:space="preserve"> </w:t>
      </w:r>
      <w:r w:rsidRPr="00714936">
        <w:rPr>
          <w:rFonts w:ascii="Times New Roman" w:hAnsi="Times New Roman" w:cs="Times New Roman"/>
          <w:sz w:val="24"/>
          <w:szCs w:val="24"/>
        </w:rPr>
        <w:t>A partir de un estudio multicéntrico prospectivo sobe una cohorte de pacientes con COVID-19 admitidos en 138 hospitales en Francia, Bélgica y Suiza con imputaciones múltiples, Schmidt et al (2021) verifica que la edad es un factor asociado a la mortalidad a los 90 días de pacientes con COVID-19 en UCI (HR: 1.05</w:t>
      </w:r>
      <w:r>
        <w:rPr>
          <w:rFonts w:ascii="Times New Roman" w:hAnsi="Times New Roman" w:cs="Times New Roman"/>
          <w:sz w:val="24"/>
          <w:szCs w:val="24"/>
        </w:rPr>
        <w:t xml:space="preserve"> [95% CI: 1.04 – 1.05])</w:t>
      </w:r>
      <w:r w:rsidR="00697643">
        <w:rPr>
          <w:rFonts w:ascii="Times New Roman" w:hAnsi="Times New Roman" w:cs="Times New Roman"/>
          <w:sz w:val="24"/>
          <w:szCs w:val="24"/>
        </w:rPr>
        <w:t xml:space="preserve">. </w:t>
      </w:r>
      <w:r w:rsidR="00697643" w:rsidRPr="005646EC">
        <w:rPr>
          <w:rFonts w:ascii="Times New Roman" w:hAnsi="Times New Roman" w:cs="Times New Roman"/>
          <w:sz w:val="24"/>
          <w:szCs w:val="24"/>
        </w:rPr>
        <w:t>Un resultado análogo es alcanzado por nuestro estudio cuando la variable edad se considera continua</w:t>
      </w:r>
      <w:r w:rsidR="005646EC" w:rsidRPr="005646EC">
        <w:rPr>
          <w:rFonts w:ascii="Times New Roman" w:hAnsi="Times New Roman" w:cs="Times New Roman"/>
          <w:sz w:val="24"/>
          <w:szCs w:val="24"/>
        </w:rPr>
        <w:t xml:space="preserve"> (</w:t>
      </w:r>
      <w:r w:rsidR="005646EC" w:rsidRPr="005646EC">
        <w:rPr>
          <w:rFonts w:ascii="Times New Roman" w:hAnsi="Times New Roman" w:cs="Times New Roman"/>
          <w:sz w:val="24"/>
          <w:szCs w:val="24"/>
          <w:shd w:val="clear" w:color="auto" w:fill="FFFFFF"/>
        </w:rPr>
        <w:t xml:space="preserve">1.0345 </w:t>
      </w:r>
      <w:r w:rsidR="005646EC" w:rsidRPr="005646EC">
        <w:rPr>
          <w:rFonts w:ascii="Times New Roman" w:hAnsi="Times New Roman" w:cs="Times New Roman"/>
          <w:sz w:val="24"/>
          <w:szCs w:val="24"/>
          <w:shd w:val="clear" w:color="auto" w:fill="FFFFFF"/>
        </w:rPr>
        <w:t xml:space="preserve">[95%: </w:t>
      </w:r>
      <w:r w:rsidR="005646EC" w:rsidRPr="005646EC">
        <w:rPr>
          <w:rFonts w:ascii="Times New Roman" w:hAnsi="Times New Roman" w:cs="Times New Roman"/>
          <w:sz w:val="24"/>
          <w:szCs w:val="24"/>
          <w:shd w:val="clear" w:color="auto" w:fill="FFFFFF"/>
        </w:rPr>
        <w:t>1.0279 - 1.0412</w:t>
      </w:r>
      <w:r w:rsidR="005646EC" w:rsidRPr="005646EC">
        <w:rPr>
          <w:rFonts w:ascii="Times New Roman" w:hAnsi="Times New Roman" w:cs="Times New Roman"/>
          <w:sz w:val="24"/>
          <w:szCs w:val="24"/>
          <w:shd w:val="clear" w:color="auto" w:fill="FFFFFF"/>
        </w:rPr>
        <w:t>]) (Véase Cuadro S5)</w:t>
      </w:r>
      <w:r w:rsidR="00697643" w:rsidRPr="005646EC">
        <w:rPr>
          <w:rFonts w:ascii="Times New Roman" w:hAnsi="Times New Roman" w:cs="Times New Roman"/>
          <w:sz w:val="24"/>
          <w:szCs w:val="24"/>
        </w:rPr>
        <w:t>.</w:t>
      </w:r>
      <w:r w:rsidR="00697643">
        <w:rPr>
          <w:rFonts w:ascii="Times New Roman" w:hAnsi="Times New Roman" w:cs="Times New Roman"/>
          <w:sz w:val="24"/>
          <w:szCs w:val="24"/>
        </w:rPr>
        <w:t xml:space="preserve"> </w:t>
      </w:r>
      <w:r w:rsidR="00747712">
        <w:rPr>
          <w:rFonts w:ascii="Times New Roman" w:hAnsi="Times New Roman" w:cs="Times New Roman"/>
          <w:sz w:val="24"/>
          <w:szCs w:val="24"/>
        </w:rPr>
        <w:t>La edad mediana es 63 años (54 – 71).</w:t>
      </w:r>
    </w:p>
    <w:p w14:paraId="1E9BD71E" w14:textId="52933006" w:rsidR="001C59C4" w:rsidRPr="001C59C4" w:rsidRDefault="001C59C4" w:rsidP="00714936">
      <w:pPr>
        <w:jc w:val="both"/>
        <w:rPr>
          <w:rFonts w:ascii="Times New Roman" w:hAnsi="Times New Roman" w:cs="Times New Roman"/>
          <w:sz w:val="24"/>
          <w:szCs w:val="24"/>
        </w:rPr>
      </w:pPr>
      <w:r w:rsidRPr="005646EC">
        <w:rPr>
          <w:rFonts w:ascii="Times New Roman" w:hAnsi="Times New Roman" w:cs="Times New Roman"/>
          <w:b/>
          <w:bCs/>
          <w:sz w:val="24"/>
          <w:szCs w:val="24"/>
        </w:rPr>
        <w:t xml:space="preserve">Estudio global </w:t>
      </w:r>
      <w:r>
        <w:rPr>
          <w:rFonts w:ascii="Times New Roman" w:hAnsi="Times New Roman" w:cs="Times New Roman"/>
          <w:b/>
          <w:bCs/>
          <w:sz w:val="24"/>
          <w:szCs w:val="24"/>
        </w:rPr>
        <w:t>3</w:t>
      </w:r>
      <w:r w:rsidRPr="005646E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En el estudio para la región de Lombardía, con una edad mediana de 63 (55 - 69), se verifica que un incremento en 10 años en la edad está asociado significativamente con la mortalidad (HR: 1.86, 95% CI: 1.76 – 1.96). Todavía más, para el caso de pacientes de entre 64 y 69 años (2.98 (2.56 – 3.46)) y mayores de 69 años (4.25 (3.68 – 4.92))</w:t>
      </w:r>
    </w:p>
    <w:p w14:paraId="69525FAC" w14:textId="218B4428" w:rsidR="005646EC" w:rsidRDefault="005646EC" w:rsidP="00714936">
      <w:pPr>
        <w:jc w:val="both"/>
        <w:rPr>
          <w:rFonts w:ascii="Times New Roman" w:hAnsi="Times New Roman" w:cs="Times New Roman"/>
          <w:sz w:val="24"/>
          <w:szCs w:val="24"/>
        </w:rPr>
      </w:pPr>
    </w:p>
    <w:p w14:paraId="1B26257C" w14:textId="242CDDA6" w:rsidR="005646EC" w:rsidRPr="000853FE" w:rsidRDefault="005646EC" w:rsidP="00714936">
      <w:pPr>
        <w:jc w:val="both"/>
        <w:rPr>
          <w:rFonts w:ascii="Times New Roman" w:hAnsi="Times New Roman" w:cs="Times New Roman"/>
          <w:sz w:val="24"/>
          <w:szCs w:val="24"/>
        </w:rPr>
      </w:pPr>
      <w:r>
        <w:rPr>
          <w:rFonts w:ascii="Times New Roman" w:hAnsi="Times New Roman" w:cs="Times New Roman"/>
          <w:b/>
          <w:bCs/>
          <w:sz w:val="24"/>
          <w:szCs w:val="24"/>
        </w:rPr>
        <w:t>Estudio local 1:</w:t>
      </w:r>
      <w:r w:rsidR="000853FE">
        <w:rPr>
          <w:rFonts w:ascii="Times New Roman" w:hAnsi="Times New Roman" w:cs="Times New Roman"/>
          <w:b/>
          <w:bCs/>
          <w:sz w:val="24"/>
          <w:szCs w:val="24"/>
        </w:rPr>
        <w:t xml:space="preserve"> </w:t>
      </w:r>
      <w:r w:rsidR="000853FE">
        <w:rPr>
          <w:rFonts w:ascii="Times New Roman" w:hAnsi="Times New Roman" w:cs="Times New Roman"/>
          <w:sz w:val="24"/>
          <w:szCs w:val="24"/>
        </w:rPr>
        <w:t>en el mismo estudio de Colombia, se  registró (HR:</w:t>
      </w:r>
      <w:r w:rsidR="000853FE" w:rsidRPr="000853FE">
        <w:rPr>
          <w:rFonts w:ascii="Times New Roman" w:hAnsi="Times New Roman" w:cs="Times New Roman"/>
          <w:sz w:val="24"/>
          <w:szCs w:val="24"/>
        </w:rPr>
        <w:t>1.04 1.01</w:t>
      </w:r>
      <w:r w:rsidR="000853FE">
        <w:rPr>
          <w:rFonts w:ascii="Times New Roman" w:hAnsi="Times New Roman" w:cs="Times New Roman"/>
          <w:sz w:val="24"/>
          <w:szCs w:val="24"/>
        </w:rPr>
        <w:t>-</w:t>
      </w:r>
      <w:r w:rsidR="000853FE" w:rsidRPr="000853FE">
        <w:rPr>
          <w:rFonts w:ascii="Times New Roman" w:hAnsi="Times New Roman" w:cs="Times New Roman"/>
          <w:sz w:val="24"/>
          <w:szCs w:val="24"/>
        </w:rPr>
        <w:t>1.08</w:t>
      </w:r>
      <w:r w:rsidR="000853FE">
        <w:rPr>
          <w:rFonts w:ascii="Times New Roman" w:hAnsi="Times New Roman" w:cs="Times New Roman"/>
          <w:sz w:val="24"/>
          <w:szCs w:val="24"/>
        </w:rPr>
        <w:t>)</w:t>
      </w:r>
    </w:p>
    <w:p w14:paraId="25DED6BA" w14:textId="0476A19C" w:rsidR="005646EC" w:rsidRPr="006B1979" w:rsidRDefault="005646EC" w:rsidP="00714936">
      <w:pPr>
        <w:jc w:val="both"/>
        <w:rPr>
          <w:rFonts w:ascii="Times New Roman" w:hAnsi="Times New Roman" w:cs="Times New Roman"/>
          <w:sz w:val="24"/>
          <w:szCs w:val="24"/>
        </w:rPr>
      </w:pPr>
      <w:r>
        <w:rPr>
          <w:rFonts w:ascii="Times New Roman" w:hAnsi="Times New Roman" w:cs="Times New Roman"/>
          <w:b/>
          <w:bCs/>
          <w:sz w:val="24"/>
          <w:szCs w:val="24"/>
        </w:rPr>
        <w:t>Estudio local 2:</w:t>
      </w:r>
      <w:r w:rsidR="006B1979">
        <w:rPr>
          <w:rFonts w:ascii="Times New Roman" w:hAnsi="Times New Roman" w:cs="Times New Roman"/>
          <w:b/>
          <w:bCs/>
          <w:sz w:val="24"/>
          <w:szCs w:val="24"/>
        </w:rPr>
        <w:t xml:space="preserve"> </w:t>
      </w:r>
      <w:r w:rsidR="006B1979">
        <w:rPr>
          <w:rFonts w:ascii="Times New Roman" w:hAnsi="Times New Roman" w:cs="Times New Roman"/>
          <w:sz w:val="24"/>
          <w:szCs w:val="24"/>
        </w:rPr>
        <w:t xml:space="preserve">Considerando una cohorte de pacientes de COVID-19 con ventilación mecánica invasiva admitidos en 63 </w:t>
      </w:r>
      <w:proofErr w:type="spellStart"/>
      <w:r w:rsidR="006B1979">
        <w:rPr>
          <w:rFonts w:ascii="Times New Roman" w:hAnsi="Times New Roman" w:cs="Times New Roman"/>
          <w:sz w:val="24"/>
          <w:szCs w:val="24"/>
        </w:rPr>
        <w:t>UCIs</w:t>
      </w:r>
      <w:proofErr w:type="spellEnd"/>
      <w:r w:rsidR="006B1979">
        <w:rPr>
          <w:rFonts w:ascii="Times New Roman" w:hAnsi="Times New Roman" w:cs="Times New Roman"/>
          <w:sz w:val="24"/>
          <w:szCs w:val="24"/>
        </w:rPr>
        <w:t xml:space="preserve"> de Argentina, Estenssoro (2021) verifica un </w:t>
      </w:r>
      <w:r w:rsidR="006B1979">
        <w:rPr>
          <w:rFonts w:ascii="Times New Roman" w:hAnsi="Times New Roman" w:cs="Times New Roman"/>
          <w:sz w:val="24"/>
          <w:szCs w:val="24"/>
        </w:rPr>
        <w:lastRenderedPageBreak/>
        <w:t>resultado similar (1.02 [95% IC: 1.01 – 1.03]).</w:t>
      </w:r>
      <w:r w:rsidR="00747712">
        <w:rPr>
          <w:rFonts w:ascii="Times New Roman" w:hAnsi="Times New Roman" w:cs="Times New Roman"/>
          <w:sz w:val="24"/>
          <w:szCs w:val="24"/>
        </w:rPr>
        <w:t xml:space="preserve"> La edad mediana de la cohorte es </w:t>
      </w:r>
      <w:r w:rsidR="00747712" w:rsidRPr="00747712">
        <w:rPr>
          <w:rFonts w:ascii="Times New Roman" w:hAnsi="Times New Roman" w:cs="Times New Roman"/>
          <w:sz w:val="24"/>
          <w:szCs w:val="24"/>
        </w:rPr>
        <w:t xml:space="preserve">62 </w:t>
      </w:r>
      <w:r w:rsidR="00747712">
        <w:rPr>
          <w:rFonts w:ascii="Times New Roman" w:hAnsi="Times New Roman" w:cs="Times New Roman"/>
          <w:sz w:val="24"/>
          <w:szCs w:val="24"/>
        </w:rPr>
        <w:t>años</w:t>
      </w:r>
      <w:r w:rsidR="00747712" w:rsidRPr="00747712">
        <w:rPr>
          <w:rFonts w:ascii="Times New Roman" w:hAnsi="Times New Roman" w:cs="Times New Roman"/>
          <w:sz w:val="24"/>
          <w:szCs w:val="24"/>
        </w:rPr>
        <w:t xml:space="preserve"> (IQR 52–70</w:t>
      </w:r>
      <w:r w:rsidR="00747712">
        <w:rPr>
          <w:rFonts w:ascii="Times New Roman" w:hAnsi="Times New Roman" w:cs="Times New Roman"/>
          <w:sz w:val="24"/>
          <w:szCs w:val="24"/>
        </w:rPr>
        <w:t>).</w:t>
      </w:r>
    </w:p>
    <w:p w14:paraId="3A37F362" w14:textId="182D4113" w:rsidR="00714936" w:rsidRDefault="00697643" w:rsidP="00714936">
      <w:pPr>
        <w:jc w:val="both"/>
        <w:rPr>
          <w:rFonts w:ascii="Times New Roman" w:hAnsi="Times New Roman" w:cs="Times New Roman"/>
          <w:sz w:val="24"/>
          <w:szCs w:val="24"/>
        </w:rPr>
      </w:pPr>
      <w:r>
        <w:rPr>
          <w:rFonts w:ascii="Times New Roman" w:hAnsi="Times New Roman" w:cs="Times New Roman"/>
          <w:sz w:val="24"/>
          <w:szCs w:val="24"/>
        </w:rPr>
        <w:t>Nótese que el Cuadro II se debe cambiar por el siguiente cuadro:</w:t>
      </w:r>
    </w:p>
    <w:p w14:paraId="12CFF853" w14:textId="77777777" w:rsidR="00697643" w:rsidRDefault="00697643" w:rsidP="00714936">
      <w:pPr>
        <w:jc w:val="both"/>
        <w:rPr>
          <w:rFonts w:ascii="Times New Roman" w:hAnsi="Times New Roman" w:cs="Times New Roman"/>
          <w:sz w:val="24"/>
          <w:szCs w:val="24"/>
        </w:rPr>
      </w:pPr>
    </w:p>
    <w:p w14:paraId="1D05D0B7" w14:textId="77777777" w:rsidR="00FD20B8" w:rsidRDefault="00FD20B8" w:rsidP="00714936">
      <w:pPr>
        <w:jc w:val="both"/>
        <w:rPr>
          <w:rFonts w:ascii="Times New Roman" w:hAnsi="Times New Roman" w:cs="Times New Roman"/>
          <w:sz w:val="24"/>
          <w:szCs w:val="24"/>
        </w:rPr>
      </w:pPr>
    </w:p>
    <w:p w14:paraId="337904EA" w14:textId="77777777" w:rsidR="00FD20B8" w:rsidRDefault="00FD20B8" w:rsidP="00714936">
      <w:pPr>
        <w:jc w:val="both"/>
        <w:rPr>
          <w:rFonts w:ascii="Times New Roman" w:hAnsi="Times New Roman" w:cs="Times New Roman"/>
          <w:sz w:val="24"/>
          <w:szCs w:val="24"/>
        </w:rPr>
      </w:pPr>
    </w:p>
    <w:tbl>
      <w:tblPr>
        <w:tblStyle w:val="Tablaconcuadrcula"/>
        <w:tblW w:w="8642" w:type="dxa"/>
        <w:tblLook w:val="04A0" w:firstRow="1" w:lastRow="0" w:firstColumn="1" w:lastColumn="0" w:noHBand="0" w:noVBand="1"/>
      </w:tblPr>
      <w:tblGrid>
        <w:gridCol w:w="704"/>
        <w:gridCol w:w="2693"/>
        <w:gridCol w:w="1236"/>
        <w:gridCol w:w="2450"/>
        <w:gridCol w:w="1559"/>
      </w:tblGrid>
      <w:tr w:rsidR="00FD20B8" w:rsidRPr="00FD20B8" w14:paraId="20A7D170" w14:textId="77777777" w:rsidTr="005A7AC2">
        <w:tc>
          <w:tcPr>
            <w:tcW w:w="704" w:type="dxa"/>
          </w:tcPr>
          <w:p w14:paraId="3D34DB0C" w14:textId="77777777" w:rsidR="00FD20B8" w:rsidRDefault="00FD20B8" w:rsidP="00714936">
            <w:pPr>
              <w:jc w:val="both"/>
              <w:rPr>
                <w:rFonts w:ascii="Times New Roman" w:hAnsi="Times New Roman" w:cs="Times New Roman"/>
                <w:sz w:val="24"/>
                <w:szCs w:val="24"/>
              </w:rPr>
            </w:pPr>
          </w:p>
        </w:tc>
        <w:tc>
          <w:tcPr>
            <w:tcW w:w="3929" w:type="dxa"/>
            <w:gridSpan w:val="2"/>
          </w:tcPr>
          <w:p w14:paraId="136AEC06" w14:textId="4CC520B2" w:rsidR="00FD20B8" w:rsidRDefault="00FD20B8" w:rsidP="00FD20B8">
            <w:pPr>
              <w:jc w:val="center"/>
              <w:rPr>
                <w:rFonts w:ascii="Times New Roman" w:hAnsi="Times New Roman" w:cs="Times New Roman"/>
                <w:sz w:val="24"/>
                <w:szCs w:val="24"/>
              </w:rPr>
            </w:pP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w:t>
            </w:r>
          </w:p>
        </w:tc>
        <w:tc>
          <w:tcPr>
            <w:tcW w:w="4009" w:type="dxa"/>
            <w:gridSpan w:val="2"/>
          </w:tcPr>
          <w:p w14:paraId="389CACF4" w14:textId="727561DC" w:rsidR="00FD20B8" w:rsidRPr="00FD20B8" w:rsidRDefault="00FD20B8" w:rsidP="00FD20B8">
            <w:pPr>
              <w:jc w:val="center"/>
              <w:rPr>
                <w:rFonts w:ascii="Times New Roman" w:hAnsi="Times New Roman" w:cs="Times New Roman"/>
                <w:sz w:val="24"/>
                <w:szCs w:val="24"/>
                <w:lang w:val="en-US"/>
              </w:rPr>
            </w:pPr>
            <w:r w:rsidRPr="00FD20B8">
              <w:rPr>
                <w:rFonts w:ascii="Times New Roman" w:hAnsi="Times New Roman" w:cs="Times New Roman"/>
                <w:sz w:val="24"/>
                <w:szCs w:val="24"/>
                <w:lang w:val="en-US"/>
              </w:rPr>
              <w:t xml:space="preserve">All (age </w:t>
            </w:r>
            <w:r w:rsidRPr="00FD20B8">
              <w:rPr>
                <w:rFonts w:ascii="Times New Roman" w:hAnsi="Times New Roman" w:cs="Times New Roman"/>
                <w:sz w:val="24"/>
                <w:szCs w:val="24"/>
                <w:lang w:val="en-US"/>
              </w:rPr>
              <w:t>as continuous variable</w:t>
            </w:r>
            <w:r w:rsidRPr="00FD20B8">
              <w:rPr>
                <w:rFonts w:ascii="Times New Roman" w:hAnsi="Times New Roman" w:cs="Times New Roman"/>
                <w:sz w:val="24"/>
                <w:szCs w:val="24"/>
                <w:lang w:val="en-US"/>
              </w:rPr>
              <w:t>)</w:t>
            </w:r>
          </w:p>
        </w:tc>
      </w:tr>
      <w:tr w:rsidR="00FD20B8" w14:paraId="4EE2C163" w14:textId="77777777" w:rsidTr="005A7AC2">
        <w:tc>
          <w:tcPr>
            <w:tcW w:w="704" w:type="dxa"/>
          </w:tcPr>
          <w:p w14:paraId="611A66D7" w14:textId="128F3785" w:rsidR="00FD20B8" w:rsidRDefault="00FD20B8" w:rsidP="00714936">
            <w:pPr>
              <w:jc w:val="both"/>
              <w:rPr>
                <w:rFonts w:ascii="Times New Roman" w:hAnsi="Times New Roman" w:cs="Times New Roman"/>
                <w:sz w:val="24"/>
                <w:szCs w:val="24"/>
              </w:rPr>
            </w:pPr>
            <w:r>
              <w:rPr>
                <w:rFonts w:ascii="Times New Roman" w:hAnsi="Times New Roman" w:cs="Times New Roman"/>
                <w:sz w:val="24"/>
                <w:szCs w:val="24"/>
              </w:rPr>
              <w:t>Sex</w:t>
            </w:r>
          </w:p>
        </w:tc>
        <w:tc>
          <w:tcPr>
            <w:tcW w:w="2693" w:type="dxa"/>
          </w:tcPr>
          <w:p w14:paraId="4CE825F0" w14:textId="7969EB4E" w:rsidR="00FD20B8" w:rsidRDefault="005A7AC2" w:rsidP="00714936">
            <w:pPr>
              <w:jc w:val="both"/>
              <w:rPr>
                <w:rFonts w:ascii="Times New Roman" w:hAnsi="Times New Roman" w:cs="Times New Roman"/>
                <w:sz w:val="24"/>
                <w:szCs w:val="24"/>
              </w:rPr>
            </w:pPr>
            <w:r w:rsidRPr="005A7AC2">
              <w:rPr>
                <w:rFonts w:ascii="Times New Roman" w:hAnsi="Times New Roman" w:cs="Times New Roman"/>
                <w:sz w:val="24"/>
                <w:szCs w:val="24"/>
              </w:rPr>
              <w:t xml:space="preserve">1.081259 </w:t>
            </w:r>
            <w:r>
              <w:rPr>
                <w:rFonts w:ascii="Times New Roman" w:hAnsi="Times New Roman" w:cs="Times New Roman"/>
                <w:sz w:val="24"/>
                <w:szCs w:val="24"/>
              </w:rPr>
              <w:t>(</w:t>
            </w:r>
            <w:r w:rsidRPr="005A7AC2">
              <w:rPr>
                <w:rFonts w:ascii="Times New Roman" w:hAnsi="Times New Roman" w:cs="Times New Roman"/>
                <w:sz w:val="24"/>
                <w:szCs w:val="24"/>
              </w:rPr>
              <w:t>0.9128059</w:t>
            </w:r>
            <w:r>
              <w:rPr>
                <w:rFonts w:ascii="Times New Roman" w:hAnsi="Times New Roman" w:cs="Times New Roman"/>
                <w:sz w:val="24"/>
                <w:szCs w:val="24"/>
              </w:rPr>
              <w:t xml:space="preserve"> - </w:t>
            </w:r>
            <w:r w:rsidRPr="005A7AC2">
              <w:rPr>
                <w:rFonts w:ascii="Times New Roman" w:hAnsi="Times New Roman" w:cs="Times New Roman"/>
                <w:sz w:val="24"/>
                <w:szCs w:val="24"/>
              </w:rPr>
              <w:t xml:space="preserve"> 1.280799</w:t>
            </w:r>
            <w:r>
              <w:rPr>
                <w:rFonts w:ascii="Times New Roman" w:hAnsi="Times New Roman" w:cs="Times New Roman"/>
                <w:sz w:val="24"/>
                <w:szCs w:val="24"/>
              </w:rPr>
              <w:t>)</w:t>
            </w:r>
          </w:p>
        </w:tc>
        <w:tc>
          <w:tcPr>
            <w:tcW w:w="1236" w:type="dxa"/>
          </w:tcPr>
          <w:p w14:paraId="01044E3E" w14:textId="309F8D17" w:rsidR="00FD20B8" w:rsidRDefault="005A7AC2" w:rsidP="005A7AC2">
            <w:pPr>
              <w:jc w:val="center"/>
              <w:rPr>
                <w:rFonts w:ascii="Times New Roman" w:hAnsi="Times New Roman" w:cs="Times New Roman"/>
                <w:sz w:val="24"/>
                <w:szCs w:val="24"/>
              </w:rPr>
            </w:pPr>
            <w:r w:rsidRPr="005A7AC2">
              <w:rPr>
                <w:rFonts w:ascii="Times New Roman" w:hAnsi="Times New Roman" w:cs="Times New Roman"/>
                <w:sz w:val="24"/>
                <w:szCs w:val="24"/>
              </w:rPr>
              <w:t>0.3659191</w:t>
            </w:r>
          </w:p>
        </w:tc>
        <w:tc>
          <w:tcPr>
            <w:tcW w:w="2450" w:type="dxa"/>
          </w:tcPr>
          <w:p w14:paraId="1D3A6323" w14:textId="5CB31390" w:rsidR="00FD20B8" w:rsidRDefault="005A7AC2" w:rsidP="00714936">
            <w:pPr>
              <w:jc w:val="both"/>
              <w:rPr>
                <w:rFonts w:ascii="Times New Roman" w:hAnsi="Times New Roman" w:cs="Times New Roman"/>
                <w:sz w:val="24"/>
                <w:szCs w:val="24"/>
              </w:rPr>
            </w:pPr>
            <w:r>
              <w:rPr>
                <w:rFonts w:ascii="Times New Roman" w:hAnsi="Times New Roman" w:cs="Times New Roman"/>
                <w:sz w:val="24"/>
                <w:szCs w:val="24"/>
              </w:rPr>
              <w:t>1.0857 (09164 – 1.2862)</w:t>
            </w:r>
          </w:p>
        </w:tc>
        <w:tc>
          <w:tcPr>
            <w:tcW w:w="1559" w:type="dxa"/>
          </w:tcPr>
          <w:p w14:paraId="63F9FB8C" w14:textId="410A627E" w:rsidR="00FD20B8" w:rsidRDefault="005A7AC2" w:rsidP="00714936">
            <w:pPr>
              <w:jc w:val="both"/>
              <w:rPr>
                <w:rFonts w:ascii="Times New Roman" w:hAnsi="Times New Roman" w:cs="Times New Roman"/>
                <w:sz w:val="24"/>
                <w:szCs w:val="24"/>
              </w:rPr>
            </w:pPr>
            <w:r w:rsidRPr="005A7AC2">
              <w:rPr>
                <w:rFonts w:ascii="Times New Roman" w:hAnsi="Times New Roman" w:cs="Times New Roman"/>
                <w:sz w:val="24"/>
                <w:szCs w:val="24"/>
              </w:rPr>
              <w:t>0.3417468</w:t>
            </w:r>
          </w:p>
        </w:tc>
      </w:tr>
      <w:tr w:rsidR="00FD20B8" w14:paraId="061134C1" w14:textId="77777777" w:rsidTr="005A7AC2">
        <w:tc>
          <w:tcPr>
            <w:tcW w:w="704" w:type="dxa"/>
          </w:tcPr>
          <w:p w14:paraId="6C21D02C" w14:textId="7A9D52F9" w:rsidR="00FD20B8" w:rsidRDefault="00FD20B8" w:rsidP="00714936">
            <w:pPr>
              <w:jc w:val="both"/>
              <w:rPr>
                <w:rFonts w:ascii="Times New Roman" w:hAnsi="Times New Roman" w:cs="Times New Roman"/>
                <w:sz w:val="24"/>
                <w:szCs w:val="24"/>
              </w:rPr>
            </w:pPr>
            <w:r>
              <w:rPr>
                <w:rFonts w:ascii="Times New Roman" w:hAnsi="Times New Roman" w:cs="Times New Roman"/>
                <w:sz w:val="24"/>
                <w:szCs w:val="24"/>
              </w:rPr>
              <w:t xml:space="preserve">Age </w:t>
            </w:r>
          </w:p>
        </w:tc>
        <w:tc>
          <w:tcPr>
            <w:tcW w:w="2693" w:type="dxa"/>
          </w:tcPr>
          <w:p w14:paraId="683C26B0" w14:textId="1DB6376A" w:rsidR="00FD20B8" w:rsidRDefault="005A7AC2" w:rsidP="00714936">
            <w:pPr>
              <w:jc w:val="both"/>
              <w:rPr>
                <w:rFonts w:ascii="Times New Roman" w:hAnsi="Times New Roman" w:cs="Times New Roman"/>
                <w:sz w:val="24"/>
                <w:szCs w:val="24"/>
              </w:rPr>
            </w:pPr>
            <w:r w:rsidRPr="005A7AC2">
              <w:rPr>
                <w:rFonts w:ascii="Times New Roman" w:hAnsi="Times New Roman" w:cs="Times New Roman"/>
                <w:sz w:val="24"/>
                <w:szCs w:val="24"/>
              </w:rPr>
              <w:t xml:space="preserve">2.248861 </w:t>
            </w:r>
            <w:r>
              <w:rPr>
                <w:rFonts w:ascii="Times New Roman" w:hAnsi="Times New Roman" w:cs="Times New Roman"/>
                <w:sz w:val="24"/>
                <w:szCs w:val="24"/>
              </w:rPr>
              <w:t>(</w:t>
            </w:r>
            <w:r w:rsidRPr="005A7AC2">
              <w:rPr>
                <w:rFonts w:ascii="Times New Roman" w:hAnsi="Times New Roman" w:cs="Times New Roman"/>
                <w:sz w:val="24"/>
                <w:szCs w:val="24"/>
              </w:rPr>
              <w:t>1.8887101</w:t>
            </w:r>
            <w:r>
              <w:rPr>
                <w:rFonts w:ascii="Times New Roman" w:hAnsi="Times New Roman" w:cs="Times New Roman"/>
                <w:sz w:val="24"/>
                <w:szCs w:val="24"/>
              </w:rPr>
              <w:t xml:space="preserve"> - </w:t>
            </w:r>
            <w:r w:rsidRPr="005A7AC2">
              <w:rPr>
                <w:rFonts w:ascii="Times New Roman" w:hAnsi="Times New Roman" w:cs="Times New Roman"/>
                <w:sz w:val="24"/>
                <w:szCs w:val="24"/>
              </w:rPr>
              <w:t xml:space="preserve"> 2.677688</w:t>
            </w:r>
            <w:r>
              <w:rPr>
                <w:rFonts w:ascii="Times New Roman" w:hAnsi="Times New Roman" w:cs="Times New Roman"/>
                <w:sz w:val="24"/>
                <w:szCs w:val="24"/>
              </w:rPr>
              <w:t>)</w:t>
            </w:r>
          </w:p>
        </w:tc>
        <w:tc>
          <w:tcPr>
            <w:tcW w:w="1236" w:type="dxa"/>
          </w:tcPr>
          <w:p w14:paraId="66A50DC5" w14:textId="743D534E" w:rsidR="00FD20B8" w:rsidRDefault="005A7AC2" w:rsidP="00714936">
            <w:pPr>
              <w:jc w:val="both"/>
              <w:rPr>
                <w:rFonts w:ascii="Times New Roman" w:hAnsi="Times New Roman" w:cs="Times New Roman"/>
                <w:sz w:val="24"/>
                <w:szCs w:val="24"/>
              </w:rPr>
            </w:pPr>
            <w:r>
              <w:rPr>
                <w:rFonts w:ascii="Times New Roman" w:hAnsi="Times New Roman" w:cs="Times New Roman"/>
                <w:sz w:val="24"/>
                <w:szCs w:val="24"/>
              </w:rPr>
              <w:t>0.00000</w:t>
            </w:r>
          </w:p>
        </w:tc>
        <w:tc>
          <w:tcPr>
            <w:tcW w:w="2450" w:type="dxa"/>
          </w:tcPr>
          <w:p w14:paraId="650E249E" w14:textId="01C0AD0E" w:rsidR="00FD20B8" w:rsidRDefault="005A7AC2" w:rsidP="00714936">
            <w:pPr>
              <w:jc w:val="both"/>
              <w:rPr>
                <w:rFonts w:ascii="Times New Roman" w:hAnsi="Times New Roman" w:cs="Times New Roman"/>
                <w:sz w:val="24"/>
                <w:szCs w:val="24"/>
              </w:rPr>
            </w:pPr>
            <w:r w:rsidRPr="005A7AC2">
              <w:rPr>
                <w:rFonts w:ascii="Times New Roman" w:hAnsi="Times New Roman" w:cs="Times New Roman"/>
                <w:sz w:val="24"/>
                <w:szCs w:val="24"/>
              </w:rPr>
              <w:t>1.034</w:t>
            </w:r>
            <w:r w:rsidR="005646EC">
              <w:rPr>
                <w:rFonts w:ascii="Times New Roman" w:hAnsi="Times New Roman" w:cs="Times New Roman"/>
                <w:sz w:val="24"/>
                <w:szCs w:val="24"/>
              </w:rPr>
              <w:t>5</w:t>
            </w:r>
            <w:r>
              <w:rPr>
                <w:rFonts w:ascii="Times New Roman" w:hAnsi="Times New Roman" w:cs="Times New Roman"/>
                <w:sz w:val="24"/>
                <w:szCs w:val="24"/>
              </w:rPr>
              <w:t xml:space="preserve"> (</w:t>
            </w:r>
            <w:r w:rsidRPr="005A7AC2">
              <w:rPr>
                <w:rFonts w:ascii="Times New Roman" w:hAnsi="Times New Roman" w:cs="Times New Roman"/>
                <w:sz w:val="24"/>
                <w:szCs w:val="24"/>
              </w:rPr>
              <w:t>1.027</w:t>
            </w:r>
            <w:r w:rsidR="005646EC">
              <w:rPr>
                <w:rFonts w:ascii="Times New Roman" w:hAnsi="Times New Roman" w:cs="Times New Roman"/>
                <w:sz w:val="24"/>
                <w:szCs w:val="24"/>
              </w:rPr>
              <w:t>9</w:t>
            </w:r>
            <w:r w:rsidRPr="005A7AC2">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5A7AC2">
              <w:rPr>
                <w:rFonts w:ascii="Times New Roman" w:hAnsi="Times New Roman" w:cs="Times New Roman"/>
                <w:sz w:val="24"/>
                <w:szCs w:val="24"/>
              </w:rPr>
              <w:t>1.041</w:t>
            </w:r>
            <w:r w:rsidR="005646EC">
              <w:rPr>
                <w:rFonts w:ascii="Times New Roman" w:hAnsi="Times New Roman" w:cs="Times New Roman"/>
                <w:sz w:val="24"/>
                <w:szCs w:val="24"/>
              </w:rPr>
              <w:t>2</w:t>
            </w:r>
            <w:r>
              <w:rPr>
                <w:rFonts w:ascii="Times New Roman" w:hAnsi="Times New Roman" w:cs="Times New Roman"/>
                <w:sz w:val="24"/>
                <w:szCs w:val="24"/>
              </w:rPr>
              <w:t xml:space="preserve">) </w:t>
            </w:r>
          </w:p>
        </w:tc>
        <w:tc>
          <w:tcPr>
            <w:tcW w:w="1559" w:type="dxa"/>
          </w:tcPr>
          <w:p w14:paraId="6A9FAA5F" w14:textId="7E1107C2" w:rsidR="00FD20B8" w:rsidRDefault="005A7AC2" w:rsidP="00714936">
            <w:pPr>
              <w:jc w:val="both"/>
              <w:rPr>
                <w:rFonts w:ascii="Times New Roman" w:hAnsi="Times New Roman" w:cs="Times New Roman"/>
                <w:sz w:val="24"/>
                <w:szCs w:val="24"/>
              </w:rPr>
            </w:pPr>
            <w:r>
              <w:rPr>
                <w:rFonts w:ascii="Times New Roman" w:hAnsi="Times New Roman" w:cs="Times New Roman"/>
                <w:sz w:val="24"/>
                <w:szCs w:val="24"/>
              </w:rPr>
              <w:t>0.00000000</w:t>
            </w:r>
          </w:p>
        </w:tc>
      </w:tr>
    </w:tbl>
    <w:p w14:paraId="075E6FB4" w14:textId="77777777" w:rsidR="00697643" w:rsidRDefault="00697643" w:rsidP="00714936">
      <w:pPr>
        <w:jc w:val="both"/>
        <w:rPr>
          <w:rFonts w:ascii="Times New Roman" w:hAnsi="Times New Roman" w:cs="Times New Roman"/>
          <w:sz w:val="24"/>
          <w:szCs w:val="24"/>
        </w:rPr>
      </w:pPr>
    </w:p>
    <w:p w14:paraId="4B8F4C72" w14:textId="77777777" w:rsidR="005A7AC2" w:rsidRPr="00714936" w:rsidRDefault="005A7AC2" w:rsidP="00714936">
      <w:pPr>
        <w:jc w:val="both"/>
        <w:rPr>
          <w:rFonts w:ascii="Times New Roman" w:hAnsi="Times New Roman" w:cs="Times New Roman"/>
          <w:sz w:val="24"/>
          <w:szCs w:val="24"/>
        </w:rPr>
      </w:pPr>
    </w:p>
    <w:p w14:paraId="155C0A33" w14:textId="77777777" w:rsidR="00714936" w:rsidRPr="00714936" w:rsidRDefault="00714936" w:rsidP="001770CB">
      <w:pPr>
        <w:ind w:firstLine="284"/>
        <w:rPr>
          <w:rFonts w:ascii="Times New Roman" w:hAnsi="Times New Roman" w:cs="Times New Roman"/>
          <w:sz w:val="24"/>
          <w:szCs w:val="24"/>
        </w:rPr>
      </w:pPr>
    </w:p>
    <w:p w14:paraId="2873E404" w14:textId="4C31749E" w:rsidR="00714936" w:rsidRPr="00714936" w:rsidRDefault="00714936" w:rsidP="00714936">
      <w:pPr>
        <w:rPr>
          <w:rFonts w:ascii="Times New Roman" w:hAnsi="Times New Roman" w:cs="Times New Roman"/>
          <w:b/>
          <w:bCs/>
          <w:sz w:val="28"/>
          <w:szCs w:val="28"/>
        </w:rPr>
      </w:pPr>
      <w:r>
        <w:rPr>
          <w:rFonts w:ascii="Times New Roman" w:hAnsi="Times New Roman" w:cs="Times New Roman"/>
          <w:b/>
          <w:bCs/>
          <w:sz w:val="28"/>
          <w:szCs w:val="28"/>
        </w:rPr>
        <w:t>Tercer</w:t>
      </w:r>
      <w:r>
        <w:rPr>
          <w:rFonts w:ascii="Times New Roman" w:hAnsi="Times New Roman" w:cs="Times New Roman"/>
          <w:b/>
          <w:bCs/>
          <w:sz w:val="28"/>
          <w:szCs w:val="28"/>
        </w:rPr>
        <w:t xml:space="preserve"> párrafo</w:t>
      </w:r>
    </w:p>
    <w:p w14:paraId="1F6C8EBB" w14:textId="5E260A1B" w:rsidR="000873C2" w:rsidRDefault="000873C2" w:rsidP="000873C2">
      <w:pPr>
        <w:ind w:firstLine="284"/>
        <w:jc w:val="both"/>
        <w:rPr>
          <w:rFonts w:ascii="Times New Roman" w:hAnsi="Times New Roman" w:cs="Times New Roman"/>
          <w:sz w:val="24"/>
          <w:szCs w:val="24"/>
        </w:rPr>
      </w:pPr>
      <w:r>
        <w:rPr>
          <w:rFonts w:ascii="Times New Roman" w:hAnsi="Times New Roman" w:cs="Times New Roman"/>
          <w:sz w:val="24"/>
          <w:szCs w:val="24"/>
        </w:rPr>
        <w:t>Con el propósito de asignar los recursos escasos de cuidados intensivos, los hallazgos anteriores han motivado l</w:t>
      </w:r>
      <w:r w:rsidR="00AD1D33" w:rsidRPr="00AD1D33">
        <w:rPr>
          <w:rFonts w:ascii="Times New Roman" w:hAnsi="Times New Roman" w:cs="Times New Roman"/>
          <w:sz w:val="24"/>
          <w:szCs w:val="24"/>
        </w:rPr>
        <w:t>a priorización según la edad del paciente</w:t>
      </w:r>
      <w:r>
        <w:rPr>
          <w:rFonts w:ascii="Times New Roman" w:hAnsi="Times New Roman" w:cs="Times New Roman"/>
          <w:sz w:val="24"/>
          <w:szCs w:val="24"/>
        </w:rPr>
        <w:t xml:space="preserve"> y, en consecuencia, h</w:t>
      </w:r>
      <w:r w:rsidR="00AD1D33" w:rsidRPr="00AD1D33">
        <w:rPr>
          <w:rFonts w:ascii="Times New Roman" w:hAnsi="Times New Roman" w:cs="Times New Roman"/>
          <w:sz w:val="24"/>
          <w:szCs w:val="24"/>
        </w:rPr>
        <w:t>an reaparecid</w:t>
      </w:r>
      <w:r>
        <w:rPr>
          <w:rFonts w:ascii="Times New Roman" w:hAnsi="Times New Roman" w:cs="Times New Roman"/>
          <w:sz w:val="24"/>
          <w:szCs w:val="24"/>
        </w:rPr>
        <w:t xml:space="preserve">o </w:t>
      </w:r>
      <w:r w:rsidR="00AD1D33" w:rsidRPr="00AD1D33">
        <w:rPr>
          <w:rFonts w:ascii="Times New Roman" w:hAnsi="Times New Roman" w:cs="Times New Roman"/>
          <w:sz w:val="24"/>
          <w:szCs w:val="24"/>
        </w:rPr>
        <w:t>numerosas discusiones éticas: por un lado, se ha señalado su carácter inapropiado en la medida en que el criterio podría clasificar a los adultos mayores como ciudadanos de segunda categoría \cite{Achard2020}; y, por otro lado, se ha argüido en favor del criterio aduciendo principios tales como el \</w:t>
      </w:r>
      <w:proofErr w:type="spellStart"/>
      <w:r w:rsidR="00AD1D33" w:rsidRPr="00AD1D33">
        <w:rPr>
          <w:rFonts w:ascii="Times New Roman" w:hAnsi="Times New Roman" w:cs="Times New Roman"/>
          <w:sz w:val="24"/>
          <w:szCs w:val="24"/>
        </w:rPr>
        <w:t>textit</w:t>
      </w:r>
      <w:proofErr w:type="spellEnd"/>
      <w:r w:rsidR="00AD1D33" w:rsidRPr="00AD1D33">
        <w:rPr>
          <w:rFonts w:ascii="Times New Roman" w:hAnsi="Times New Roman" w:cs="Times New Roman"/>
          <w:sz w:val="24"/>
          <w:szCs w:val="24"/>
        </w:rPr>
        <w:t>{</w:t>
      </w:r>
      <w:proofErr w:type="spellStart"/>
      <w:r w:rsidR="00AD1D33" w:rsidRPr="00AD1D33">
        <w:rPr>
          <w:rFonts w:ascii="Times New Roman" w:hAnsi="Times New Roman" w:cs="Times New Roman"/>
          <w:sz w:val="24"/>
          <w:szCs w:val="24"/>
        </w:rPr>
        <w:t>fair</w:t>
      </w:r>
      <w:proofErr w:type="spellEnd"/>
      <w:r w:rsidR="00AD1D33" w:rsidRPr="00AD1D33">
        <w:rPr>
          <w:rFonts w:ascii="Times New Roman" w:hAnsi="Times New Roman" w:cs="Times New Roman"/>
          <w:sz w:val="24"/>
          <w:szCs w:val="24"/>
        </w:rPr>
        <w:t xml:space="preserve"> innings} \cite{Harris85, </w:t>
      </w:r>
      <w:proofErr w:type="spellStart"/>
      <w:r w:rsidR="00AD1D33" w:rsidRPr="00AD1D33">
        <w:rPr>
          <w:rFonts w:ascii="Times New Roman" w:hAnsi="Times New Roman" w:cs="Times New Roman"/>
          <w:sz w:val="24"/>
          <w:szCs w:val="24"/>
        </w:rPr>
        <w:t>McGuireMcConell</w:t>
      </w:r>
      <w:proofErr w:type="spellEnd"/>
      <w:r w:rsidR="00AD1D33" w:rsidRPr="00AD1D33">
        <w:rPr>
          <w:rFonts w:ascii="Times New Roman" w:hAnsi="Times New Roman" w:cs="Times New Roman"/>
          <w:sz w:val="24"/>
          <w:szCs w:val="24"/>
        </w:rPr>
        <w:t>}.</w:t>
      </w:r>
      <w:r>
        <w:rPr>
          <w:rFonts w:ascii="Times New Roman" w:hAnsi="Times New Roman" w:cs="Times New Roman"/>
          <w:sz w:val="24"/>
          <w:szCs w:val="24"/>
        </w:rPr>
        <w:t xml:space="preserve"> </w:t>
      </w:r>
      <w:r w:rsidR="009C7080">
        <w:rPr>
          <w:rFonts w:ascii="Times New Roman" w:hAnsi="Times New Roman" w:cs="Times New Roman"/>
          <w:sz w:val="24"/>
          <w:szCs w:val="24"/>
        </w:rPr>
        <w:t>En contraste con la asignación priorizada, estudios en la región han verificado la relación entre la implementación de políticas públicas focalizadas en adultos mayores y la disminución de la presión sobre la escasez de recursos de cuidados intensivos. Un estudio comparativo para el caso colombiano verificó que políticas públicas semejantes ---tales como el aislamiento preventivo de personas mayores de 70 años--- contribuyeron al estancamiento de la curva de supervivencia para la población de adultos mayores.</w:t>
      </w:r>
    </w:p>
    <w:p w14:paraId="20C3D535" w14:textId="010249FC" w:rsidR="000873C2" w:rsidRDefault="009C7080" w:rsidP="000873C2">
      <w:pPr>
        <w:ind w:firstLine="284"/>
        <w:jc w:val="both"/>
        <w:rPr>
          <w:rFonts w:ascii="Times New Roman" w:hAnsi="Times New Roman" w:cs="Times New Roman"/>
          <w:sz w:val="24"/>
          <w:szCs w:val="24"/>
        </w:rPr>
      </w:pPr>
      <w:r>
        <w:rPr>
          <w:rFonts w:ascii="Times New Roman" w:hAnsi="Times New Roman" w:cs="Times New Roman"/>
          <w:sz w:val="24"/>
          <w:szCs w:val="24"/>
        </w:rPr>
        <w:t>La escasez de recursos de cuidados intensivos</w:t>
      </w:r>
    </w:p>
    <w:p w14:paraId="4A99DC59" w14:textId="77777777" w:rsidR="000873C2" w:rsidRDefault="000873C2" w:rsidP="000873C2">
      <w:pPr>
        <w:ind w:firstLine="284"/>
        <w:jc w:val="both"/>
        <w:rPr>
          <w:rFonts w:ascii="Times New Roman" w:hAnsi="Times New Roman" w:cs="Times New Roman"/>
          <w:sz w:val="24"/>
          <w:szCs w:val="24"/>
        </w:rPr>
      </w:pPr>
    </w:p>
    <w:p w14:paraId="45F1BD4F" w14:textId="22AC648B" w:rsidR="001770CB" w:rsidRDefault="00AD1D33" w:rsidP="000873C2">
      <w:pPr>
        <w:ind w:firstLine="284"/>
        <w:jc w:val="both"/>
        <w:rPr>
          <w:rFonts w:ascii="Times New Roman" w:hAnsi="Times New Roman" w:cs="Times New Roman"/>
          <w:sz w:val="24"/>
          <w:szCs w:val="24"/>
        </w:rPr>
      </w:pPr>
      <w:r w:rsidRPr="00AD1D33">
        <w:rPr>
          <w:rFonts w:ascii="Times New Roman" w:hAnsi="Times New Roman" w:cs="Times New Roman"/>
          <w:sz w:val="24"/>
          <w:szCs w:val="24"/>
        </w:rPr>
        <w:t xml:space="preserve"> Si bien la priorización se fundamenta en la evidencia según la cual los adultos mayores muestran una mortalidad superior, algunos estudios han verificado que la </w:t>
      </w:r>
      <w:proofErr w:type="spellStart"/>
      <w:r w:rsidRPr="00AD1D33">
        <w:rPr>
          <w:rFonts w:ascii="Times New Roman" w:hAnsi="Times New Roman" w:cs="Times New Roman"/>
          <w:sz w:val="24"/>
          <w:szCs w:val="24"/>
        </w:rPr>
        <w:t>multi-morbilidad</w:t>
      </w:r>
      <w:proofErr w:type="spellEnd"/>
      <w:r w:rsidRPr="00AD1D33">
        <w:rPr>
          <w:rFonts w:ascii="Times New Roman" w:hAnsi="Times New Roman" w:cs="Times New Roman"/>
          <w:sz w:val="24"/>
          <w:szCs w:val="24"/>
        </w:rPr>
        <w:t xml:space="preserve"> parece ser el factor definitivo \cite{Huntley12}. </w:t>
      </w:r>
      <w:r w:rsidR="00951271">
        <w:rPr>
          <w:rFonts w:ascii="Times New Roman" w:hAnsi="Times New Roman" w:cs="Times New Roman"/>
          <w:sz w:val="24"/>
          <w:szCs w:val="24"/>
        </w:rPr>
        <w:t xml:space="preserve">No obstante, estudios posteriores han verificado la efectividad, para disminuir la presión sobre la escasez de los recursos de cuidados intensivos, de la implementación de políticas públicas que priorizaran a los adultos mayores. Estudios comparativos han verificado que estas medidas, para el caso de Colombia, han contribuido a un </w:t>
      </w:r>
      <w:proofErr w:type="spellStart"/>
      <w:r w:rsidR="00951271" w:rsidRPr="00AD1D33">
        <w:rPr>
          <w:rFonts w:ascii="Times New Roman" w:hAnsi="Times New Roman" w:cs="Times New Roman"/>
          <w:sz w:val="24"/>
          <w:szCs w:val="24"/>
        </w:rPr>
        <w:t>un</w:t>
      </w:r>
      <w:proofErr w:type="spellEnd"/>
      <w:r w:rsidR="00951271" w:rsidRPr="00AD1D33">
        <w:rPr>
          <w:rFonts w:ascii="Times New Roman" w:hAnsi="Times New Roman" w:cs="Times New Roman"/>
          <w:sz w:val="24"/>
          <w:szCs w:val="24"/>
        </w:rPr>
        <w:t xml:space="preserve"> estancamiento de la curva de supervivencia para la población de adultos mayores en Colombia \cite{PerezZepeda2021}.</w:t>
      </w:r>
    </w:p>
    <w:p w14:paraId="01177143" w14:textId="77777777" w:rsidR="001770CB" w:rsidRDefault="001770CB" w:rsidP="001770CB">
      <w:pPr>
        <w:ind w:firstLine="284"/>
        <w:rPr>
          <w:rFonts w:ascii="Times New Roman" w:hAnsi="Times New Roman" w:cs="Times New Roman"/>
          <w:sz w:val="24"/>
          <w:szCs w:val="24"/>
        </w:rPr>
      </w:pPr>
    </w:p>
    <w:p w14:paraId="2F42552F" w14:textId="77777777" w:rsidR="00682466" w:rsidRPr="009C0D8D" w:rsidRDefault="00682466" w:rsidP="00682466">
      <w:pPr>
        <w:pStyle w:val="Prrafodelista"/>
        <w:rPr>
          <w:rFonts w:ascii="Times New Roman" w:hAnsi="Times New Roman" w:cs="Times New Roman"/>
          <w:b/>
          <w:bCs/>
          <w:sz w:val="28"/>
          <w:szCs w:val="28"/>
        </w:rPr>
      </w:pPr>
    </w:p>
    <w:p w14:paraId="78D6127D" w14:textId="4F2C18E8" w:rsidR="00682466" w:rsidRDefault="00682466" w:rsidP="00682466">
      <w:pPr>
        <w:pStyle w:val="Prrafodelista"/>
        <w:numPr>
          <w:ilvl w:val="0"/>
          <w:numId w:val="2"/>
        </w:numPr>
        <w:rPr>
          <w:rFonts w:ascii="Times New Roman" w:hAnsi="Times New Roman" w:cs="Times New Roman"/>
          <w:b/>
          <w:bCs/>
          <w:sz w:val="28"/>
          <w:szCs w:val="28"/>
        </w:rPr>
      </w:pPr>
      <w:r w:rsidRPr="009C0D8D">
        <w:rPr>
          <w:rFonts w:ascii="Times New Roman" w:hAnsi="Times New Roman" w:cs="Times New Roman"/>
          <w:b/>
          <w:bCs/>
          <w:sz w:val="28"/>
          <w:szCs w:val="28"/>
        </w:rPr>
        <w:t>Probabilidad de supervivencia en pacientes críticos crónicos (2 párrafos)</w:t>
      </w:r>
    </w:p>
    <w:p w14:paraId="1D29445C" w14:textId="27FC7E39" w:rsidR="00B610EC" w:rsidRDefault="001C6A3B" w:rsidP="00B610EC">
      <w:pPr>
        <w:ind w:firstLine="284"/>
        <w:jc w:val="both"/>
        <w:rPr>
          <w:rFonts w:ascii="Times New Roman" w:hAnsi="Times New Roman" w:cs="Times New Roman"/>
          <w:sz w:val="24"/>
          <w:szCs w:val="24"/>
        </w:rPr>
      </w:pPr>
      <w:r w:rsidRPr="001C6A3B">
        <w:rPr>
          <w:rFonts w:ascii="Times New Roman" w:hAnsi="Times New Roman" w:cs="Times New Roman"/>
          <w:sz w:val="24"/>
          <w:szCs w:val="24"/>
        </w:rPr>
        <w:t>Siguiendo investigaciones anteriores [1] – [2], consideramos que un paciente crítico crónico es aquel cuya estancia en UCI es superior o igual a 21 días consecutivos.</w:t>
      </w:r>
      <w:r>
        <w:rPr>
          <w:rFonts w:ascii="Times New Roman" w:hAnsi="Times New Roman" w:cs="Times New Roman"/>
          <w:sz w:val="24"/>
          <w:szCs w:val="24"/>
        </w:rPr>
        <w:t xml:space="preserve"> Nuestro estudio contradice la información según la cual, si bien los pacientes con estancia prolongada en UCI representan una proporción pequeña de las admisiones en UCI</w:t>
      </w:r>
      <w:r w:rsidR="004E61C3">
        <w:rPr>
          <w:rFonts w:ascii="Times New Roman" w:hAnsi="Times New Roman" w:cs="Times New Roman"/>
          <w:sz w:val="24"/>
          <w:szCs w:val="24"/>
        </w:rPr>
        <w:t xml:space="preserve"> ---3% según [69], 4% según [62], 6% según [64] u 11% según [66]---, pueden consumir entre el 42% y 45.1% de los días totales de UCI utilizadas. Verificamos que el 49.20% de los pacientes corresponden a pacientes críticos crónicos con edad mediana de 61 (49.5 – 71). Una </w:t>
      </w:r>
      <w:r w:rsidR="00B4657A">
        <w:rPr>
          <w:rFonts w:ascii="Times New Roman" w:hAnsi="Times New Roman" w:cs="Times New Roman"/>
          <w:sz w:val="24"/>
          <w:szCs w:val="24"/>
        </w:rPr>
        <w:t>distribución similar es documento en una cohorte de pacientes críticos en UCI por COVID-19 en Hamburgo, Alemania: el 55% de los pacientes corresponde a pacientes críticos crónicos con edad mediana de 61 (52 – 69.5) \cita{</w:t>
      </w:r>
      <w:proofErr w:type="spellStart"/>
      <w:r w:rsidR="00B4657A">
        <w:rPr>
          <w:rFonts w:ascii="Times New Roman" w:hAnsi="Times New Roman" w:cs="Times New Roman"/>
          <w:sz w:val="24"/>
          <w:szCs w:val="24"/>
        </w:rPr>
        <w:t>Roedl</w:t>
      </w:r>
      <w:proofErr w:type="spellEnd"/>
      <w:r w:rsidR="00B4657A">
        <w:rPr>
          <w:rFonts w:ascii="Times New Roman" w:hAnsi="Times New Roman" w:cs="Times New Roman"/>
          <w:sz w:val="24"/>
          <w:szCs w:val="24"/>
        </w:rPr>
        <w:t>}. La proporción cambia ligeramente si el umbral se define en 14 días consecutivos</w:t>
      </w:r>
      <w:r w:rsidR="00016B2D">
        <w:rPr>
          <w:rFonts w:ascii="Times New Roman" w:hAnsi="Times New Roman" w:cs="Times New Roman"/>
          <w:sz w:val="24"/>
          <w:szCs w:val="24"/>
        </w:rPr>
        <w:t xml:space="preserve">. (Para una cohorte de pacientes críticos con </w:t>
      </w:r>
      <w:r w:rsidR="00016B2D" w:rsidRPr="00016B2D">
        <w:rPr>
          <w:rFonts w:ascii="Times New Roman" w:hAnsi="Times New Roman" w:cs="Times New Roman"/>
          <w:sz w:val="24"/>
          <w:szCs w:val="24"/>
        </w:rPr>
        <w:t xml:space="preserve">terapia de alto flujo de </w:t>
      </w:r>
      <w:r w:rsidR="00016B2D" w:rsidRPr="00016B2D">
        <w:rPr>
          <w:rFonts w:ascii="Times New Roman" w:hAnsi="Times New Roman" w:cs="Times New Roman"/>
          <w:sz w:val="24"/>
          <w:szCs w:val="24"/>
        </w:rPr>
        <w:t>oxígeno</w:t>
      </w:r>
      <w:r w:rsidR="00016B2D" w:rsidRPr="00016B2D">
        <w:rPr>
          <w:rFonts w:ascii="Times New Roman" w:hAnsi="Times New Roman" w:cs="Times New Roman"/>
          <w:sz w:val="24"/>
          <w:szCs w:val="24"/>
        </w:rPr>
        <w:t xml:space="preserve"> por </w:t>
      </w:r>
      <w:proofErr w:type="spellStart"/>
      <w:r w:rsidR="00016B2D" w:rsidRPr="00016B2D">
        <w:rPr>
          <w:rFonts w:ascii="Times New Roman" w:hAnsi="Times New Roman" w:cs="Times New Roman"/>
          <w:sz w:val="24"/>
          <w:szCs w:val="24"/>
        </w:rPr>
        <w:t>canula</w:t>
      </w:r>
      <w:proofErr w:type="spellEnd"/>
      <w:r w:rsidR="00016B2D" w:rsidRPr="00016B2D">
        <w:rPr>
          <w:rFonts w:ascii="Times New Roman" w:hAnsi="Times New Roman" w:cs="Times New Roman"/>
          <w:sz w:val="24"/>
          <w:szCs w:val="24"/>
        </w:rPr>
        <w:t xml:space="preserve"> nasal</w:t>
      </w:r>
      <w:r w:rsidR="00016B2D">
        <w:rPr>
          <w:rFonts w:ascii="Times New Roman" w:hAnsi="Times New Roman" w:cs="Times New Roman"/>
          <w:sz w:val="24"/>
          <w:szCs w:val="24"/>
        </w:rPr>
        <w:t>, el 23.96% de los pacientes registraron un tiempo de permanencia prolongado en UCI con edad media 65+- 10 \cite{Han}).</w:t>
      </w:r>
    </w:p>
    <w:p w14:paraId="11CE0ABE" w14:textId="77777777" w:rsidR="00B610EC" w:rsidRDefault="00B610EC" w:rsidP="00B610EC">
      <w:pPr>
        <w:ind w:left="284" w:firstLine="284"/>
        <w:jc w:val="both"/>
        <w:rPr>
          <w:rFonts w:ascii="Times New Roman" w:hAnsi="Times New Roman" w:cs="Times New Roman"/>
          <w:color w:val="000000" w:themeColor="text1"/>
          <w:sz w:val="24"/>
          <w:szCs w:val="24"/>
        </w:rPr>
      </w:pPr>
    </w:p>
    <w:p w14:paraId="67E0738D" w14:textId="375D528C" w:rsidR="001C6A3B" w:rsidRDefault="000D05C8" w:rsidP="000D05C8">
      <w:pPr>
        <w:ind w:left="284" w:firstLine="284"/>
        <w:jc w:val="both"/>
        <w:rPr>
          <w:rFonts w:ascii="Times New Roman" w:hAnsi="Times New Roman" w:cs="Times New Roman"/>
          <w:color w:val="000000" w:themeColor="text1"/>
          <w:sz w:val="24"/>
          <w:szCs w:val="24"/>
        </w:rPr>
      </w:pPr>
      <w:r w:rsidRPr="000D05C8">
        <w:rPr>
          <w:rFonts w:ascii="Times New Roman" w:hAnsi="Times New Roman" w:cs="Times New Roman"/>
          <w:color w:val="000000" w:themeColor="text1"/>
          <w:sz w:val="24"/>
          <w:szCs w:val="24"/>
        </w:rPr>
        <w:t xml:space="preserve">Para una extensa cohorte de pacientes con COVID-19 admitidos en UCI (55 563 admisiones) en Brasil, se afirma que los pacientes con una estancia superior a 14 días tienen menos del 50% de probabilidad de sobrevivir [i]. </w:t>
      </w:r>
      <w:r w:rsidR="00B610EC" w:rsidRPr="000D05C8">
        <w:rPr>
          <w:rFonts w:ascii="Times New Roman" w:hAnsi="Times New Roman" w:cs="Times New Roman"/>
          <w:color w:val="000000" w:themeColor="text1"/>
          <w:sz w:val="24"/>
          <w:szCs w:val="24"/>
          <w:shd w:val="clear" w:color="auto" w:fill="FFFFFF"/>
        </w:rPr>
        <w:t>Nuestro hallazgo contradice</w:t>
      </w:r>
      <w:r w:rsidRPr="000D05C8">
        <w:rPr>
          <w:rFonts w:ascii="Times New Roman" w:hAnsi="Times New Roman" w:cs="Times New Roman"/>
          <w:color w:val="000000" w:themeColor="text1"/>
          <w:sz w:val="24"/>
          <w:szCs w:val="24"/>
          <w:shd w:val="clear" w:color="auto" w:fill="FFFFFF"/>
        </w:rPr>
        <w:t>, empero,</w:t>
      </w:r>
      <w:r w:rsidR="00B610EC" w:rsidRPr="000D05C8">
        <w:rPr>
          <w:rFonts w:ascii="Times New Roman" w:hAnsi="Times New Roman" w:cs="Times New Roman"/>
          <w:color w:val="000000" w:themeColor="text1"/>
          <w:sz w:val="24"/>
          <w:szCs w:val="24"/>
          <w:shd w:val="clear" w:color="auto" w:fill="FFFFFF"/>
        </w:rPr>
        <w:t xml:space="preserve"> la observación anterior:  la tasa de mortalidad en UCI a los 30 días es, de hecho, menor en pacientes críticos crónicos (15.74% vs. 65.79%). En la misma línea</w:t>
      </w:r>
      <w:r w:rsidR="00B610EC" w:rsidRPr="000D05C8">
        <w:rPr>
          <w:rFonts w:ascii="Times New Roman" w:hAnsi="Times New Roman" w:cs="Times New Roman"/>
          <w:color w:val="000000" w:themeColor="text1"/>
          <w:sz w:val="24"/>
          <w:szCs w:val="24"/>
        </w:rPr>
        <w:t>, s</w:t>
      </w:r>
      <w:r w:rsidR="00B610EC" w:rsidRPr="000D05C8">
        <w:rPr>
          <w:rFonts w:ascii="Times New Roman" w:hAnsi="Times New Roman" w:cs="Times New Roman"/>
          <w:color w:val="000000" w:themeColor="text1"/>
          <w:sz w:val="24"/>
          <w:szCs w:val="24"/>
        </w:rPr>
        <w:t xml:space="preserve">egún un estudio retrospectivo de Wuhan, China, sobre pacientes con neumonía </w:t>
      </w:r>
      <w:r w:rsidR="00B610EC" w:rsidRPr="000D05C8">
        <w:rPr>
          <w:rFonts w:ascii="Times New Roman" w:hAnsi="Times New Roman" w:cs="Times New Roman"/>
          <w:color w:val="000000" w:themeColor="text1"/>
          <w:sz w:val="24"/>
          <w:szCs w:val="24"/>
          <w:shd w:val="clear" w:color="auto" w:fill="FFFFFF"/>
        </w:rPr>
        <w:t>SARS-CoV-2 admitidos en UCI, el tiempo de supervivencia de los pacientes muertos se registra, con mayor probabilidad, en la primera y segunda semana después de la admisión en UCI [</w:t>
      </w:r>
      <w:proofErr w:type="spellStart"/>
      <w:r w:rsidRPr="000D05C8">
        <w:rPr>
          <w:rFonts w:ascii="Times New Roman" w:hAnsi="Times New Roman" w:cs="Times New Roman"/>
          <w:color w:val="000000" w:themeColor="text1"/>
          <w:sz w:val="24"/>
          <w:szCs w:val="24"/>
          <w:shd w:val="clear" w:color="auto" w:fill="FFFFFF"/>
        </w:rPr>
        <w:t>i</w:t>
      </w:r>
      <w:r w:rsidR="00B610EC" w:rsidRPr="000D05C8">
        <w:rPr>
          <w:rFonts w:ascii="Times New Roman" w:hAnsi="Times New Roman" w:cs="Times New Roman"/>
          <w:color w:val="000000" w:themeColor="text1"/>
          <w:sz w:val="24"/>
          <w:szCs w:val="24"/>
          <w:shd w:val="clear" w:color="auto" w:fill="FFFFFF"/>
        </w:rPr>
        <w:t>i</w:t>
      </w:r>
      <w:proofErr w:type="spellEnd"/>
      <w:r w:rsidR="00B610EC" w:rsidRPr="000D05C8">
        <w:rPr>
          <w:rFonts w:ascii="Times New Roman" w:hAnsi="Times New Roman" w:cs="Times New Roman"/>
          <w:color w:val="000000" w:themeColor="text1"/>
          <w:sz w:val="24"/>
          <w:szCs w:val="24"/>
          <w:shd w:val="clear" w:color="auto" w:fill="FFFFFF"/>
        </w:rPr>
        <w:t>].</w:t>
      </w:r>
      <w:r w:rsidR="00B610EC" w:rsidRPr="000D05C8">
        <w:rPr>
          <w:rFonts w:ascii="Times New Roman" w:hAnsi="Times New Roman" w:cs="Times New Roman"/>
          <w:color w:val="000000" w:themeColor="text1"/>
          <w:sz w:val="24"/>
          <w:szCs w:val="24"/>
          <w:shd w:val="clear" w:color="auto" w:fill="FFFFFF"/>
        </w:rPr>
        <w:t xml:space="preserve"> Todavía más,</w:t>
      </w:r>
      <w:r w:rsidRPr="000D05C8">
        <w:rPr>
          <w:rFonts w:ascii="Times New Roman" w:hAnsi="Times New Roman" w:cs="Times New Roman"/>
          <w:color w:val="000000" w:themeColor="text1"/>
          <w:sz w:val="24"/>
          <w:szCs w:val="24"/>
          <w:shd w:val="clear" w:color="auto" w:fill="FFFFFF"/>
        </w:rPr>
        <w:t xml:space="preserve"> el estudio de </w:t>
      </w:r>
      <w:proofErr w:type="spellStart"/>
      <w:r w:rsidRPr="000D05C8">
        <w:rPr>
          <w:rFonts w:ascii="Times New Roman" w:hAnsi="Times New Roman" w:cs="Times New Roman"/>
          <w:color w:val="000000" w:themeColor="text1"/>
          <w:sz w:val="24"/>
          <w:szCs w:val="24"/>
          <w:shd w:val="clear" w:color="auto" w:fill="FFFFFF"/>
        </w:rPr>
        <w:t>Roedl</w:t>
      </w:r>
      <w:proofErr w:type="spellEnd"/>
      <w:r w:rsidRPr="000D05C8">
        <w:rPr>
          <w:rFonts w:ascii="Times New Roman" w:hAnsi="Times New Roman" w:cs="Times New Roman"/>
          <w:color w:val="000000" w:themeColor="text1"/>
          <w:sz w:val="24"/>
          <w:szCs w:val="24"/>
          <w:shd w:val="clear" w:color="auto" w:fill="FFFFFF"/>
        </w:rPr>
        <w:t xml:space="preserve"> et al. (2020)</w:t>
      </w:r>
      <w:r w:rsidR="00B610EC" w:rsidRPr="000D05C8">
        <w:rPr>
          <w:rFonts w:ascii="Times New Roman" w:hAnsi="Times New Roman" w:cs="Times New Roman"/>
          <w:color w:val="000000" w:themeColor="text1"/>
          <w:sz w:val="24"/>
          <w:szCs w:val="24"/>
          <w:shd w:val="clear" w:color="auto" w:fill="FFFFFF"/>
        </w:rPr>
        <w:t xml:space="preserve"> </w:t>
      </w:r>
      <w:r w:rsidRPr="000D05C8">
        <w:rPr>
          <w:rFonts w:ascii="Times New Roman" w:hAnsi="Times New Roman" w:cs="Times New Roman"/>
          <w:color w:val="000000" w:themeColor="text1"/>
          <w:sz w:val="24"/>
          <w:szCs w:val="24"/>
        </w:rPr>
        <w:t xml:space="preserve">verifica que la mortalidad en UCI a los 90 días es inferior en pacientes críticos crónicos </w:t>
      </w:r>
      <w:r>
        <w:rPr>
          <w:rFonts w:ascii="Times New Roman" w:hAnsi="Times New Roman" w:cs="Times New Roman"/>
          <w:color w:val="000000" w:themeColor="text1"/>
          <w:sz w:val="24"/>
          <w:szCs w:val="24"/>
        </w:rPr>
        <w:t xml:space="preserve">de COVID-19 </w:t>
      </w:r>
      <w:r w:rsidRPr="000D05C8">
        <w:rPr>
          <w:rFonts w:ascii="Times New Roman" w:hAnsi="Times New Roman" w:cs="Times New Roman"/>
          <w:color w:val="000000" w:themeColor="text1"/>
          <w:sz w:val="24"/>
          <w:szCs w:val="24"/>
        </w:rPr>
        <w:t xml:space="preserve">(28% vs. 50%, $p </w:t>
      </w:r>
      <w:r w:rsidRPr="000D05C8">
        <w:rPr>
          <w:rFonts w:ascii="Times New Roman" w:eastAsia="CMMI8" w:hAnsi="Times New Roman" w:cs="Times New Roman"/>
          <w:kern w:val="0"/>
          <w:sz w:val="24"/>
          <w:szCs w:val="24"/>
        </w:rPr>
        <w:t>&lt;</w:t>
      </w:r>
      <w:r w:rsidRPr="000D05C8">
        <w:rPr>
          <w:rFonts w:ascii="Times New Roman" w:eastAsia="CMMI8" w:hAnsi="Times New Roman" w:cs="Times New Roman"/>
          <w:kern w:val="0"/>
          <w:sz w:val="24"/>
          <w:szCs w:val="24"/>
        </w:rPr>
        <w:t xml:space="preserve"> 0.001</w:t>
      </w:r>
      <w:r w:rsidRPr="000D05C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822477">
        <w:rPr>
          <w:rFonts w:ascii="Times New Roman" w:hAnsi="Times New Roman" w:cs="Times New Roman"/>
          <w:color w:val="000000" w:themeColor="text1"/>
          <w:sz w:val="24"/>
          <w:szCs w:val="24"/>
        </w:rPr>
        <w:t>La estancia mediana en UCI para pacientes críticos (7 [3 – 13]) y pacientes críticos crónicos (33 [23 – 50]) es, en general, comparable con la evidencia de nuestro estudio [</w:t>
      </w:r>
      <w:proofErr w:type="spellStart"/>
      <w:r w:rsidR="00822477">
        <w:rPr>
          <w:rFonts w:ascii="Times New Roman" w:hAnsi="Times New Roman" w:cs="Times New Roman"/>
          <w:color w:val="000000" w:themeColor="text1"/>
          <w:sz w:val="24"/>
          <w:szCs w:val="24"/>
        </w:rPr>
        <w:t>Roedl</w:t>
      </w:r>
      <w:proofErr w:type="spellEnd"/>
      <w:r w:rsidR="00822477">
        <w:rPr>
          <w:rFonts w:ascii="Times New Roman" w:hAnsi="Times New Roman" w:cs="Times New Roman"/>
          <w:color w:val="000000" w:themeColor="text1"/>
          <w:sz w:val="24"/>
          <w:szCs w:val="24"/>
        </w:rPr>
        <w:t xml:space="preserve"> et al., 2020].</w:t>
      </w:r>
    </w:p>
    <w:p w14:paraId="4083EEF6" w14:textId="77777777" w:rsidR="00B661B7" w:rsidRDefault="00B661B7" w:rsidP="000D05C8">
      <w:pPr>
        <w:ind w:left="284" w:firstLine="284"/>
        <w:jc w:val="both"/>
        <w:rPr>
          <w:rFonts w:ascii="Times New Roman" w:hAnsi="Times New Roman" w:cs="Times New Roman"/>
          <w:color w:val="000000" w:themeColor="text1"/>
          <w:sz w:val="24"/>
          <w:szCs w:val="24"/>
        </w:rPr>
      </w:pPr>
    </w:p>
    <w:p w14:paraId="7AE286AF" w14:textId="4E194177" w:rsidR="00B661B7" w:rsidRPr="000D05C8" w:rsidRDefault="00B661B7" w:rsidP="000D05C8">
      <w:pPr>
        <w:ind w:left="284"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Nótese que, tanto en pacientes críticos como en pacientes críticos crónicos con COVID-19, la edad avanzada y el sexo masculino se conservan como factores de riesgo asociados a la mortalidad en UCI. Existen, sin embargo, factores de riesgo adicionales que no han sido considerados: los sistemas de clasificación de severidad de enfermedad en UCI tales como SAPS II, APACHE II y SOFA \cite{</w:t>
      </w:r>
      <w:proofErr w:type="spellStart"/>
      <w:r>
        <w:rPr>
          <w:rFonts w:ascii="Times New Roman" w:hAnsi="Times New Roman" w:cs="Times New Roman"/>
          <w:color w:val="000000" w:themeColor="text1"/>
          <w:sz w:val="24"/>
          <w:szCs w:val="24"/>
        </w:rPr>
        <w:t>Arabi</w:t>
      </w:r>
      <w:proofErr w:type="spellEnd"/>
      <w:r>
        <w:rPr>
          <w:rFonts w:ascii="Times New Roman" w:hAnsi="Times New Roman" w:cs="Times New Roman"/>
          <w:color w:val="000000" w:themeColor="text1"/>
          <w:sz w:val="24"/>
          <w:szCs w:val="24"/>
        </w:rPr>
        <w:t>};</w:t>
      </w:r>
      <w:r w:rsidR="008C311F">
        <w:rPr>
          <w:rFonts w:ascii="Times New Roman" w:hAnsi="Times New Roman" w:cs="Times New Roman"/>
          <w:color w:val="000000" w:themeColor="text1"/>
          <w:sz w:val="24"/>
          <w:szCs w:val="24"/>
        </w:rPr>
        <w:t xml:space="preserve"> la categoría del síndrome de dificultad respiratoria aguda (leve, medio o grave) \cite{</w:t>
      </w:r>
      <w:proofErr w:type="spellStart"/>
      <w:r w:rsidR="008C311F">
        <w:rPr>
          <w:rFonts w:ascii="Times New Roman" w:hAnsi="Times New Roman" w:cs="Times New Roman"/>
          <w:color w:val="000000" w:themeColor="text1"/>
          <w:sz w:val="24"/>
          <w:szCs w:val="24"/>
        </w:rPr>
        <w:t>Roedl</w:t>
      </w:r>
      <w:proofErr w:type="spellEnd"/>
      <w:r w:rsidR="008C311F">
        <w:rPr>
          <w:rFonts w:ascii="Times New Roman" w:hAnsi="Times New Roman" w:cs="Times New Roman"/>
          <w:color w:val="000000" w:themeColor="text1"/>
          <w:sz w:val="24"/>
          <w:szCs w:val="24"/>
        </w:rPr>
        <w:t>}</w:t>
      </w:r>
      <w:r w:rsidR="008C311F">
        <w:rPr>
          <w:rFonts w:ascii="Times New Roman" w:hAnsi="Times New Roman" w:cs="Times New Roman"/>
          <w:color w:val="000000" w:themeColor="text1"/>
          <w:sz w:val="24"/>
          <w:szCs w:val="24"/>
        </w:rPr>
        <w:t xml:space="preserve">; y </w:t>
      </w:r>
      <w:r>
        <w:rPr>
          <w:rFonts w:ascii="Times New Roman" w:hAnsi="Times New Roman" w:cs="Times New Roman"/>
          <w:color w:val="000000" w:themeColor="text1"/>
          <w:sz w:val="24"/>
          <w:szCs w:val="24"/>
        </w:rPr>
        <w:t xml:space="preserve">la implementación de ventilación mecánica y terapia de </w:t>
      </w:r>
      <w:r w:rsidRPr="00B661B7">
        <w:rPr>
          <w:rFonts w:ascii="Times New Roman" w:hAnsi="Times New Roman" w:cs="Times New Roman"/>
          <w:color w:val="000000" w:themeColor="text1"/>
          <w:sz w:val="24"/>
          <w:szCs w:val="24"/>
        </w:rPr>
        <w:t xml:space="preserve">oxigenación por membrana extracorpórea </w:t>
      </w:r>
      <w:r>
        <w:rPr>
          <w:rFonts w:ascii="Times New Roman" w:hAnsi="Times New Roman" w:cs="Times New Roman"/>
          <w:color w:val="000000" w:themeColor="text1"/>
          <w:sz w:val="24"/>
          <w:szCs w:val="24"/>
        </w:rPr>
        <w:t xml:space="preserve"> \cite {Han}</w:t>
      </w:r>
      <w:r w:rsidR="008C311F">
        <w:rPr>
          <w:rFonts w:ascii="Times New Roman" w:hAnsi="Times New Roman" w:cs="Times New Roman"/>
          <w:color w:val="000000" w:themeColor="text1"/>
          <w:sz w:val="24"/>
          <w:szCs w:val="24"/>
        </w:rPr>
        <w:t>.</w:t>
      </w:r>
    </w:p>
    <w:p w14:paraId="151AD6D9" w14:textId="77777777" w:rsidR="001C6A3B" w:rsidRPr="001C6A3B" w:rsidRDefault="001C6A3B" w:rsidP="001C6A3B">
      <w:pPr>
        <w:ind w:firstLine="284"/>
        <w:jc w:val="both"/>
        <w:rPr>
          <w:rFonts w:ascii="Times New Roman" w:hAnsi="Times New Roman" w:cs="Times New Roman"/>
          <w:sz w:val="24"/>
          <w:szCs w:val="24"/>
        </w:rPr>
      </w:pPr>
    </w:p>
    <w:p w14:paraId="2F0EF09F" w14:textId="77777777" w:rsidR="00682466" w:rsidRDefault="00682466" w:rsidP="008C311F">
      <w:pPr>
        <w:rPr>
          <w:rFonts w:ascii="Times New Roman" w:hAnsi="Times New Roman" w:cs="Times New Roman"/>
          <w:b/>
          <w:bCs/>
          <w:sz w:val="28"/>
          <w:szCs w:val="28"/>
          <w:lang w:val="en-US"/>
        </w:rPr>
      </w:pPr>
    </w:p>
    <w:p w14:paraId="187A13A3" w14:textId="77777777" w:rsidR="008C311F" w:rsidRPr="008C311F" w:rsidRDefault="008C311F" w:rsidP="008C311F">
      <w:pPr>
        <w:rPr>
          <w:rFonts w:ascii="Times New Roman" w:hAnsi="Times New Roman" w:cs="Times New Roman"/>
          <w:b/>
          <w:bCs/>
          <w:sz w:val="28"/>
          <w:szCs w:val="28"/>
          <w:lang w:val="en-US"/>
        </w:rPr>
      </w:pPr>
    </w:p>
    <w:p w14:paraId="613ABC92" w14:textId="77777777" w:rsidR="008C311F" w:rsidRDefault="00682466" w:rsidP="008C311F">
      <w:pPr>
        <w:pStyle w:val="Prrafodelista"/>
        <w:numPr>
          <w:ilvl w:val="0"/>
          <w:numId w:val="2"/>
        </w:numPr>
        <w:rPr>
          <w:rFonts w:ascii="Times New Roman" w:hAnsi="Times New Roman" w:cs="Times New Roman"/>
          <w:b/>
          <w:bCs/>
          <w:sz w:val="28"/>
          <w:szCs w:val="28"/>
        </w:rPr>
      </w:pPr>
      <w:r w:rsidRPr="009C0D8D">
        <w:rPr>
          <w:rFonts w:ascii="Times New Roman" w:hAnsi="Times New Roman" w:cs="Times New Roman"/>
          <w:b/>
          <w:bCs/>
          <w:sz w:val="28"/>
          <w:szCs w:val="28"/>
        </w:rPr>
        <w:t>Cálculos de tasa de mortalidad en otros estudios (1 párrafo)</w:t>
      </w:r>
    </w:p>
    <w:p w14:paraId="21374C0B" w14:textId="16698C3B" w:rsidR="008C311F" w:rsidRDefault="008C311F" w:rsidP="00716D38">
      <w:pPr>
        <w:ind w:firstLine="284"/>
        <w:jc w:val="both"/>
        <w:rPr>
          <w:rFonts w:ascii="Times New Roman" w:hAnsi="Times New Roman" w:cs="Times New Roman"/>
          <w:sz w:val="24"/>
          <w:szCs w:val="24"/>
        </w:rPr>
      </w:pPr>
      <w:r w:rsidRPr="00AA0104">
        <w:rPr>
          <w:rFonts w:ascii="Times New Roman" w:hAnsi="Times New Roman" w:cs="Times New Roman"/>
          <w:sz w:val="24"/>
          <w:szCs w:val="24"/>
        </w:rPr>
        <w:t>En términos generales, tanto en la aplicación del estimador no-paramétrico de Kaplan-Meier como en el modelo paramétrico de Gompertz, nuestro estudio muestra una tasa de mortalidad</w:t>
      </w:r>
      <w:r w:rsidR="00716D38" w:rsidRPr="00AA0104">
        <w:rPr>
          <w:rFonts w:ascii="Times New Roman" w:hAnsi="Times New Roman" w:cs="Times New Roman"/>
          <w:sz w:val="24"/>
          <w:szCs w:val="24"/>
        </w:rPr>
        <w:t xml:space="preserve"> a las 30 días</w:t>
      </w:r>
      <w:r w:rsidRPr="00AA0104">
        <w:rPr>
          <w:rFonts w:ascii="Times New Roman" w:hAnsi="Times New Roman" w:cs="Times New Roman"/>
          <w:sz w:val="24"/>
          <w:szCs w:val="24"/>
        </w:rPr>
        <w:t xml:space="preserve"> relativamente alta para pacientes críticos de COVID-19 (</w:t>
      </w:r>
      <w:r w:rsidR="00BD4FD7" w:rsidRPr="00AA0104">
        <w:rPr>
          <w:rFonts w:ascii="Times New Roman" w:hAnsi="Times New Roman" w:cs="Times New Roman"/>
          <w:sz w:val="24"/>
          <w:szCs w:val="24"/>
        </w:rPr>
        <w:t xml:space="preserve">52.97% [95% IC: 50.01 – 56] y 52.92% [95% IC: 50.06 – 55.57], </w:t>
      </w:r>
      <w:r w:rsidRPr="00AA0104">
        <w:rPr>
          <w:rFonts w:ascii="Times New Roman" w:hAnsi="Times New Roman" w:cs="Times New Roman"/>
          <w:sz w:val="24"/>
          <w:szCs w:val="24"/>
        </w:rPr>
        <w:t>respectivamente)</w:t>
      </w:r>
      <w:r w:rsidR="00BD4FD7" w:rsidRPr="00AA0104">
        <w:rPr>
          <w:rFonts w:ascii="Times New Roman" w:hAnsi="Times New Roman" w:cs="Times New Roman"/>
          <w:sz w:val="24"/>
          <w:szCs w:val="24"/>
        </w:rPr>
        <w:t xml:space="preserve">. </w:t>
      </w:r>
      <w:r w:rsidR="00677BEC" w:rsidRPr="00AA0104">
        <w:rPr>
          <w:rFonts w:ascii="Times New Roman" w:hAnsi="Times New Roman" w:cs="Times New Roman"/>
          <w:sz w:val="24"/>
          <w:szCs w:val="24"/>
        </w:rPr>
        <w:t xml:space="preserve">Con base en un metaanálisis y una revisión sistemática sobre 24 estudios implementados en Asia, Europa y Norteamérica, el análisis cuantitativo de Armstrong et al. (2020) proporciona una tasa de mortalidad para pacientes en UCI por COVID-19 de 41.6% (95% CI: 34 – 49.7). </w:t>
      </w:r>
      <w:r w:rsidR="00716D38" w:rsidRPr="00AA0104">
        <w:rPr>
          <w:rFonts w:ascii="Times New Roman" w:hAnsi="Times New Roman" w:cs="Times New Roman"/>
          <w:sz w:val="24"/>
          <w:szCs w:val="24"/>
        </w:rPr>
        <w:t xml:space="preserve">Para un estudio sobre una cohorte de pacientes en UCI por neumonía </w:t>
      </w:r>
      <w:r w:rsidR="00716D38" w:rsidRPr="00AA0104">
        <w:rPr>
          <w:rFonts w:ascii="Times New Roman" w:hAnsi="Times New Roman" w:cs="Times New Roman"/>
          <w:sz w:val="24"/>
          <w:szCs w:val="24"/>
        </w:rPr>
        <w:t xml:space="preserve">SARS-CoV-2 </w:t>
      </w:r>
      <w:r w:rsidR="00716D38" w:rsidRPr="00AA0104">
        <w:rPr>
          <w:rFonts w:ascii="Times New Roman" w:hAnsi="Times New Roman" w:cs="Times New Roman"/>
          <w:sz w:val="24"/>
          <w:szCs w:val="24"/>
        </w:rPr>
        <w:t xml:space="preserve">en Wuhan, China, se reportó una tasa de mortalidad a los 28 días del 61.5% \cite{Yang}; mientras que, para un estudio multicéntrico sobre pacientes críticos admitidos en UCI en Francia, Bélgica y Suiza, se registró una tasa del 31% \cite{Schmidt}. </w:t>
      </w:r>
      <w:r w:rsidR="00AA0104" w:rsidRPr="00AA0104">
        <w:rPr>
          <w:rFonts w:ascii="Times New Roman" w:hAnsi="Times New Roman" w:cs="Times New Roman"/>
          <w:sz w:val="24"/>
          <w:szCs w:val="24"/>
        </w:rPr>
        <w:t>Hallazgos</w:t>
      </w:r>
      <w:r w:rsidR="00677BEC" w:rsidRPr="00AA0104">
        <w:rPr>
          <w:rFonts w:ascii="Times New Roman" w:hAnsi="Times New Roman" w:cs="Times New Roman"/>
          <w:sz w:val="24"/>
          <w:szCs w:val="24"/>
        </w:rPr>
        <w:t xml:space="preserve"> </w:t>
      </w:r>
      <w:r w:rsidR="00AA0104" w:rsidRPr="00AA0104">
        <w:rPr>
          <w:rFonts w:ascii="Times New Roman" w:hAnsi="Times New Roman" w:cs="Times New Roman"/>
          <w:sz w:val="24"/>
          <w:szCs w:val="24"/>
        </w:rPr>
        <w:t>coincidentes</w:t>
      </w:r>
      <w:r w:rsidR="00677BEC" w:rsidRPr="00AA0104">
        <w:rPr>
          <w:rFonts w:ascii="Times New Roman" w:hAnsi="Times New Roman" w:cs="Times New Roman"/>
          <w:sz w:val="24"/>
          <w:szCs w:val="24"/>
        </w:rPr>
        <w:t xml:space="preserve"> han sido</w:t>
      </w:r>
      <w:r w:rsidR="00AA0104" w:rsidRPr="00AA0104">
        <w:rPr>
          <w:rFonts w:ascii="Times New Roman" w:hAnsi="Times New Roman" w:cs="Times New Roman"/>
          <w:sz w:val="24"/>
          <w:szCs w:val="24"/>
        </w:rPr>
        <w:t xml:space="preserve"> </w:t>
      </w:r>
      <w:r w:rsidR="00677BEC" w:rsidRPr="00AA0104">
        <w:rPr>
          <w:rFonts w:ascii="Times New Roman" w:hAnsi="Times New Roman" w:cs="Times New Roman"/>
          <w:sz w:val="24"/>
          <w:szCs w:val="24"/>
        </w:rPr>
        <w:t xml:space="preserve">documentados en países de la región. </w:t>
      </w:r>
      <w:r w:rsidR="004C598B">
        <w:rPr>
          <w:rFonts w:ascii="Times New Roman" w:hAnsi="Times New Roman" w:cs="Times New Roman"/>
          <w:sz w:val="24"/>
          <w:szCs w:val="24"/>
        </w:rPr>
        <w:t>En</w:t>
      </w:r>
      <w:r w:rsidR="00716D38" w:rsidRPr="00AA0104">
        <w:rPr>
          <w:rFonts w:ascii="Times New Roman" w:hAnsi="Times New Roman" w:cs="Times New Roman"/>
          <w:sz w:val="24"/>
          <w:szCs w:val="24"/>
        </w:rPr>
        <w:t xml:space="preserve"> </w:t>
      </w:r>
      <w:r w:rsidR="004C598B">
        <w:rPr>
          <w:rFonts w:ascii="Times New Roman" w:hAnsi="Times New Roman" w:cs="Times New Roman"/>
          <w:sz w:val="24"/>
          <w:szCs w:val="24"/>
        </w:rPr>
        <w:t xml:space="preserve">un estudio multicéntrico en Argentina sobre una cohorte de pacientes en UCI </w:t>
      </w:r>
      <w:r w:rsidR="00716D38" w:rsidRPr="00AA0104">
        <w:rPr>
          <w:rFonts w:ascii="Times New Roman" w:hAnsi="Times New Roman" w:cs="Times New Roman"/>
          <w:sz w:val="24"/>
          <w:szCs w:val="24"/>
        </w:rPr>
        <w:t xml:space="preserve">l </w:t>
      </w:r>
      <w:r w:rsidR="004C598B" w:rsidRPr="004C598B">
        <w:rPr>
          <w:rFonts w:ascii="Times New Roman" w:hAnsi="Times New Roman" w:cs="Times New Roman"/>
          <w:sz w:val="24"/>
          <w:szCs w:val="24"/>
        </w:rPr>
        <w:t>con ventilación mecánica invasiva en Argentina</w:t>
      </w:r>
      <w:r w:rsidR="00716D38" w:rsidRPr="00AA0104">
        <w:rPr>
          <w:rFonts w:ascii="Times New Roman" w:hAnsi="Times New Roman" w:cs="Times New Roman"/>
          <w:sz w:val="24"/>
          <w:szCs w:val="24"/>
        </w:rPr>
        <w:t xml:space="preserve">, </w:t>
      </w:r>
      <w:r w:rsidR="004C598B">
        <w:rPr>
          <w:rFonts w:ascii="Times New Roman" w:hAnsi="Times New Roman" w:cs="Times New Roman"/>
          <w:sz w:val="24"/>
          <w:szCs w:val="24"/>
        </w:rPr>
        <w:t>se reporta</w:t>
      </w:r>
      <w:r w:rsidR="00AA0104" w:rsidRPr="00AA0104">
        <w:rPr>
          <w:rFonts w:ascii="Times New Roman" w:hAnsi="Times New Roman" w:cs="Times New Roman"/>
          <w:sz w:val="24"/>
          <w:szCs w:val="24"/>
        </w:rPr>
        <w:t xml:space="preserve"> una tasa de mortalidad a los 28 días del 57%. </w:t>
      </w:r>
    </w:p>
    <w:p w14:paraId="03CD73E9" w14:textId="77777777" w:rsidR="004C598B" w:rsidRDefault="004C598B" w:rsidP="00716D38">
      <w:pPr>
        <w:ind w:firstLine="284"/>
        <w:jc w:val="both"/>
        <w:rPr>
          <w:rFonts w:ascii="Times New Roman" w:hAnsi="Times New Roman" w:cs="Times New Roman"/>
          <w:sz w:val="24"/>
          <w:szCs w:val="24"/>
        </w:rPr>
      </w:pPr>
    </w:p>
    <w:p w14:paraId="3E560E6D" w14:textId="77777777" w:rsidR="00682466" w:rsidRPr="009C0D8D" w:rsidRDefault="00682466" w:rsidP="00682466">
      <w:pPr>
        <w:pStyle w:val="Prrafodelista"/>
        <w:rPr>
          <w:rFonts w:ascii="Times New Roman" w:hAnsi="Times New Roman" w:cs="Times New Roman"/>
          <w:b/>
          <w:bCs/>
          <w:sz w:val="28"/>
          <w:szCs w:val="28"/>
        </w:rPr>
      </w:pPr>
    </w:p>
    <w:p w14:paraId="068884A9" w14:textId="20FC99EA" w:rsidR="00682466" w:rsidRDefault="00682466" w:rsidP="00682466">
      <w:pPr>
        <w:pStyle w:val="Prrafodelista"/>
        <w:numPr>
          <w:ilvl w:val="0"/>
          <w:numId w:val="2"/>
        </w:numPr>
        <w:rPr>
          <w:rFonts w:ascii="Times New Roman" w:hAnsi="Times New Roman" w:cs="Times New Roman"/>
          <w:b/>
          <w:bCs/>
          <w:sz w:val="28"/>
          <w:szCs w:val="28"/>
        </w:rPr>
      </w:pPr>
      <w:r w:rsidRPr="009C0D8D">
        <w:rPr>
          <w:rFonts w:ascii="Times New Roman" w:hAnsi="Times New Roman" w:cs="Times New Roman"/>
          <w:b/>
          <w:bCs/>
          <w:sz w:val="28"/>
          <w:szCs w:val="28"/>
        </w:rPr>
        <w:t>Distribución del tiempo de permanencia en UCI (</w:t>
      </w:r>
      <w:r w:rsidR="008C311F">
        <w:rPr>
          <w:rFonts w:ascii="Times New Roman" w:hAnsi="Times New Roman" w:cs="Times New Roman"/>
          <w:b/>
          <w:bCs/>
          <w:sz w:val="28"/>
          <w:szCs w:val="28"/>
        </w:rPr>
        <w:t>1</w:t>
      </w:r>
      <w:r w:rsidRPr="009C0D8D">
        <w:rPr>
          <w:rFonts w:ascii="Times New Roman" w:hAnsi="Times New Roman" w:cs="Times New Roman"/>
          <w:b/>
          <w:bCs/>
          <w:sz w:val="28"/>
          <w:szCs w:val="28"/>
        </w:rPr>
        <w:t xml:space="preserve"> párrafos)</w:t>
      </w:r>
    </w:p>
    <w:p w14:paraId="6976F781" w14:textId="77777777" w:rsidR="00A05FD2" w:rsidRPr="00A05FD2" w:rsidRDefault="00A05FD2" w:rsidP="00A05FD2">
      <w:pPr>
        <w:pStyle w:val="Prrafodelista"/>
        <w:rPr>
          <w:rFonts w:ascii="Times New Roman" w:hAnsi="Times New Roman" w:cs="Times New Roman"/>
          <w:b/>
          <w:bCs/>
          <w:sz w:val="28"/>
          <w:szCs w:val="28"/>
        </w:rPr>
      </w:pPr>
    </w:p>
    <w:p w14:paraId="0F910824" w14:textId="45B67D35" w:rsidR="009739B2" w:rsidRDefault="00BD0126" w:rsidP="009739B2">
      <w:pPr>
        <w:ind w:firstLine="284"/>
        <w:jc w:val="both"/>
        <w:rPr>
          <w:rFonts w:ascii="Times New Roman" w:hAnsi="Times New Roman" w:cs="Times New Roman"/>
          <w:sz w:val="24"/>
          <w:szCs w:val="24"/>
        </w:rPr>
      </w:pPr>
      <w:r w:rsidRPr="00BD0126">
        <w:rPr>
          <w:rFonts w:ascii="Times New Roman" w:hAnsi="Times New Roman" w:cs="Times New Roman"/>
          <w:sz w:val="24"/>
          <w:szCs w:val="24"/>
        </w:rPr>
        <w:t>El tiempo de permanencia en UCI para pacientes de COVID-19 sigue una distribución gamma, lo cual verifica la hipótesis según la cual la variable continua sigue una distribución sesgada hacia la derecha [</w:t>
      </w:r>
      <w:proofErr w:type="spellStart"/>
      <w:r w:rsidRPr="00BD0126">
        <w:rPr>
          <w:rFonts w:ascii="Times New Roman" w:hAnsi="Times New Roman" w:cs="Times New Roman"/>
          <w:sz w:val="24"/>
          <w:szCs w:val="24"/>
        </w:rPr>
        <w:t>Marazzi</w:t>
      </w:r>
      <w:proofErr w:type="spellEnd"/>
      <w:r w:rsidRPr="00BD0126">
        <w:rPr>
          <w:rFonts w:ascii="Times New Roman" w:hAnsi="Times New Roman" w:cs="Times New Roman"/>
          <w:sz w:val="24"/>
          <w:szCs w:val="24"/>
        </w:rPr>
        <w:t>]. El tiempo de permanencia en UCI reportado en nuestro estudio coincide con estudios globales tempranos (19 días [4, 74]). Mediante la generación de distribuciones con base resúmenes descriptivos, una revisión sistemática documenta que</w:t>
      </w:r>
      <w:r>
        <w:rPr>
          <w:rFonts w:ascii="Times New Roman" w:hAnsi="Times New Roman" w:cs="Times New Roman"/>
          <w:sz w:val="24"/>
          <w:szCs w:val="24"/>
        </w:rPr>
        <w:t xml:space="preserve"> </w:t>
      </w:r>
      <w:r w:rsidRPr="00BD0126">
        <w:rPr>
          <w:rFonts w:ascii="Times New Roman" w:hAnsi="Times New Roman" w:cs="Times New Roman"/>
          <w:sz w:val="24"/>
          <w:szCs w:val="24"/>
        </w:rPr>
        <w:t xml:space="preserve">el tiempo de permanencia mediano en UCI </w:t>
      </w:r>
      <w:r>
        <w:rPr>
          <w:rFonts w:ascii="Times New Roman" w:hAnsi="Times New Roman" w:cs="Times New Roman"/>
          <w:sz w:val="24"/>
          <w:szCs w:val="24"/>
        </w:rPr>
        <w:t>oscila entre 5 días (2 – 9) y 19 días (IQR no reportado). Para el caso de Colombia, un ejercicio similar es realizado</w:t>
      </w:r>
      <w:r w:rsidR="009739B2">
        <w:rPr>
          <w:rFonts w:ascii="Times New Roman" w:hAnsi="Times New Roman" w:cs="Times New Roman"/>
          <w:sz w:val="24"/>
          <w:szCs w:val="24"/>
        </w:rPr>
        <w:t xml:space="preserve"> a partir de los reportes diarios del Ministerio de Salud y Protección Social \cite{</w:t>
      </w:r>
      <w:proofErr w:type="spellStart"/>
      <w:r w:rsidR="009739B2">
        <w:rPr>
          <w:rFonts w:ascii="Times New Roman" w:hAnsi="Times New Roman" w:cs="Times New Roman"/>
          <w:sz w:val="24"/>
          <w:szCs w:val="24"/>
        </w:rPr>
        <w:t>MinSalud</w:t>
      </w:r>
      <w:proofErr w:type="spellEnd"/>
      <w:r w:rsidR="009739B2">
        <w:rPr>
          <w:rFonts w:ascii="Times New Roman" w:hAnsi="Times New Roman" w:cs="Times New Roman"/>
          <w:sz w:val="24"/>
          <w:szCs w:val="24"/>
        </w:rPr>
        <w:t>}. El estudio verifica que el tiempo en UCI para pacientes de COVID-19 muestra una distribución bimodal y una media estimada de 15.21 días \cite{Diaz}.</w:t>
      </w:r>
    </w:p>
    <w:p w14:paraId="67B80EF7" w14:textId="77777777" w:rsidR="009739B2" w:rsidRDefault="009739B2" w:rsidP="00BD0126">
      <w:pPr>
        <w:ind w:firstLine="284"/>
        <w:jc w:val="both"/>
        <w:rPr>
          <w:rFonts w:ascii="Times New Roman" w:hAnsi="Times New Roman" w:cs="Times New Roman"/>
          <w:sz w:val="24"/>
          <w:szCs w:val="24"/>
        </w:rPr>
      </w:pPr>
    </w:p>
    <w:p w14:paraId="4017CCFC" w14:textId="77777777" w:rsidR="00A05FD2" w:rsidRDefault="00A05FD2" w:rsidP="00A05FD2">
      <w:pPr>
        <w:rPr>
          <w:rFonts w:ascii="Times New Roman" w:hAnsi="Times New Roman" w:cs="Times New Roman"/>
          <w:b/>
          <w:bCs/>
          <w:sz w:val="28"/>
          <w:szCs w:val="28"/>
        </w:rPr>
      </w:pPr>
    </w:p>
    <w:p w14:paraId="15A818B4" w14:textId="77777777" w:rsidR="00A05FD2" w:rsidRDefault="00A05FD2" w:rsidP="00A05FD2">
      <w:pPr>
        <w:rPr>
          <w:rFonts w:ascii="Times New Roman" w:hAnsi="Times New Roman" w:cs="Times New Roman"/>
          <w:b/>
          <w:bCs/>
          <w:sz w:val="28"/>
          <w:szCs w:val="28"/>
        </w:rPr>
      </w:pPr>
    </w:p>
    <w:p w14:paraId="608D1667" w14:textId="77777777" w:rsidR="00A05FD2" w:rsidRDefault="00A05FD2" w:rsidP="00A05FD2">
      <w:pPr>
        <w:rPr>
          <w:rFonts w:ascii="Times New Roman" w:hAnsi="Times New Roman" w:cs="Times New Roman"/>
          <w:b/>
          <w:bCs/>
          <w:sz w:val="28"/>
          <w:szCs w:val="28"/>
        </w:rPr>
      </w:pPr>
    </w:p>
    <w:p w14:paraId="0BC6E32A" w14:textId="77777777" w:rsidR="00A05FD2" w:rsidRDefault="00A05FD2" w:rsidP="00A05FD2">
      <w:pPr>
        <w:rPr>
          <w:rFonts w:ascii="Times New Roman" w:hAnsi="Times New Roman" w:cs="Times New Roman"/>
          <w:b/>
          <w:bCs/>
          <w:sz w:val="28"/>
          <w:szCs w:val="28"/>
        </w:rPr>
      </w:pPr>
    </w:p>
    <w:p w14:paraId="375C9E1F" w14:textId="77777777" w:rsidR="00A05FD2" w:rsidRDefault="00A05FD2" w:rsidP="00A05FD2">
      <w:pPr>
        <w:rPr>
          <w:rFonts w:ascii="Times New Roman" w:hAnsi="Times New Roman" w:cs="Times New Roman"/>
          <w:b/>
          <w:bCs/>
          <w:sz w:val="28"/>
          <w:szCs w:val="28"/>
        </w:rPr>
      </w:pPr>
    </w:p>
    <w:p w14:paraId="13A5D80B" w14:textId="77777777" w:rsidR="00A05FD2" w:rsidRDefault="00A05FD2" w:rsidP="00A05FD2">
      <w:pPr>
        <w:rPr>
          <w:rFonts w:ascii="Times New Roman" w:hAnsi="Times New Roman" w:cs="Times New Roman"/>
          <w:b/>
          <w:bCs/>
          <w:sz w:val="28"/>
          <w:szCs w:val="28"/>
        </w:rPr>
      </w:pPr>
    </w:p>
    <w:p w14:paraId="175393F5" w14:textId="26481B08" w:rsidR="00A05FD2" w:rsidRDefault="00A05FD2" w:rsidP="00A05FD2">
      <w:pPr>
        <w:rPr>
          <w:rFonts w:ascii="Times New Roman" w:hAnsi="Times New Roman" w:cs="Times New Roman"/>
          <w:b/>
          <w:bCs/>
          <w:sz w:val="28"/>
          <w:szCs w:val="28"/>
        </w:rPr>
      </w:pPr>
      <w:r>
        <w:rPr>
          <w:rFonts w:ascii="Times New Roman" w:hAnsi="Times New Roman" w:cs="Times New Roman"/>
          <w:b/>
          <w:bCs/>
          <w:sz w:val="28"/>
          <w:szCs w:val="28"/>
        </w:rPr>
        <w:t>Anexo:</w:t>
      </w:r>
    </w:p>
    <w:p w14:paraId="641CB5D8" w14:textId="296B2A6F" w:rsidR="00A05FD2" w:rsidRPr="00C15219" w:rsidRDefault="00A05FD2" w:rsidP="00C15219">
      <w:pPr>
        <w:ind w:firstLine="284"/>
        <w:rPr>
          <w:rFonts w:ascii="Times New Roman" w:hAnsi="Times New Roman" w:cs="Times New Roman"/>
          <w:sz w:val="28"/>
          <w:szCs w:val="28"/>
        </w:rPr>
      </w:pPr>
      <w:r>
        <w:rPr>
          <w:rFonts w:ascii="Times New Roman" w:hAnsi="Times New Roman" w:cs="Times New Roman"/>
          <w:sz w:val="28"/>
          <w:szCs w:val="28"/>
        </w:rPr>
        <w:lastRenderedPageBreak/>
        <w:t>Considérese el siguiente párrafo para reemplazar los párrafos III y IV de la introducción:</w:t>
      </w:r>
    </w:p>
    <w:p w14:paraId="7F8339BA" w14:textId="4F251DB8" w:rsidR="00A05FD2" w:rsidRPr="00A05FD2" w:rsidRDefault="00A05FD2" w:rsidP="005A129D">
      <w:pPr>
        <w:ind w:firstLine="284"/>
        <w:jc w:val="both"/>
        <w:rPr>
          <w:rFonts w:ascii="Times New Roman" w:hAnsi="Times New Roman" w:cs="Times New Roman"/>
          <w:sz w:val="24"/>
          <w:szCs w:val="24"/>
        </w:rPr>
      </w:pPr>
      <w:r w:rsidRPr="00A05FD2">
        <w:rPr>
          <w:rFonts w:ascii="Times New Roman" w:hAnsi="Times New Roman" w:cs="Times New Roman"/>
          <w:sz w:val="24"/>
          <w:szCs w:val="24"/>
        </w:rPr>
        <w:t xml:space="preserve">La priorización según la selección </w:t>
      </w:r>
      <w:r w:rsidRPr="00A05FD2">
        <w:rPr>
          <w:rFonts w:ascii="Times New Roman" w:hAnsi="Times New Roman" w:cs="Times New Roman"/>
          <w:i/>
          <w:iCs/>
          <w:sz w:val="24"/>
          <w:szCs w:val="24"/>
        </w:rPr>
        <w:t xml:space="preserve">a priori </w:t>
      </w:r>
      <w:r w:rsidRPr="00A05FD2">
        <w:rPr>
          <w:rFonts w:ascii="Times New Roman" w:hAnsi="Times New Roman" w:cs="Times New Roman"/>
          <w:sz w:val="24"/>
          <w:szCs w:val="24"/>
        </w:rPr>
        <w:t>se fundamenta en factores de riesgo tales como la edad del paciente. En efecto, estudios anteriores han verificado que</w:t>
      </w:r>
      <w:r w:rsidR="00C15219">
        <w:rPr>
          <w:rFonts w:ascii="Times New Roman" w:hAnsi="Times New Roman" w:cs="Times New Roman"/>
          <w:sz w:val="24"/>
          <w:szCs w:val="24"/>
        </w:rPr>
        <w:t xml:space="preserve"> </w:t>
      </w:r>
      <w:r w:rsidR="005A129D">
        <w:rPr>
          <w:rFonts w:ascii="Times New Roman" w:hAnsi="Times New Roman" w:cs="Times New Roman"/>
          <w:sz w:val="24"/>
          <w:szCs w:val="24"/>
        </w:rPr>
        <w:t xml:space="preserve">los pacientes de COVID-19 en UCI muestran un mayor riesgo de desarrollar ARDS y, en general, una tasa de mortalidad superior </w:t>
      </w:r>
      <w:r w:rsidR="00C15219">
        <w:rPr>
          <w:rFonts w:ascii="Times New Roman" w:hAnsi="Times New Roman" w:cs="Times New Roman"/>
          <w:sz w:val="24"/>
          <w:szCs w:val="24"/>
        </w:rPr>
        <w:t>[1* - 3*]</w:t>
      </w:r>
      <w:r w:rsidR="00C15219">
        <w:rPr>
          <w:rStyle w:val="Refdenotaalpie"/>
          <w:rFonts w:ascii="Times New Roman" w:hAnsi="Times New Roman" w:cs="Times New Roman"/>
          <w:sz w:val="24"/>
          <w:szCs w:val="24"/>
        </w:rPr>
        <w:footnoteReference w:id="7"/>
      </w:r>
      <w:r w:rsidRPr="00A05FD2">
        <w:rPr>
          <w:rFonts w:ascii="Times New Roman" w:hAnsi="Times New Roman" w:cs="Times New Roman"/>
          <w:sz w:val="24"/>
          <w:szCs w:val="24"/>
        </w:rPr>
        <w:t>. En una línea similar, se ha verificado que los pacientes en UCI por COVID-19 de sexo masculino muestran una peor evolución de la enfermedad</w:t>
      </w:r>
      <w:r w:rsidR="00C15219">
        <w:rPr>
          <w:rFonts w:ascii="Times New Roman" w:hAnsi="Times New Roman" w:cs="Times New Roman"/>
          <w:sz w:val="24"/>
          <w:szCs w:val="24"/>
        </w:rPr>
        <w:t xml:space="preserve"> [21], [28], [32], [34], [47] y [49]</w:t>
      </w:r>
      <w:r w:rsidRPr="00A05FD2">
        <w:rPr>
          <w:rFonts w:ascii="Times New Roman" w:hAnsi="Times New Roman" w:cs="Times New Roman"/>
          <w:sz w:val="24"/>
          <w:szCs w:val="24"/>
        </w:rPr>
        <w:t>.</w:t>
      </w:r>
      <w:r w:rsidR="00C15219">
        <w:rPr>
          <w:rFonts w:ascii="Times New Roman" w:hAnsi="Times New Roman" w:cs="Times New Roman"/>
          <w:sz w:val="24"/>
          <w:szCs w:val="24"/>
        </w:rPr>
        <w:t xml:space="preserve"> L</w:t>
      </w:r>
      <w:r w:rsidRPr="00A05FD2">
        <w:rPr>
          <w:rFonts w:ascii="Times New Roman" w:hAnsi="Times New Roman" w:cs="Times New Roman"/>
          <w:sz w:val="24"/>
          <w:szCs w:val="24"/>
        </w:rPr>
        <w:t>os pacientes de sexo masculino no sólo presentan una mayor mortalidad; sino que, en comparación</w:t>
      </w:r>
      <w:r>
        <w:rPr>
          <w:rFonts w:ascii="Times New Roman" w:hAnsi="Times New Roman" w:cs="Times New Roman"/>
          <w:sz w:val="24"/>
          <w:szCs w:val="24"/>
        </w:rPr>
        <w:t xml:space="preserve"> con una cohorte de pacientes de sexo femenino con características similares, un mayor riesgo de hospitalización, de ser ingresados en UCI y de requerir ventilación mecánica [17, 18]. </w:t>
      </w:r>
      <w:r w:rsidR="00C15219">
        <w:rPr>
          <w:rFonts w:ascii="Times New Roman" w:hAnsi="Times New Roman" w:cs="Times New Roman"/>
          <w:sz w:val="24"/>
          <w:szCs w:val="24"/>
        </w:rPr>
        <w:t>Todavía más, mediante un metaanálisis de casos globales, se verificó que, aun cuando no exista una diferencia significativa en la proporción de casos confirmados, los resultados anteriores se conservan [19, 20].</w:t>
      </w:r>
    </w:p>
    <w:p w14:paraId="0477E767" w14:textId="1818E036" w:rsidR="00A05FD2" w:rsidRPr="00A05FD2" w:rsidRDefault="00A05FD2" w:rsidP="00A05FD2">
      <w:pPr>
        <w:rPr>
          <w:rFonts w:ascii="Times New Roman" w:hAnsi="Times New Roman" w:cs="Times New Roman"/>
          <w:sz w:val="28"/>
          <w:szCs w:val="28"/>
        </w:rPr>
      </w:pPr>
    </w:p>
    <w:sectPr w:rsidR="00A05FD2" w:rsidRPr="00A05FD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io Barona" w:date="2023-05-23T21:11:00Z" w:initials="SB">
    <w:p w14:paraId="3C52925E" w14:textId="77777777" w:rsidR="009C0D8D" w:rsidRDefault="009C0D8D" w:rsidP="000C13CD">
      <w:pPr>
        <w:pStyle w:val="Textocomentario"/>
      </w:pPr>
      <w:r>
        <w:rPr>
          <w:rStyle w:val="Refdecomentario"/>
        </w:rPr>
        <w:annotationRef/>
      </w:r>
      <w:r>
        <w:t xml:space="preserve">Este rango está mal. La corrección y las referencias están pendientes.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292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AA9D" w16cex:dateUtc="2023-05-24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2925E" w16cid:durableId="2817A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F32F4" w14:textId="77777777" w:rsidR="002C44BE" w:rsidRDefault="002C44BE" w:rsidP="00BD0C47">
      <w:pPr>
        <w:spacing w:after="0" w:line="240" w:lineRule="auto"/>
      </w:pPr>
      <w:r>
        <w:separator/>
      </w:r>
    </w:p>
  </w:endnote>
  <w:endnote w:type="continuationSeparator" w:id="0">
    <w:p w14:paraId="10B5C522" w14:textId="77777777" w:rsidR="002C44BE" w:rsidRDefault="002C44BE" w:rsidP="00BD0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MI8">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85CDD" w14:textId="77777777" w:rsidR="002C44BE" w:rsidRDefault="002C44BE" w:rsidP="00BD0C47">
      <w:pPr>
        <w:spacing w:after="0" w:line="240" w:lineRule="auto"/>
      </w:pPr>
      <w:r>
        <w:separator/>
      </w:r>
    </w:p>
  </w:footnote>
  <w:footnote w:type="continuationSeparator" w:id="0">
    <w:p w14:paraId="65EC4544" w14:textId="77777777" w:rsidR="002C44BE" w:rsidRDefault="002C44BE" w:rsidP="00BD0C47">
      <w:pPr>
        <w:spacing w:after="0" w:line="240" w:lineRule="auto"/>
      </w:pPr>
      <w:r>
        <w:continuationSeparator/>
      </w:r>
    </w:p>
  </w:footnote>
  <w:footnote w:id="1">
    <w:p w14:paraId="1321F9F8" w14:textId="77777777" w:rsidR="00A265D8" w:rsidRPr="00CC0E1D" w:rsidRDefault="00A265D8" w:rsidP="00A265D8">
      <w:pPr>
        <w:pStyle w:val="Textonotapie"/>
        <w:jc w:val="both"/>
        <w:rPr>
          <w:lang w:val="en-US"/>
        </w:rPr>
      </w:pPr>
      <w:r w:rsidRPr="00376568">
        <w:rPr>
          <w:rStyle w:val="Refdenotaalpie"/>
          <w:rFonts w:ascii="Times New Roman" w:hAnsi="Times New Roman" w:cs="Times New Roman"/>
        </w:rPr>
        <w:footnoteRef/>
      </w:r>
      <w:r>
        <w:rPr>
          <w:rFonts w:ascii="Times New Roman" w:hAnsi="Times New Roman" w:cs="Times New Roman"/>
          <w:lang w:val="en-US"/>
        </w:rPr>
        <w:t xml:space="preserve"> </w:t>
      </w:r>
      <w:r w:rsidRPr="009C0D8D">
        <w:rPr>
          <w:rFonts w:ascii="Times New Roman" w:hAnsi="Times New Roman" w:cs="Times New Roman"/>
          <w:highlight w:val="yellow"/>
          <w:lang w:val="en-US"/>
        </w:rPr>
        <w:t xml:space="preserve">For a discussion on sex-specific mechanisms (v.gr.: such as hormone-regulated expression of genes encoding for the SARS-CoV2 entry receptors ACE 2 receptor and TMPRSS2 as well as sex hormone-driven innate and adaptive immune responses and immunoaging) and gender-specific lifestyle features (v.gr.: health behavior, psychological stress and socioeconomic conditions) modulating the course of disease, see </w:t>
      </w:r>
      <w:proofErr w:type="spellStart"/>
      <w:r w:rsidRPr="009C0D8D">
        <w:rPr>
          <w:rFonts w:ascii="Times New Roman" w:hAnsi="Times New Roman" w:cs="Times New Roman"/>
          <w:highlight w:val="yellow"/>
          <w:lang w:val="en-US"/>
        </w:rPr>
        <w:t>Gebhard</w:t>
      </w:r>
      <w:proofErr w:type="spellEnd"/>
      <w:r w:rsidRPr="009C0D8D">
        <w:rPr>
          <w:rFonts w:ascii="Times New Roman" w:hAnsi="Times New Roman" w:cs="Times New Roman"/>
          <w:highlight w:val="yellow"/>
          <w:lang w:val="en-US"/>
        </w:rPr>
        <w:t xml:space="preserve"> et al. (2020). For a discussion on how sex differences in basic molecular and cellular mechanisms can be leveraged to define the immune response to infection with SARS-COV-2, see Scully et al. (2020).</w:t>
      </w:r>
      <w:r w:rsidRPr="009C0D8D">
        <w:rPr>
          <w:highlight w:val="yellow"/>
          <w:lang w:val="en-US"/>
        </w:rPr>
        <w:t xml:space="preserve"> </w:t>
      </w:r>
      <w:r w:rsidRPr="009C0D8D">
        <w:rPr>
          <w:rFonts w:ascii="Times New Roman" w:hAnsi="Times New Roman" w:cs="Times New Roman"/>
          <w:highlight w:val="yellow"/>
          <w:lang w:val="en-US"/>
        </w:rPr>
        <w:t xml:space="preserve">For a systematic review on studies on pharmacological treatment for COVID-19 differentiated by sex, see </w:t>
      </w:r>
      <w:proofErr w:type="spellStart"/>
      <w:r w:rsidRPr="009C0D8D">
        <w:rPr>
          <w:rFonts w:ascii="Times New Roman" w:hAnsi="Times New Roman" w:cs="Times New Roman"/>
          <w:highlight w:val="yellow"/>
          <w:lang w:val="en-US"/>
        </w:rPr>
        <w:t>Shiffer</w:t>
      </w:r>
      <w:proofErr w:type="spellEnd"/>
      <w:r w:rsidRPr="009C0D8D">
        <w:rPr>
          <w:rFonts w:ascii="Times New Roman" w:hAnsi="Times New Roman" w:cs="Times New Roman"/>
          <w:highlight w:val="yellow"/>
          <w:lang w:val="en-US"/>
        </w:rPr>
        <w:t xml:space="preserve"> et al. (2020). For a comprehensive review on sex disparities in susceptibility and outcome of COVID-19 due to pathophysiological and molecular mechanisms (sex hormone influence on fac- tors that facilitate virus entry and priming, immune and inflammatory response, as well as coagulation and thrombosis diathesis), see </w:t>
      </w:r>
      <w:proofErr w:type="spellStart"/>
      <w:r w:rsidRPr="009C0D8D">
        <w:rPr>
          <w:rFonts w:ascii="Times New Roman" w:hAnsi="Times New Roman" w:cs="Times New Roman"/>
          <w:highlight w:val="yellow"/>
          <w:lang w:val="en-US"/>
        </w:rPr>
        <w:t>Pivonello</w:t>
      </w:r>
      <w:proofErr w:type="spellEnd"/>
      <w:r w:rsidRPr="009C0D8D">
        <w:rPr>
          <w:rFonts w:ascii="Times New Roman" w:hAnsi="Times New Roman" w:cs="Times New Roman"/>
          <w:highlight w:val="yellow"/>
          <w:lang w:val="en-US"/>
        </w:rPr>
        <w:t xml:space="preserve"> et al. (2020). Finally, Pradhan &amp; Olsson (2002) claim that difference in immune system function, steroid hormone milieu and sex organs could play a crucial role in pathogenesis.</w:t>
      </w:r>
    </w:p>
  </w:footnote>
  <w:footnote w:id="2">
    <w:p w14:paraId="066F61D9" w14:textId="1F9EF8FD" w:rsidR="00653C5D" w:rsidRPr="00951271" w:rsidRDefault="00653C5D" w:rsidP="00376568">
      <w:pPr>
        <w:pStyle w:val="Textonotapie"/>
        <w:jc w:val="both"/>
        <w:rPr>
          <w:rFonts w:ascii="Times New Roman" w:hAnsi="Times New Roman" w:cs="Times New Roman"/>
          <w:lang w:val="en-US"/>
        </w:rPr>
      </w:pPr>
      <w:r w:rsidRPr="00376568">
        <w:rPr>
          <w:rStyle w:val="Refdenotaalpie"/>
          <w:rFonts w:ascii="Times New Roman" w:hAnsi="Times New Roman" w:cs="Times New Roman"/>
        </w:rPr>
        <w:footnoteRef/>
      </w:r>
      <w:r w:rsidRPr="00376568">
        <w:rPr>
          <w:rFonts w:ascii="Times New Roman" w:hAnsi="Times New Roman" w:cs="Times New Roman"/>
          <w:lang w:val="fr-FR"/>
        </w:rPr>
        <w:t xml:space="preserve"> Meijs et al. (2022), Graselli et al. (2020), Zappella et al. (2022), Haase et al. (2021), Peñuelas et al. (2021), Zhan et al. (2021), Cour et al. (2021), Schmidt et al. (2021), Islam et al. (2021), Islam et al. (2021), Lapidus et al. (2020), Sun et al. </w:t>
      </w:r>
      <w:r w:rsidRPr="00951271">
        <w:rPr>
          <w:rFonts w:ascii="Times New Roman" w:hAnsi="Times New Roman" w:cs="Times New Roman"/>
          <w:lang w:val="en-US"/>
        </w:rPr>
        <w:t>(2020).</w:t>
      </w:r>
    </w:p>
  </w:footnote>
  <w:footnote w:id="3">
    <w:p w14:paraId="42C63293" w14:textId="345ABCF1" w:rsidR="00653C5D" w:rsidRPr="00951271" w:rsidRDefault="00653C5D" w:rsidP="00376568">
      <w:pPr>
        <w:pStyle w:val="Textonotapie"/>
        <w:jc w:val="both"/>
        <w:rPr>
          <w:rFonts w:ascii="Times New Roman" w:hAnsi="Times New Roman" w:cs="Times New Roman"/>
          <w:lang w:val="en-US"/>
        </w:rPr>
      </w:pPr>
      <w:r w:rsidRPr="00376568">
        <w:rPr>
          <w:rStyle w:val="Refdenotaalpie"/>
          <w:rFonts w:ascii="Times New Roman" w:hAnsi="Times New Roman" w:cs="Times New Roman"/>
        </w:rPr>
        <w:footnoteRef/>
      </w:r>
      <w:r w:rsidRPr="00951271">
        <w:rPr>
          <w:rFonts w:ascii="Times New Roman" w:hAnsi="Times New Roman" w:cs="Times New Roman"/>
          <w:lang w:val="en-US"/>
        </w:rPr>
        <w:t xml:space="preserve"> Peckham et al. (2020), Armstrong et al. (2020)</w:t>
      </w:r>
    </w:p>
  </w:footnote>
  <w:footnote w:id="4">
    <w:p w14:paraId="29671CDB" w14:textId="243B71C8" w:rsidR="00653C5D" w:rsidRPr="00951271" w:rsidRDefault="00653C5D" w:rsidP="00376568">
      <w:pPr>
        <w:pStyle w:val="Textonotapie"/>
        <w:jc w:val="both"/>
        <w:rPr>
          <w:rFonts w:ascii="Times New Roman" w:hAnsi="Times New Roman" w:cs="Times New Roman"/>
          <w:lang w:val="en-US"/>
        </w:rPr>
      </w:pPr>
      <w:r w:rsidRPr="00376568">
        <w:rPr>
          <w:rStyle w:val="Refdenotaalpie"/>
          <w:rFonts w:ascii="Times New Roman" w:hAnsi="Times New Roman" w:cs="Times New Roman"/>
        </w:rPr>
        <w:footnoteRef/>
      </w:r>
      <w:r w:rsidRPr="00376568">
        <w:rPr>
          <w:rFonts w:ascii="Times New Roman" w:hAnsi="Times New Roman" w:cs="Times New Roman"/>
          <w:lang w:val="en-US"/>
        </w:rPr>
        <w:t xml:space="preserve"> Klein &amp; Huber (2009)</w:t>
      </w:r>
      <w:r w:rsidR="00376568" w:rsidRPr="00376568">
        <w:rPr>
          <w:rFonts w:ascii="Times New Roman" w:hAnsi="Times New Roman" w:cs="Times New Roman"/>
          <w:lang w:val="en-US"/>
        </w:rPr>
        <w:t xml:space="preserve">. Sex differences in susceptibility to viral infection. In: Klein SL, Roberts CW, editors. Sex Hormones and Immunity to Infection. </w:t>
      </w:r>
      <w:r w:rsidR="00376568" w:rsidRPr="00951271">
        <w:rPr>
          <w:rFonts w:ascii="Times New Roman" w:hAnsi="Times New Roman" w:cs="Times New Roman"/>
          <w:lang w:val="en-US"/>
        </w:rPr>
        <w:t>Berlin: Springer-Verlag.</w:t>
      </w:r>
    </w:p>
  </w:footnote>
  <w:footnote w:id="5">
    <w:p w14:paraId="7F0971E6" w14:textId="228995A7" w:rsidR="00376568" w:rsidRPr="00CC0E1D" w:rsidRDefault="00376568" w:rsidP="00376568">
      <w:pPr>
        <w:pStyle w:val="Textonotapie"/>
        <w:jc w:val="both"/>
        <w:rPr>
          <w:lang w:val="en-US"/>
        </w:rPr>
      </w:pPr>
      <w:r w:rsidRPr="00376568">
        <w:rPr>
          <w:rStyle w:val="Refdenotaalpie"/>
          <w:rFonts w:ascii="Times New Roman" w:hAnsi="Times New Roman" w:cs="Times New Roman"/>
        </w:rPr>
        <w:footnoteRef/>
      </w:r>
      <w:r w:rsidR="00216326">
        <w:rPr>
          <w:rFonts w:ascii="Times New Roman" w:hAnsi="Times New Roman" w:cs="Times New Roman"/>
          <w:lang w:val="en-US"/>
        </w:rPr>
        <w:t xml:space="preserve"> </w:t>
      </w:r>
      <w:r w:rsidR="005B7236" w:rsidRPr="009C0D8D">
        <w:rPr>
          <w:rFonts w:ascii="Times New Roman" w:hAnsi="Times New Roman" w:cs="Times New Roman"/>
          <w:highlight w:val="yellow"/>
          <w:lang w:val="en-US"/>
        </w:rPr>
        <w:t xml:space="preserve">For a discussion on sex-specific mechanisms (v.gr.: such as hormone-regulated expression of genes encoding for the SARS-CoV2 entry receptors ACE 2 receptor and TMPRSS2 as well as sex hormone-driven innate and adaptive immune responses and immunoaging) and gender-specific lifestyle features (v.gr.: health behavior, psychological stress and socioeconomic conditions) modulating the course of disease, see </w:t>
      </w:r>
      <w:proofErr w:type="spellStart"/>
      <w:r w:rsidR="005B7236" w:rsidRPr="009C0D8D">
        <w:rPr>
          <w:rFonts w:ascii="Times New Roman" w:hAnsi="Times New Roman" w:cs="Times New Roman"/>
          <w:highlight w:val="yellow"/>
          <w:lang w:val="en-US"/>
        </w:rPr>
        <w:t>Gebhard</w:t>
      </w:r>
      <w:proofErr w:type="spellEnd"/>
      <w:r w:rsidR="005B7236" w:rsidRPr="009C0D8D">
        <w:rPr>
          <w:rFonts w:ascii="Times New Roman" w:hAnsi="Times New Roman" w:cs="Times New Roman"/>
          <w:highlight w:val="yellow"/>
          <w:lang w:val="en-US"/>
        </w:rPr>
        <w:t xml:space="preserve"> et al. (2020). For a discussion on how sex differences in basic molecular and cellular mechanisms can be leveraged to define the immune response to infection with SARS-COV-2, see Scully et al. (2020).</w:t>
      </w:r>
      <w:r w:rsidR="005B7236" w:rsidRPr="009C0D8D">
        <w:rPr>
          <w:highlight w:val="yellow"/>
          <w:lang w:val="en-US"/>
        </w:rPr>
        <w:t xml:space="preserve"> </w:t>
      </w:r>
      <w:r w:rsidR="005B7236" w:rsidRPr="009C0D8D">
        <w:rPr>
          <w:rFonts w:ascii="Times New Roman" w:hAnsi="Times New Roman" w:cs="Times New Roman"/>
          <w:highlight w:val="yellow"/>
          <w:lang w:val="en-US"/>
        </w:rPr>
        <w:t xml:space="preserve">For a systematic review on studies on pharmacological treatment for COVID-19 differentiated by sex, see </w:t>
      </w:r>
      <w:proofErr w:type="spellStart"/>
      <w:r w:rsidR="005B7236" w:rsidRPr="009C0D8D">
        <w:rPr>
          <w:rFonts w:ascii="Times New Roman" w:hAnsi="Times New Roman" w:cs="Times New Roman"/>
          <w:highlight w:val="yellow"/>
          <w:lang w:val="en-US"/>
        </w:rPr>
        <w:t>Shiffer</w:t>
      </w:r>
      <w:proofErr w:type="spellEnd"/>
      <w:r w:rsidR="005B7236" w:rsidRPr="009C0D8D">
        <w:rPr>
          <w:rFonts w:ascii="Times New Roman" w:hAnsi="Times New Roman" w:cs="Times New Roman"/>
          <w:highlight w:val="yellow"/>
          <w:lang w:val="en-US"/>
        </w:rPr>
        <w:t xml:space="preserve"> et al. (2020). For a comprehensive review on sex disparities in susceptibility and outcome of COVID-19 due to pathophysiological and molecular mechanisms (sex hormone influence on fac- tors that facilitate virus entry and priming, immune and inflammatory response, as well as coagulation and thrombosis diathesis), see </w:t>
      </w:r>
      <w:proofErr w:type="spellStart"/>
      <w:r w:rsidR="005B7236" w:rsidRPr="009C0D8D">
        <w:rPr>
          <w:rFonts w:ascii="Times New Roman" w:hAnsi="Times New Roman" w:cs="Times New Roman"/>
          <w:highlight w:val="yellow"/>
          <w:lang w:val="en-US"/>
        </w:rPr>
        <w:t>Pivonello</w:t>
      </w:r>
      <w:proofErr w:type="spellEnd"/>
      <w:r w:rsidR="005B7236" w:rsidRPr="009C0D8D">
        <w:rPr>
          <w:rFonts w:ascii="Times New Roman" w:hAnsi="Times New Roman" w:cs="Times New Roman"/>
          <w:highlight w:val="yellow"/>
          <w:lang w:val="en-US"/>
        </w:rPr>
        <w:t xml:space="preserve"> et al. (2020). Finally, Pradhan &amp; Olsson (2002) </w:t>
      </w:r>
      <w:r w:rsidR="00CC0E1D" w:rsidRPr="009C0D8D">
        <w:rPr>
          <w:rFonts w:ascii="Times New Roman" w:hAnsi="Times New Roman" w:cs="Times New Roman"/>
          <w:highlight w:val="yellow"/>
          <w:lang w:val="en-US"/>
        </w:rPr>
        <w:t>claim that difference in immune system function, steroid hormone milieu and sex organs could play a crucial role in pathogenesis.</w:t>
      </w:r>
    </w:p>
  </w:footnote>
  <w:footnote w:id="6">
    <w:p w14:paraId="22E639A8" w14:textId="48D22DA8" w:rsidR="00376568" w:rsidRPr="00376568" w:rsidRDefault="00376568" w:rsidP="00376568">
      <w:pPr>
        <w:pStyle w:val="Textonotapie"/>
        <w:jc w:val="both"/>
        <w:rPr>
          <w:lang w:val="en-US"/>
        </w:rPr>
      </w:pPr>
      <w:r w:rsidRPr="00376568">
        <w:rPr>
          <w:rStyle w:val="Refdenotaalpie"/>
          <w:rFonts w:ascii="Times New Roman" w:hAnsi="Times New Roman" w:cs="Times New Roman"/>
        </w:rPr>
        <w:footnoteRef/>
      </w:r>
      <w:r w:rsidRPr="00376568">
        <w:rPr>
          <w:rFonts w:ascii="Times New Roman" w:hAnsi="Times New Roman" w:cs="Times New Roman"/>
          <w:lang w:val="en-US"/>
        </w:rPr>
        <w:t xml:space="preserve"> The Lancet (2020) y Cai (2020). Sex difference and smoking predisposition in patients with COVID-19.</w:t>
      </w:r>
      <w:r w:rsidRPr="00376568">
        <w:rPr>
          <w:lang w:val="en-US"/>
        </w:rPr>
        <w:t xml:space="preserve"> </w:t>
      </w:r>
    </w:p>
  </w:footnote>
  <w:footnote w:id="7">
    <w:p w14:paraId="50394AB0" w14:textId="118EE776" w:rsidR="00C15219" w:rsidRPr="005A129D" w:rsidRDefault="00C15219">
      <w:pPr>
        <w:pStyle w:val="Textonotapie"/>
      </w:pPr>
      <w:r>
        <w:rPr>
          <w:rStyle w:val="Refdenotaalpie"/>
        </w:rPr>
        <w:footnoteRef/>
      </w:r>
      <w:r>
        <w:t xml:space="preserve"> Las referencias son las siguientes: [1*] Silva et al. </w:t>
      </w:r>
      <w:r w:rsidRPr="00951271">
        <w:t>(2022) y [2*] Yang et al. (2020)</w:t>
      </w:r>
      <w:r w:rsidR="005A129D" w:rsidRPr="00951271">
        <w:t xml:space="preserve">. </w:t>
      </w:r>
      <w:r w:rsidR="005A129D" w:rsidRPr="005A129D">
        <w:t>La cita para el desarrollo de la ARDS es la c</w:t>
      </w:r>
      <w:r w:rsidR="005A129D">
        <w:t>ita de Yang et al.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028B"/>
    <w:multiLevelType w:val="hybridMultilevel"/>
    <w:tmpl w:val="066E2D5E"/>
    <w:lvl w:ilvl="0" w:tplc="8AF42496">
      <w:start w:val="5"/>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1F6D77"/>
    <w:multiLevelType w:val="hybridMultilevel"/>
    <w:tmpl w:val="53FC6E08"/>
    <w:lvl w:ilvl="0" w:tplc="42785A9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6B864DC0"/>
    <w:multiLevelType w:val="hybridMultilevel"/>
    <w:tmpl w:val="2D12766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0766511">
    <w:abstractNumId w:val="1"/>
  </w:num>
  <w:num w:numId="2" w16cid:durableId="926574746">
    <w:abstractNumId w:val="2"/>
  </w:num>
  <w:num w:numId="3" w16cid:durableId="11325565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Barona">
    <w15:presenceInfo w15:providerId="AD" w15:userId="S::sergiobaronam@javerianacali.edu.co::8d5e16bc-e19b-4f8b-a978-05caa01e9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0F"/>
    <w:rsid w:val="00016B2D"/>
    <w:rsid w:val="00051A94"/>
    <w:rsid w:val="000853FE"/>
    <w:rsid w:val="000873C2"/>
    <w:rsid w:val="000D05C8"/>
    <w:rsid w:val="001149EF"/>
    <w:rsid w:val="00146630"/>
    <w:rsid w:val="001770CB"/>
    <w:rsid w:val="00186D2A"/>
    <w:rsid w:val="00192FB6"/>
    <w:rsid w:val="00193689"/>
    <w:rsid w:val="001936EC"/>
    <w:rsid w:val="001B77B2"/>
    <w:rsid w:val="001C59C4"/>
    <w:rsid w:val="001C6A3B"/>
    <w:rsid w:val="001E0D6A"/>
    <w:rsid w:val="001E1C7B"/>
    <w:rsid w:val="00210F42"/>
    <w:rsid w:val="00216326"/>
    <w:rsid w:val="00216571"/>
    <w:rsid w:val="002B06C6"/>
    <w:rsid w:val="002C44BE"/>
    <w:rsid w:val="002E4F43"/>
    <w:rsid w:val="00321A0B"/>
    <w:rsid w:val="00335691"/>
    <w:rsid w:val="00341E65"/>
    <w:rsid w:val="003433FD"/>
    <w:rsid w:val="003733EA"/>
    <w:rsid w:val="00376568"/>
    <w:rsid w:val="003D4B8C"/>
    <w:rsid w:val="003F0706"/>
    <w:rsid w:val="0049692B"/>
    <w:rsid w:val="004C598B"/>
    <w:rsid w:val="004E61C3"/>
    <w:rsid w:val="00505CF8"/>
    <w:rsid w:val="00530B1F"/>
    <w:rsid w:val="005646EC"/>
    <w:rsid w:val="005A129D"/>
    <w:rsid w:val="005A7AC2"/>
    <w:rsid w:val="005B4E0F"/>
    <w:rsid w:val="005B7236"/>
    <w:rsid w:val="006308D5"/>
    <w:rsid w:val="00653C5D"/>
    <w:rsid w:val="00677BEC"/>
    <w:rsid w:val="00682466"/>
    <w:rsid w:val="00697643"/>
    <w:rsid w:val="006B1979"/>
    <w:rsid w:val="00714936"/>
    <w:rsid w:val="00716D38"/>
    <w:rsid w:val="007338AE"/>
    <w:rsid w:val="00747712"/>
    <w:rsid w:val="00755D9A"/>
    <w:rsid w:val="007D2EBE"/>
    <w:rsid w:val="00822477"/>
    <w:rsid w:val="00872A33"/>
    <w:rsid w:val="00880FE1"/>
    <w:rsid w:val="008A56C8"/>
    <w:rsid w:val="008B4EED"/>
    <w:rsid w:val="008C311F"/>
    <w:rsid w:val="00951271"/>
    <w:rsid w:val="009739B2"/>
    <w:rsid w:val="009B34E6"/>
    <w:rsid w:val="009C0D8D"/>
    <w:rsid w:val="009C7080"/>
    <w:rsid w:val="009D404E"/>
    <w:rsid w:val="00A05FD2"/>
    <w:rsid w:val="00A265D8"/>
    <w:rsid w:val="00AA0104"/>
    <w:rsid w:val="00AD1D33"/>
    <w:rsid w:val="00B12928"/>
    <w:rsid w:val="00B4657A"/>
    <w:rsid w:val="00B51D8C"/>
    <w:rsid w:val="00B525FF"/>
    <w:rsid w:val="00B610EC"/>
    <w:rsid w:val="00B661B7"/>
    <w:rsid w:val="00B75A36"/>
    <w:rsid w:val="00BD0126"/>
    <w:rsid w:val="00BD0C47"/>
    <w:rsid w:val="00BD4FD7"/>
    <w:rsid w:val="00C15219"/>
    <w:rsid w:val="00C87D00"/>
    <w:rsid w:val="00CA26C9"/>
    <w:rsid w:val="00CC033A"/>
    <w:rsid w:val="00CC061C"/>
    <w:rsid w:val="00CC0E1D"/>
    <w:rsid w:val="00D12199"/>
    <w:rsid w:val="00D21ED4"/>
    <w:rsid w:val="00D22EA1"/>
    <w:rsid w:val="00D67B70"/>
    <w:rsid w:val="00EA21B3"/>
    <w:rsid w:val="00F52E0F"/>
    <w:rsid w:val="00FC7DD8"/>
    <w:rsid w:val="00FD20B8"/>
    <w:rsid w:val="00FD2764"/>
    <w:rsid w:val="00FD6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4CE4"/>
  <w15:chartTrackingRefBased/>
  <w15:docId w15:val="{47C3AAE7-0F69-47B7-A0F7-DDF7415C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466"/>
    <w:pPr>
      <w:ind w:left="720"/>
      <w:contextualSpacing/>
    </w:pPr>
  </w:style>
  <w:style w:type="paragraph" w:styleId="Textonotapie">
    <w:name w:val="footnote text"/>
    <w:basedOn w:val="Normal"/>
    <w:link w:val="TextonotapieCar"/>
    <w:uiPriority w:val="99"/>
    <w:semiHidden/>
    <w:unhideWhenUsed/>
    <w:rsid w:val="00BD0C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0C47"/>
    <w:rPr>
      <w:sz w:val="20"/>
      <w:szCs w:val="20"/>
    </w:rPr>
  </w:style>
  <w:style w:type="character" w:styleId="Refdenotaalpie">
    <w:name w:val="footnote reference"/>
    <w:basedOn w:val="Fuentedeprrafopredeter"/>
    <w:uiPriority w:val="99"/>
    <w:semiHidden/>
    <w:unhideWhenUsed/>
    <w:rsid w:val="00BD0C47"/>
    <w:rPr>
      <w:vertAlign w:val="superscript"/>
    </w:rPr>
  </w:style>
  <w:style w:type="paragraph" w:styleId="Encabezado">
    <w:name w:val="header"/>
    <w:basedOn w:val="Normal"/>
    <w:link w:val="EncabezadoCar"/>
    <w:uiPriority w:val="99"/>
    <w:unhideWhenUsed/>
    <w:rsid w:val="003765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6568"/>
  </w:style>
  <w:style w:type="paragraph" w:styleId="Piedepgina">
    <w:name w:val="footer"/>
    <w:basedOn w:val="Normal"/>
    <w:link w:val="PiedepginaCar"/>
    <w:uiPriority w:val="99"/>
    <w:unhideWhenUsed/>
    <w:rsid w:val="003765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6568"/>
  </w:style>
  <w:style w:type="character" w:styleId="Refdecomentario">
    <w:name w:val="annotation reference"/>
    <w:basedOn w:val="Fuentedeprrafopredeter"/>
    <w:uiPriority w:val="99"/>
    <w:semiHidden/>
    <w:unhideWhenUsed/>
    <w:rsid w:val="009C0D8D"/>
    <w:rPr>
      <w:sz w:val="16"/>
      <w:szCs w:val="16"/>
    </w:rPr>
  </w:style>
  <w:style w:type="paragraph" w:styleId="Textocomentario">
    <w:name w:val="annotation text"/>
    <w:basedOn w:val="Normal"/>
    <w:link w:val="TextocomentarioCar"/>
    <w:uiPriority w:val="99"/>
    <w:unhideWhenUsed/>
    <w:rsid w:val="009C0D8D"/>
    <w:pPr>
      <w:spacing w:line="240" w:lineRule="auto"/>
    </w:pPr>
    <w:rPr>
      <w:sz w:val="20"/>
      <w:szCs w:val="20"/>
    </w:rPr>
  </w:style>
  <w:style w:type="character" w:customStyle="1" w:styleId="TextocomentarioCar">
    <w:name w:val="Texto comentario Car"/>
    <w:basedOn w:val="Fuentedeprrafopredeter"/>
    <w:link w:val="Textocomentario"/>
    <w:uiPriority w:val="99"/>
    <w:rsid w:val="009C0D8D"/>
    <w:rPr>
      <w:sz w:val="20"/>
      <w:szCs w:val="20"/>
    </w:rPr>
  </w:style>
  <w:style w:type="paragraph" w:styleId="Asuntodelcomentario">
    <w:name w:val="annotation subject"/>
    <w:basedOn w:val="Textocomentario"/>
    <w:next w:val="Textocomentario"/>
    <w:link w:val="AsuntodelcomentarioCar"/>
    <w:uiPriority w:val="99"/>
    <w:semiHidden/>
    <w:unhideWhenUsed/>
    <w:rsid w:val="009C0D8D"/>
    <w:rPr>
      <w:b/>
      <w:bCs/>
    </w:rPr>
  </w:style>
  <w:style w:type="character" w:customStyle="1" w:styleId="AsuntodelcomentarioCar">
    <w:name w:val="Asunto del comentario Car"/>
    <w:basedOn w:val="TextocomentarioCar"/>
    <w:link w:val="Asuntodelcomentario"/>
    <w:uiPriority w:val="99"/>
    <w:semiHidden/>
    <w:rsid w:val="009C0D8D"/>
    <w:rPr>
      <w:b/>
      <w:bCs/>
      <w:sz w:val="20"/>
      <w:szCs w:val="20"/>
    </w:rPr>
  </w:style>
  <w:style w:type="character" w:styleId="nfasis">
    <w:name w:val="Emphasis"/>
    <w:basedOn w:val="Fuentedeprrafopredeter"/>
    <w:uiPriority w:val="20"/>
    <w:qFormat/>
    <w:rsid w:val="00193689"/>
    <w:rPr>
      <w:i/>
      <w:iCs/>
    </w:rPr>
  </w:style>
  <w:style w:type="table" w:styleId="Tablaconcuadrcula">
    <w:name w:val="Table Grid"/>
    <w:basedOn w:val="Tablanormal"/>
    <w:uiPriority w:val="39"/>
    <w:rsid w:val="0071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29315">
      <w:bodyDiv w:val="1"/>
      <w:marLeft w:val="0"/>
      <w:marRight w:val="0"/>
      <w:marTop w:val="0"/>
      <w:marBottom w:val="0"/>
      <w:divBdr>
        <w:top w:val="none" w:sz="0" w:space="0" w:color="auto"/>
        <w:left w:val="none" w:sz="0" w:space="0" w:color="auto"/>
        <w:bottom w:val="none" w:sz="0" w:space="0" w:color="auto"/>
        <w:right w:val="none" w:sz="0" w:space="0" w:color="auto"/>
      </w:divBdr>
      <w:divsChild>
        <w:div w:id="82336981">
          <w:marLeft w:val="0"/>
          <w:marRight w:val="0"/>
          <w:marTop w:val="150"/>
          <w:marBottom w:val="150"/>
          <w:divBdr>
            <w:top w:val="none" w:sz="0" w:space="0" w:color="auto"/>
            <w:left w:val="none" w:sz="0" w:space="0" w:color="auto"/>
            <w:bottom w:val="none" w:sz="0" w:space="0" w:color="auto"/>
            <w:right w:val="none" w:sz="0" w:space="0" w:color="auto"/>
          </w:divBdr>
          <w:divsChild>
            <w:div w:id="519658472">
              <w:marLeft w:val="0"/>
              <w:marRight w:val="0"/>
              <w:marTop w:val="0"/>
              <w:marBottom w:val="0"/>
              <w:divBdr>
                <w:top w:val="none" w:sz="0" w:space="0" w:color="auto"/>
                <w:left w:val="none" w:sz="0" w:space="0" w:color="auto"/>
                <w:bottom w:val="none" w:sz="0" w:space="0" w:color="auto"/>
                <w:right w:val="none" w:sz="0" w:space="0" w:color="auto"/>
              </w:divBdr>
            </w:div>
          </w:divsChild>
        </w:div>
        <w:div w:id="580021880">
          <w:marLeft w:val="0"/>
          <w:marRight w:val="0"/>
          <w:marTop w:val="150"/>
          <w:marBottom w:val="150"/>
          <w:divBdr>
            <w:top w:val="none" w:sz="0" w:space="0" w:color="auto"/>
            <w:left w:val="none" w:sz="0" w:space="0" w:color="auto"/>
            <w:bottom w:val="none" w:sz="0" w:space="0" w:color="auto"/>
            <w:right w:val="none" w:sz="0" w:space="0" w:color="auto"/>
          </w:divBdr>
          <w:divsChild>
            <w:div w:id="115678461">
              <w:marLeft w:val="0"/>
              <w:marRight w:val="0"/>
              <w:marTop w:val="0"/>
              <w:marBottom w:val="0"/>
              <w:divBdr>
                <w:top w:val="none" w:sz="0" w:space="0" w:color="auto"/>
                <w:left w:val="none" w:sz="0" w:space="0" w:color="auto"/>
                <w:bottom w:val="none" w:sz="0" w:space="0" w:color="auto"/>
                <w:right w:val="none" w:sz="0" w:space="0" w:color="auto"/>
              </w:divBdr>
            </w:div>
          </w:divsChild>
        </w:div>
        <w:div w:id="780806660">
          <w:marLeft w:val="0"/>
          <w:marRight w:val="0"/>
          <w:marTop w:val="150"/>
          <w:marBottom w:val="150"/>
          <w:divBdr>
            <w:top w:val="none" w:sz="0" w:space="0" w:color="auto"/>
            <w:left w:val="none" w:sz="0" w:space="0" w:color="auto"/>
            <w:bottom w:val="none" w:sz="0" w:space="0" w:color="auto"/>
            <w:right w:val="none" w:sz="0" w:space="0" w:color="auto"/>
          </w:divBdr>
          <w:divsChild>
            <w:div w:id="506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BD9BB-74F1-441D-9821-E38E08ED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10</Pages>
  <Words>3328</Words>
  <Characters>18309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6</cp:revision>
  <dcterms:created xsi:type="dcterms:W3CDTF">2023-05-23T00:00:00Z</dcterms:created>
  <dcterms:modified xsi:type="dcterms:W3CDTF">2023-05-25T09:40:00Z</dcterms:modified>
</cp:coreProperties>
</file>