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E6E87" w14:textId="47583D7B" w:rsidR="006940CB" w:rsidRDefault="00742F5A">
      <w:pPr>
        <w:rPr>
          <w:rFonts w:ascii="Times New Roman" w:hAnsi="Times New Roman" w:cs="Times New Roman"/>
          <w:b/>
          <w:bCs/>
          <w:lang w:val="es-ES"/>
        </w:rPr>
      </w:pPr>
      <w:r w:rsidRPr="00742F5A">
        <w:rPr>
          <w:rFonts w:ascii="Times New Roman" w:hAnsi="Times New Roman" w:cs="Times New Roman"/>
          <w:b/>
          <w:bCs/>
          <w:lang w:val="es-ES"/>
        </w:rPr>
        <w:t xml:space="preserve">3. Resultados </w:t>
      </w:r>
    </w:p>
    <w:p w14:paraId="1F3B6277" w14:textId="1718A3DB" w:rsidR="004D4CA8" w:rsidRDefault="004D4CA8">
      <w:pPr>
        <w:rPr>
          <w:rFonts w:ascii="Times New Roman" w:hAnsi="Times New Roman" w:cs="Times New Roman"/>
          <w:b/>
          <w:bCs/>
          <w:lang w:val="es-ES"/>
        </w:rPr>
      </w:pPr>
    </w:p>
    <w:p w14:paraId="2752D3DD" w14:textId="29AA9962" w:rsidR="00D6003A" w:rsidRDefault="00D6003A">
      <w:pPr>
        <w:rPr>
          <w:rFonts w:ascii="Times New Roman" w:hAnsi="Times New Roman" w:cs="Times New Roman"/>
          <w:b/>
          <w:bCs/>
          <w:lang w:val="es-ES"/>
        </w:rPr>
      </w:pPr>
      <w:r>
        <w:rPr>
          <w:rFonts w:ascii="Times New Roman" w:hAnsi="Times New Roman" w:cs="Times New Roman"/>
          <w:b/>
          <w:bCs/>
          <w:lang w:val="es-ES"/>
        </w:rPr>
        <w:t>3.1. Análisis descriptivo:</w:t>
      </w:r>
    </w:p>
    <w:p w14:paraId="258E2A77" w14:textId="10CB0558" w:rsidR="004D4CA8" w:rsidRDefault="004D4CA8" w:rsidP="00D6003A">
      <w:pPr>
        <w:jc w:val="center"/>
        <w:rPr>
          <w:rFonts w:ascii="Times New Roman" w:hAnsi="Times New Roman" w:cs="Times New Roman"/>
          <w:b/>
          <w:bCs/>
          <w:lang w:val="es-ES"/>
        </w:rPr>
      </w:pPr>
      <w:r>
        <w:rPr>
          <w:rFonts w:ascii="Times New Roman" w:hAnsi="Times New Roman" w:cs="Times New Roman"/>
          <w:b/>
          <w:bCs/>
          <w:lang w:val="es-ES"/>
        </w:rPr>
        <w:t>Primer conjunto</w:t>
      </w:r>
    </w:p>
    <w:p w14:paraId="5798B20C" w14:textId="77777777" w:rsidR="00D6003A" w:rsidRDefault="00D6003A" w:rsidP="00D6003A">
      <w:pPr>
        <w:jc w:val="center"/>
        <w:rPr>
          <w:rFonts w:ascii="Times New Roman" w:hAnsi="Times New Roman" w:cs="Times New Roman"/>
          <w:b/>
          <w:bCs/>
          <w:lang w:val="es-ES"/>
        </w:rPr>
      </w:pPr>
    </w:p>
    <w:p w14:paraId="59FFCE00" w14:textId="77777777" w:rsidR="004D4CA8" w:rsidRPr="009378DA" w:rsidRDefault="004D4CA8" w:rsidP="004D4CA8">
      <w:pPr>
        <w:jc w:val="both"/>
        <w:rPr>
          <w:rFonts w:ascii="Times New Roman" w:hAnsi="Times New Roman" w:cs="Times New Roman"/>
          <w:highlight w:val="yellow"/>
          <w:lang w:val="es-ES"/>
        </w:rPr>
      </w:pPr>
      <w:r w:rsidRPr="009378DA">
        <w:rPr>
          <w:rFonts w:ascii="Times New Roman" w:hAnsi="Times New Roman" w:cs="Times New Roman"/>
          <w:b/>
          <w:bCs/>
          <w:highlight w:val="yellow"/>
          <w:lang w:val="es-ES"/>
        </w:rPr>
        <w:t xml:space="preserve">[R1] </w:t>
      </w:r>
      <w:r w:rsidRPr="009378DA">
        <w:rPr>
          <w:rFonts w:ascii="Times New Roman" w:hAnsi="Times New Roman" w:cs="Times New Roman"/>
          <w:highlight w:val="yellow"/>
          <w:lang w:val="es-ES"/>
        </w:rPr>
        <w:t xml:space="preserve">Durante el período de estudio de estudio, el 25.14% (n = 276) pacientes admitidos en UCI por COVID-19 en Cali, Valle del Cauca, corresponden a pacientes con estancia prolongada en UCI (con CCI, de ahora en adelante); mientras que el 74.86% (n = 822), corresponden a pacientes con un tiempo de permanencia en UCI inferior de 21 días consecutivos (sin CCI, de ahora en adelante). </w:t>
      </w:r>
    </w:p>
    <w:p w14:paraId="458ECDBC" w14:textId="77777777" w:rsidR="004D4CA8" w:rsidRPr="009378DA" w:rsidRDefault="004D4CA8" w:rsidP="004D4CA8">
      <w:pPr>
        <w:jc w:val="both"/>
        <w:rPr>
          <w:rFonts w:ascii="Times New Roman" w:hAnsi="Times New Roman" w:cs="Times New Roman"/>
          <w:highlight w:val="yellow"/>
          <w:lang w:val="es-ES"/>
        </w:rPr>
      </w:pPr>
    </w:p>
    <w:p w14:paraId="1277892E" w14:textId="77777777" w:rsidR="004D4CA8" w:rsidRDefault="004D4CA8" w:rsidP="004D4CA8">
      <w:pPr>
        <w:rPr>
          <w:rFonts w:ascii="Times New Roman" w:hAnsi="Times New Roman" w:cs="Times New Roman"/>
          <w:lang w:val="es-ES"/>
        </w:rPr>
      </w:pPr>
      <w:r w:rsidRPr="009378DA">
        <w:rPr>
          <w:rFonts w:ascii="Times New Roman" w:hAnsi="Times New Roman" w:cs="Times New Roman"/>
          <w:b/>
          <w:bCs/>
          <w:highlight w:val="yellow"/>
          <w:lang w:val="es-ES"/>
        </w:rPr>
        <w:t xml:space="preserve">[R2] </w:t>
      </w:r>
      <w:r w:rsidRPr="009378DA">
        <w:rPr>
          <w:rFonts w:ascii="Times New Roman" w:hAnsi="Times New Roman" w:cs="Times New Roman"/>
          <w:highlight w:val="yellow"/>
          <w:lang w:val="es-ES"/>
        </w:rPr>
        <w:t xml:space="preserve">Ambos grupos muestran una distribución similar </w:t>
      </w:r>
      <w:r>
        <w:rPr>
          <w:rFonts w:ascii="Times New Roman" w:hAnsi="Times New Roman" w:cs="Times New Roman"/>
          <w:highlight w:val="yellow"/>
          <w:lang w:val="es-ES"/>
        </w:rPr>
        <w:t>según el sexo</w:t>
      </w:r>
      <w:r w:rsidRPr="009378DA">
        <w:rPr>
          <w:rFonts w:ascii="Times New Roman" w:hAnsi="Times New Roman" w:cs="Times New Roman"/>
          <w:highlight w:val="yellow"/>
          <w:lang w:val="es-ES"/>
        </w:rPr>
        <w:t>. Para el grupo de pacientes con CCI, la proporción de pacientes con sexo masculino y femenino es, respectivamente, 64.5%(n = 178) y 38.5% (n = 98); para el grupo de pacientes sin CCI, la proporción es 63.5%( n = 522) y 36.5% (n = 300), respectivamente.</w:t>
      </w:r>
      <w:r>
        <w:rPr>
          <w:rFonts w:ascii="Times New Roman" w:hAnsi="Times New Roman" w:cs="Times New Roman"/>
          <w:lang w:val="es-ES"/>
        </w:rPr>
        <w:t xml:space="preserve"> </w:t>
      </w:r>
    </w:p>
    <w:p w14:paraId="0ED6620F" w14:textId="77777777" w:rsidR="004D4CA8" w:rsidRDefault="004D4CA8" w:rsidP="004D4CA8">
      <w:pPr>
        <w:rPr>
          <w:rFonts w:ascii="Times New Roman" w:hAnsi="Times New Roman" w:cs="Times New Roman"/>
          <w:lang w:val="es-ES"/>
        </w:rPr>
      </w:pPr>
    </w:p>
    <w:p w14:paraId="517CA3B4" w14:textId="77777777" w:rsidR="004D4CA8" w:rsidRDefault="004D4CA8" w:rsidP="004D4CA8">
      <w:pPr>
        <w:rPr>
          <w:rFonts w:ascii="Times New Roman" w:hAnsi="Times New Roman" w:cs="Times New Roman"/>
          <w:lang w:val="es-ES"/>
        </w:rPr>
      </w:pPr>
      <w:r>
        <w:rPr>
          <w:rFonts w:ascii="Times New Roman" w:hAnsi="Times New Roman" w:cs="Times New Roman"/>
          <w:b/>
          <w:bCs/>
          <w:lang w:val="es-ES"/>
        </w:rPr>
        <w:t xml:space="preserve">[R3] </w:t>
      </w:r>
      <w:r>
        <w:rPr>
          <w:rFonts w:ascii="Times New Roman" w:hAnsi="Times New Roman" w:cs="Times New Roman"/>
          <w:lang w:val="es-ES"/>
        </w:rPr>
        <w:t>Adicionalmente, se verifica que</w:t>
      </w:r>
      <w:r>
        <w:rPr>
          <w:rFonts w:ascii="Times New Roman" w:hAnsi="Times New Roman" w:cs="Times New Roman"/>
          <w:b/>
          <w:bCs/>
          <w:lang w:val="es-ES"/>
        </w:rPr>
        <w:t xml:space="preserve">, </w:t>
      </w:r>
      <w:r>
        <w:rPr>
          <w:rFonts w:ascii="Times New Roman" w:hAnsi="Times New Roman" w:cs="Times New Roman"/>
          <w:lang w:val="es-ES"/>
        </w:rPr>
        <w:t xml:space="preserve">el 71.74% (n = 198) de los pacientes con CCI fueron dados de alta; el 23.91% (n = 66), murieron en UCI; y el 4.35% (n = 12), o bien murieron por causas distintas a COVID-19, o bien permanecían en UCI al momento de terminar el estudio. </w:t>
      </w:r>
    </w:p>
    <w:p w14:paraId="35A10A75" w14:textId="77777777" w:rsidR="004D4CA8" w:rsidRDefault="004D4CA8" w:rsidP="004D4CA8">
      <w:pPr>
        <w:rPr>
          <w:rFonts w:ascii="Times New Roman" w:hAnsi="Times New Roman" w:cs="Times New Roman"/>
          <w:lang w:val="es-ES"/>
        </w:rPr>
      </w:pPr>
    </w:p>
    <w:p w14:paraId="7E1AEAB7" w14:textId="77777777" w:rsidR="004D4CA8" w:rsidRPr="009249E8" w:rsidRDefault="004D4CA8" w:rsidP="004D4CA8">
      <w:pPr>
        <w:rPr>
          <w:rFonts w:ascii="Times New Roman" w:hAnsi="Times New Roman" w:cs="Times New Roman"/>
          <w:lang w:val="es-ES"/>
        </w:rPr>
      </w:pPr>
      <w:r>
        <w:rPr>
          <w:rFonts w:ascii="Times New Roman" w:hAnsi="Times New Roman" w:cs="Times New Roman"/>
          <w:b/>
          <w:bCs/>
          <w:lang w:val="es-ES"/>
        </w:rPr>
        <w:t xml:space="preserve">[R4] </w:t>
      </w:r>
      <w:r>
        <w:rPr>
          <w:rFonts w:ascii="Times New Roman" w:hAnsi="Times New Roman" w:cs="Times New Roman"/>
          <w:lang w:val="es-ES"/>
        </w:rPr>
        <w:t xml:space="preserve">Para el caso de pacientes sin CCI, el 31.27% (n = 257) de los pacientes con CCI fueron dados de alta; el 63.99% (n = 526), murieron en UCI; y el 4.74% (n = 39), o bien murieron por causas distintas a COVID-19, o bien permanecían en UCI al momento de terminar el estudio. </w:t>
      </w:r>
    </w:p>
    <w:p w14:paraId="7A01790F" w14:textId="77777777" w:rsidR="004D4CA8" w:rsidRDefault="004D4CA8">
      <w:pPr>
        <w:rPr>
          <w:rFonts w:ascii="Times New Roman" w:hAnsi="Times New Roman" w:cs="Times New Roman"/>
          <w:b/>
          <w:bCs/>
          <w:lang w:val="es-ES"/>
        </w:rPr>
      </w:pPr>
    </w:p>
    <w:p w14:paraId="1D9EE632" w14:textId="73F1D01F" w:rsidR="00D767ED" w:rsidRDefault="00D767ED">
      <w:pPr>
        <w:rPr>
          <w:rFonts w:ascii="Times New Roman" w:hAnsi="Times New Roman" w:cs="Times New Roman"/>
          <w:b/>
          <w:bCs/>
          <w:lang w:val="es-ES"/>
        </w:rPr>
      </w:pPr>
    </w:p>
    <w:p w14:paraId="1388AA06" w14:textId="0CF3FB25" w:rsidR="00622FAC" w:rsidRDefault="00D767ED" w:rsidP="00BB54AC">
      <w:pPr>
        <w:ind w:firstLine="284"/>
        <w:jc w:val="both"/>
        <w:rPr>
          <w:rFonts w:ascii="Times New Roman" w:hAnsi="Times New Roman" w:cs="Times New Roman"/>
          <w:lang w:val="es-ES"/>
        </w:rPr>
      </w:pPr>
      <w:r>
        <w:rPr>
          <w:rFonts w:ascii="Times New Roman" w:hAnsi="Times New Roman" w:cs="Times New Roman"/>
          <w:lang w:val="es-ES"/>
        </w:rPr>
        <w:t>Durante el período de estudio, se verificó que el 25.14% (n = 276) de los pacientes admitidos en UCI por COVID-19 en Cali, Valle del Cauca, corresponden a pacientes críticos crónicos;</w:t>
      </w:r>
      <w:r w:rsidR="00BB54AC">
        <w:rPr>
          <w:rFonts w:ascii="Times New Roman" w:hAnsi="Times New Roman" w:cs="Times New Roman"/>
          <w:lang w:val="es-ES"/>
        </w:rPr>
        <w:t xml:space="preserve"> y </w:t>
      </w:r>
      <w:r>
        <w:rPr>
          <w:rFonts w:ascii="Times New Roman" w:hAnsi="Times New Roman" w:cs="Times New Roman"/>
          <w:lang w:val="es-ES"/>
        </w:rPr>
        <w:t>el 74.86% (n = 822)</w:t>
      </w:r>
      <w:r w:rsidR="00BB54AC">
        <w:rPr>
          <w:rFonts w:ascii="Times New Roman" w:hAnsi="Times New Roman" w:cs="Times New Roman"/>
          <w:lang w:val="es-ES"/>
        </w:rPr>
        <w:t xml:space="preserve">, </w:t>
      </w:r>
      <w:r>
        <w:rPr>
          <w:rFonts w:ascii="Times New Roman" w:hAnsi="Times New Roman" w:cs="Times New Roman"/>
          <w:lang w:val="es-ES"/>
        </w:rPr>
        <w:t xml:space="preserve">a pacientes con un tiempo de </w:t>
      </w:r>
      <w:r w:rsidR="00BB54AC">
        <w:rPr>
          <w:rFonts w:ascii="Times New Roman" w:hAnsi="Times New Roman" w:cs="Times New Roman"/>
          <w:lang w:val="es-ES"/>
        </w:rPr>
        <w:t>estancia</w:t>
      </w:r>
      <w:r>
        <w:rPr>
          <w:rFonts w:ascii="Times New Roman" w:hAnsi="Times New Roman" w:cs="Times New Roman"/>
          <w:lang w:val="es-ES"/>
        </w:rPr>
        <w:t xml:space="preserve"> en UCI inferior a 21 días consecutivos. </w:t>
      </w:r>
      <w:r w:rsidR="004D4CA8">
        <w:rPr>
          <w:rFonts w:ascii="Times New Roman" w:hAnsi="Times New Roman" w:cs="Times New Roman"/>
          <w:lang w:val="es-ES"/>
        </w:rPr>
        <w:t xml:space="preserve">El Cuadro </w:t>
      </w:r>
      <w:r w:rsidR="009378DA">
        <w:rPr>
          <w:rFonts w:ascii="Times New Roman" w:hAnsi="Times New Roman" w:cs="Times New Roman"/>
          <w:lang w:val="es-ES"/>
        </w:rPr>
        <w:t xml:space="preserve">1 muestra que, </w:t>
      </w:r>
      <w:r w:rsidR="00BB54AC">
        <w:rPr>
          <w:rFonts w:ascii="Times New Roman" w:hAnsi="Times New Roman" w:cs="Times New Roman"/>
          <w:lang w:val="es-ES"/>
        </w:rPr>
        <w:t>si bien</w:t>
      </w:r>
      <w:r w:rsidR="009378DA">
        <w:rPr>
          <w:rFonts w:ascii="Times New Roman" w:hAnsi="Times New Roman" w:cs="Times New Roman"/>
          <w:lang w:val="es-ES"/>
        </w:rPr>
        <w:t xml:space="preserve"> la distribución según el sexo es similar</w:t>
      </w:r>
      <w:r w:rsidR="00BB54AC">
        <w:rPr>
          <w:rFonts w:ascii="Times New Roman" w:hAnsi="Times New Roman" w:cs="Times New Roman"/>
          <w:lang w:val="es-ES"/>
        </w:rPr>
        <w:t xml:space="preserve"> en ambos grupos, l</w:t>
      </w:r>
      <w:r w:rsidR="009378DA">
        <w:rPr>
          <w:rFonts w:ascii="Times New Roman" w:hAnsi="Times New Roman" w:cs="Times New Roman"/>
          <w:lang w:val="es-ES"/>
        </w:rPr>
        <w:t>a tasa de mortalidad en UCI es superior en pacientes críticos (63.99%, n = 526) que en pacientes críticos crónicos (23.91%, n = 66).</w:t>
      </w:r>
      <w:r w:rsidR="004D4CA8">
        <w:rPr>
          <w:rFonts w:ascii="Times New Roman" w:hAnsi="Times New Roman" w:cs="Times New Roman"/>
          <w:lang w:val="es-ES"/>
        </w:rPr>
        <w:t xml:space="preserve"> </w:t>
      </w:r>
      <w:r w:rsidR="00BB54AC">
        <w:rPr>
          <w:rFonts w:ascii="Times New Roman" w:hAnsi="Times New Roman" w:cs="Times New Roman"/>
          <w:lang w:val="es-ES"/>
        </w:rPr>
        <w:t xml:space="preserve">Las observaciones anteriores son verificadas mediante la </w:t>
      </w:r>
      <w:r w:rsidR="00622FAC">
        <w:rPr>
          <w:rFonts w:ascii="Times New Roman" w:hAnsi="Times New Roman" w:cs="Times New Roman"/>
          <w:lang w:val="es-ES"/>
        </w:rPr>
        <w:t xml:space="preserve">prueba </w:t>
      </w:r>
      <w:r w:rsidR="004D4CA8">
        <w:rPr>
          <w:rFonts w:ascii="Times New Roman" w:hAnsi="Times New Roman" w:cs="Times New Roman"/>
          <w:lang w:val="es-ES"/>
        </w:rPr>
        <w:t>Chi-2 de independencia</w:t>
      </w:r>
      <w:r w:rsidR="00BB54AC">
        <w:rPr>
          <w:rFonts w:ascii="Times New Roman" w:hAnsi="Times New Roman" w:cs="Times New Roman"/>
          <w:lang w:val="es-ES"/>
        </w:rPr>
        <w:t>. Los resultados indican</w:t>
      </w:r>
      <w:r w:rsidR="00622FAC">
        <w:rPr>
          <w:rFonts w:ascii="Times New Roman" w:hAnsi="Times New Roman" w:cs="Times New Roman"/>
          <w:lang w:val="es-ES"/>
        </w:rPr>
        <w:t>, por un lado, una relación significativa entre la condición crónica del paciente y el desenlace de la enfermedad (p &lt; 0.01); y</w:t>
      </w:r>
      <w:r w:rsidR="00BB54AC">
        <w:rPr>
          <w:rFonts w:ascii="Times New Roman" w:hAnsi="Times New Roman" w:cs="Times New Roman"/>
          <w:lang w:val="es-ES"/>
        </w:rPr>
        <w:t xml:space="preserve"> muestra</w:t>
      </w:r>
      <w:r w:rsidR="00622FAC">
        <w:rPr>
          <w:rFonts w:ascii="Times New Roman" w:hAnsi="Times New Roman" w:cs="Times New Roman"/>
          <w:lang w:val="es-ES"/>
        </w:rPr>
        <w:t>, por otro lado, que la condición crónica es independiente del sexo de paciente (p = 0.8232).</w:t>
      </w:r>
    </w:p>
    <w:p w14:paraId="08EEE76D" w14:textId="77777777" w:rsidR="00622FAC" w:rsidRDefault="00622FAC" w:rsidP="004D4CA8">
      <w:pPr>
        <w:ind w:firstLine="284"/>
        <w:jc w:val="both"/>
        <w:rPr>
          <w:rFonts w:ascii="Times New Roman" w:hAnsi="Times New Roman" w:cs="Times New Roman"/>
          <w:lang w:val="es-ES"/>
        </w:rPr>
      </w:pPr>
    </w:p>
    <w:p w14:paraId="5B924673" w14:textId="4C13FF34" w:rsidR="009378DA" w:rsidRDefault="009378DA" w:rsidP="00622FAC">
      <w:pPr>
        <w:jc w:val="both"/>
        <w:rPr>
          <w:rFonts w:ascii="Times New Roman" w:hAnsi="Times New Roman" w:cs="Times New Roman"/>
          <w:lang w:val="es-ES"/>
        </w:rPr>
      </w:pPr>
    </w:p>
    <w:p w14:paraId="018DCB58" w14:textId="676F59A1" w:rsidR="00D6003A" w:rsidRDefault="00D6003A" w:rsidP="00D6003A">
      <w:pPr>
        <w:jc w:val="center"/>
        <w:rPr>
          <w:rFonts w:ascii="Times New Roman" w:hAnsi="Times New Roman" w:cs="Times New Roman"/>
          <w:b/>
          <w:bCs/>
          <w:lang w:val="es-ES"/>
        </w:rPr>
      </w:pPr>
      <w:r>
        <w:rPr>
          <w:rFonts w:ascii="Times New Roman" w:hAnsi="Times New Roman" w:cs="Times New Roman"/>
          <w:b/>
          <w:bCs/>
          <w:lang w:val="es-ES"/>
        </w:rPr>
        <w:t>Segundo conjunto</w:t>
      </w:r>
    </w:p>
    <w:p w14:paraId="4D5523E5" w14:textId="77777777" w:rsidR="002914CC" w:rsidRDefault="002914CC">
      <w:pPr>
        <w:rPr>
          <w:rFonts w:ascii="Times New Roman" w:hAnsi="Times New Roman" w:cs="Times New Roman"/>
          <w:b/>
          <w:bCs/>
          <w:lang w:val="es-ES"/>
        </w:rPr>
      </w:pPr>
    </w:p>
    <w:p w14:paraId="64C074C7" w14:textId="295664F0" w:rsidR="00742F5A" w:rsidRPr="00F778E4" w:rsidRDefault="00742F5A">
      <w:pPr>
        <w:rPr>
          <w:rFonts w:ascii="Times New Roman" w:hAnsi="Times New Roman" w:cs="Times New Roman"/>
          <w:lang w:val="es-ES"/>
        </w:rPr>
      </w:pPr>
      <w:r w:rsidRPr="002914CC">
        <w:rPr>
          <w:rFonts w:ascii="Times New Roman" w:hAnsi="Times New Roman" w:cs="Times New Roman"/>
          <w:b/>
          <w:bCs/>
          <w:highlight w:val="yellow"/>
          <w:lang w:val="es-ES"/>
        </w:rPr>
        <w:t>[R</w:t>
      </w:r>
      <w:r w:rsidR="00711D20" w:rsidRPr="002914CC">
        <w:rPr>
          <w:rFonts w:ascii="Times New Roman" w:hAnsi="Times New Roman" w:cs="Times New Roman"/>
          <w:b/>
          <w:bCs/>
          <w:highlight w:val="yellow"/>
          <w:lang w:val="es-ES"/>
        </w:rPr>
        <w:t>4</w:t>
      </w:r>
      <w:r w:rsidRPr="002914CC">
        <w:rPr>
          <w:rFonts w:ascii="Times New Roman" w:hAnsi="Times New Roman" w:cs="Times New Roman"/>
          <w:b/>
          <w:bCs/>
          <w:highlight w:val="yellow"/>
          <w:lang w:val="es-ES"/>
        </w:rPr>
        <w:t>]</w:t>
      </w:r>
      <w:r w:rsidR="00F778E4" w:rsidRPr="002914CC">
        <w:rPr>
          <w:rFonts w:ascii="Times New Roman" w:hAnsi="Times New Roman" w:cs="Times New Roman"/>
          <w:b/>
          <w:bCs/>
          <w:highlight w:val="yellow"/>
          <w:lang w:val="es-ES"/>
        </w:rPr>
        <w:t xml:space="preserve"> </w:t>
      </w:r>
      <w:r w:rsidR="00F778E4" w:rsidRPr="002914CC">
        <w:rPr>
          <w:rFonts w:ascii="Times New Roman" w:hAnsi="Times New Roman" w:cs="Times New Roman"/>
          <w:highlight w:val="yellow"/>
          <w:lang w:val="es-ES"/>
        </w:rPr>
        <w:t xml:space="preserve">Por medio de la prueba de normalidad de </w:t>
      </w:r>
      <w:proofErr w:type="spellStart"/>
      <w:r w:rsidR="00F778E4" w:rsidRPr="002914CC">
        <w:rPr>
          <w:rFonts w:ascii="Times New Roman" w:hAnsi="Times New Roman" w:cs="Times New Roman"/>
          <w:highlight w:val="yellow"/>
          <w:lang w:val="es-ES"/>
        </w:rPr>
        <w:t>Shapiro-Wilk</w:t>
      </w:r>
      <w:proofErr w:type="spellEnd"/>
      <w:r w:rsidR="00F778E4" w:rsidRPr="002914CC">
        <w:rPr>
          <w:rFonts w:ascii="Times New Roman" w:hAnsi="Times New Roman" w:cs="Times New Roman"/>
          <w:highlight w:val="yellow"/>
          <w:lang w:val="es-ES"/>
        </w:rPr>
        <w:t xml:space="preserve">, se verifica que las variables </w:t>
      </w:r>
      <w:proofErr w:type="gramStart"/>
      <w:r w:rsidR="00F778E4" w:rsidRPr="002914CC">
        <w:rPr>
          <w:rFonts w:ascii="Times New Roman" w:hAnsi="Times New Roman" w:cs="Times New Roman"/>
          <w:highlight w:val="yellow"/>
          <w:lang w:val="es-ES"/>
        </w:rPr>
        <w:t>continuas</w:t>
      </w:r>
      <w:proofErr w:type="gramEnd"/>
      <w:r w:rsidR="00F778E4" w:rsidRPr="002914CC">
        <w:rPr>
          <w:rFonts w:ascii="Times New Roman" w:hAnsi="Times New Roman" w:cs="Times New Roman"/>
          <w:highlight w:val="yellow"/>
          <w:lang w:val="es-ES"/>
        </w:rPr>
        <w:t xml:space="preserve"> consideradas no siguen una distribución gaussiana.</w:t>
      </w:r>
      <w:r w:rsidR="00F778E4">
        <w:rPr>
          <w:rFonts w:ascii="Times New Roman" w:hAnsi="Times New Roman" w:cs="Times New Roman"/>
          <w:lang w:val="es-ES"/>
        </w:rPr>
        <w:t xml:space="preserve"> </w:t>
      </w:r>
    </w:p>
    <w:p w14:paraId="3D636409" w14:textId="29017FFE" w:rsidR="00742F5A" w:rsidRDefault="00742F5A">
      <w:pPr>
        <w:rPr>
          <w:rFonts w:ascii="Times New Roman" w:hAnsi="Times New Roman" w:cs="Times New Roman"/>
          <w:b/>
          <w:bCs/>
          <w:lang w:val="es-ES"/>
        </w:rPr>
      </w:pPr>
    </w:p>
    <w:p w14:paraId="3997FB21" w14:textId="7D8E59DF" w:rsidR="00742F5A" w:rsidRPr="00FC4383" w:rsidRDefault="00742F5A">
      <w:pPr>
        <w:rPr>
          <w:rFonts w:ascii="Times New Roman" w:hAnsi="Times New Roman" w:cs="Times New Roman"/>
          <w:lang w:val="es-ES"/>
        </w:rPr>
      </w:pPr>
      <w:r>
        <w:rPr>
          <w:rFonts w:ascii="Times New Roman" w:hAnsi="Times New Roman" w:cs="Times New Roman"/>
          <w:b/>
          <w:bCs/>
          <w:lang w:val="es-ES"/>
        </w:rPr>
        <w:t>[R</w:t>
      </w:r>
      <w:r w:rsidR="00711D20">
        <w:rPr>
          <w:rFonts w:ascii="Times New Roman" w:hAnsi="Times New Roman" w:cs="Times New Roman"/>
          <w:b/>
          <w:bCs/>
          <w:lang w:val="es-ES"/>
        </w:rPr>
        <w:t>5</w:t>
      </w:r>
      <w:r>
        <w:rPr>
          <w:rFonts w:ascii="Times New Roman" w:hAnsi="Times New Roman" w:cs="Times New Roman"/>
          <w:b/>
          <w:bCs/>
          <w:lang w:val="es-ES"/>
        </w:rPr>
        <w:t>]</w:t>
      </w:r>
      <w:r w:rsidR="00F778E4">
        <w:rPr>
          <w:rFonts w:ascii="Times New Roman" w:hAnsi="Times New Roman" w:cs="Times New Roman"/>
          <w:b/>
          <w:bCs/>
          <w:lang w:val="es-ES"/>
        </w:rPr>
        <w:t xml:space="preserve"> V1: </w:t>
      </w:r>
      <w:r w:rsidR="00FC4383">
        <w:rPr>
          <w:rFonts w:ascii="Times New Roman" w:hAnsi="Times New Roman" w:cs="Times New Roman"/>
          <w:lang w:val="es-ES"/>
        </w:rPr>
        <w:t xml:space="preserve">Para el grupo de pacientes críticos crónicos, la edad mediana es </w:t>
      </w:r>
      <w:r w:rsidR="002914CC">
        <w:rPr>
          <w:rFonts w:ascii="Times New Roman" w:hAnsi="Times New Roman" w:cs="Times New Roman"/>
          <w:lang w:val="es-ES"/>
        </w:rPr>
        <w:t xml:space="preserve">$63.5$ $(53 - 73)$ </w:t>
      </w:r>
      <w:r w:rsidR="00FC4383">
        <w:rPr>
          <w:rFonts w:ascii="Times New Roman" w:hAnsi="Times New Roman" w:cs="Times New Roman"/>
          <w:lang w:val="es-ES"/>
        </w:rPr>
        <w:t xml:space="preserve">años; para el grupo de pacientes críticos, $68$ $(57 - 76)$ años. </w:t>
      </w:r>
    </w:p>
    <w:p w14:paraId="67CD69C6" w14:textId="6D3994FD" w:rsidR="009249E8" w:rsidRDefault="009249E8">
      <w:pPr>
        <w:rPr>
          <w:rFonts w:ascii="Times New Roman" w:hAnsi="Times New Roman" w:cs="Times New Roman"/>
          <w:b/>
          <w:bCs/>
          <w:lang w:val="es-ES"/>
        </w:rPr>
      </w:pPr>
    </w:p>
    <w:p w14:paraId="3A2D32A6" w14:textId="3AD27D2E" w:rsidR="00663DE3" w:rsidRPr="00FC4383" w:rsidRDefault="00663DE3" w:rsidP="00663DE3">
      <w:pPr>
        <w:rPr>
          <w:rFonts w:ascii="Times New Roman" w:hAnsi="Times New Roman" w:cs="Times New Roman"/>
          <w:lang w:val="es-ES"/>
        </w:rPr>
      </w:pPr>
      <w:r>
        <w:rPr>
          <w:rFonts w:ascii="Times New Roman" w:hAnsi="Times New Roman" w:cs="Times New Roman"/>
          <w:b/>
          <w:bCs/>
          <w:lang w:val="es-ES"/>
        </w:rPr>
        <w:lastRenderedPageBreak/>
        <w:t>[R6]</w:t>
      </w:r>
      <w:r w:rsidR="00F778E4">
        <w:rPr>
          <w:rFonts w:ascii="Times New Roman" w:hAnsi="Times New Roman" w:cs="Times New Roman"/>
          <w:b/>
          <w:bCs/>
          <w:lang w:val="es-ES"/>
        </w:rPr>
        <w:t xml:space="preserve"> V2:</w:t>
      </w:r>
      <w:r w:rsidR="00FC4383">
        <w:rPr>
          <w:rFonts w:ascii="Times New Roman" w:hAnsi="Times New Roman" w:cs="Times New Roman"/>
          <w:b/>
          <w:bCs/>
          <w:lang w:val="es-ES"/>
        </w:rPr>
        <w:t xml:space="preserve"> </w:t>
      </w:r>
      <w:r w:rsidR="00FC4383">
        <w:rPr>
          <w:rFonts w:ascii="Times New Roman" w:hAnsi="Times New Roman" w:cs="Times New Roman"/>
          <w:lang w:val="es-ES"/>
        </w:rPr>
        <w:t>El tiempo mediano de permanencia en UCI para pacientes críticos crónicos de COVID-19 se calcula en $37$ $(26.25 - 53)$ días; para pacientes críticos, el tiempo mediano de estancia en UCI es $5$ $(1 – 11)$ días.</w:t>
      </w:r>
    </w:p>
    <w:p w14:paraId="20EC0C61" w14:textId="1AA3AFF2" w:rsidR="00663DE3" w:rsidRDefault="00663DE3" w:rsidP="00663DE3">
      <w:pPr>
        <w:rPr>
          <w:rFonts w:ascii="Times New Roman" w:hAnsi="Times New Roman" w:cs="Times New Roman"/>
          <w:b/>
          <w:bCs/>
          <w:lang w:val="es-ES"/>
        </w:rPr>
      </w:pPr>
    </w:p>
    <w:p w14:paraId="14D3C9AA" w14:textId="02C586EB" w:rsidR="00663DE3" w:rsidRPr="00FC4383" w:rsidRDefault="00663DE3" w:rsidP="00663DE3">
      <w:pPr>
        <w:rPr>
          <w:rFonts w:ascii="Times New Roman" w:hAnsi="Times New Roman" w:cs="Times New Roman"/>
          <w:lang w:val="es-ES"/>
        </w:rPr>
      </w:pPr>
      <w:r>
        <w:rPr>
          <w:rFonts w:ascii="Times New Roman" w:hAnsi="Times New Roman" w:cs="Times New Roman"/>
          <w:b/>
          <w:bCs/>
          <w:lang w:val="es-ES"/>
        </w:rPr>
        <w:t>[R7]</w:t>
      </w:r>
      <w:r w:rsidR="00F778E4">
        <w:rPr>
          <w:rFonts w:ascii="Times New Roman" w:hAnsi="Times New Roman" w:cs="Times New Roman"/>
          <w:b/>
          <w:bCs/>
          <w:lang w:val="es-ES"/>
        </w:rPr>
        <w:t xml:space="preserve"> V3: </w:t>
      </w:r>
      <w:r w:rsidR="00D6003A">
        <w:rPr>
          <w:rFonts w:ascii="Times New Roman" w:hAnsi="Times New Roman" w:cs="Times New Roman"/>
          <w:lang w:val="es-ES"/>
        </w:rPr>
        <w:t>Nótese</w:t>
      </w:r>
      <w:r w:rsidR="00FC4383">
        <w:rPr>
          <w:rFonts w:ascii="Times New Roman" w:hAnsi="Times New Roman" w:cs="Times New Roman"/>
          <w:lang w:val="es-ES"/>
        </w:rPr>
        <w:t xml:space="preserve"> que</w:t>
      </w:r>
      <w:r w:rsidR="00D6003A">
        <w:rPr>
          <w:rFonts w:ascii="Times New Roman" w:hAnsi="Times New Roman" w:cs="Times New Roman"/>
          <w:lang w:val="es-ES"/>
        </w:rPr>
        <w:t>, en contraste,</w:t>
      </w:r>
      <w:r w:rsidR="00FC4383">
        <w:rPr>
          <w:rFonts w:ascii="Times New Roman" w:hAnsi="Times New Roman" w:cs="Times New Roman"/>
          <w:lang w:val="es-ES"/>
        </w:rPr>
        <w:t xml:space="preserve"> ambos grupos muestran una distribución similar para el tiempo transcurrido desde la aparición de síntomas hasta la admisión en UCI</w:t>
      </w:r>
      <w:r w:rsidR="00D6003A">
        <w:rPr>
          <w:rFonts w:ascii="Times New Roman" w:hAnsi="Times New Roman" w:cs="Times New Roman"/>
          <w:lang w:val="es-ES"/>
        </w:rPr>
        <w:t xml:space="preserve"> (véase Cuadro 1).</w:t>
      </w:r>
    </w:p>
    <w:p w14:paraId="29E76CB4" w14:textId="2E4206D7" w:rsidR="00FC4383" w:rsidRDefault="00FC4383" w:rsidP="00663DE3">
      <w:pPr>
        <w:rPr>
          <w:rFonts w:ascii="Times New Roman" w:hAnsi="Times New Roman" w:cs="Times New Roman"/>
          <w:b/>
          <w:bCs/>
          <w:lang w:val="es-ES"/>
        </w:rPr>
      </w:pPr>
    </w:p>
    <w:p w14:paraId="39838B15" w14:textId="1118E386" w:rsidR="003B0ED3" w:rsidRDefault="00FC4383" w:rsidP="00663DE3">
      <w:pPr>
        <w:rPr>
          <w:rFonts w:ascii="Times New Roman" w:hAnsi="Times New Roman" w:cs="Times New Roman"/>
          <w:lang w:val="es-ES"/>
        </w:rPr>
      </w:pPr>
      <w:r>
        <w:rPr>
          <w:rFonts w:ascii="Times New Roman" w:hAnsi="Times New Roman" w:cs="Times New Roman"/>
          <w:b/>
          <w:bCs/>
          <w:lang w:val="es-ES"/>
        </w:rPr>
        <w:t xml:space="preserve">[R8] Mann-Whitney: </w:t>
      </w:r>
      <w:r w:rsidR="00D6003A">
        <w:rPr>
          <w:rFonts w:ascii="Times New Roman" w:hAnsi="Times New Roman" w:cs="Times New Roman"/>
          <w:lang w:val="es-ES"/>
        </w:rPr>
        <w:t xml:space="preserve">los resultados de la prueba no-paramétrica de Mann-Whitney confirma las observaciones anteriores: existe una </w:t>
      </w:r>
      <w:r w:rsidR="003B0ED3">
        <w:rPr>
          <w:rFonts w:ascii="Times New Roman" w:hAnsi="Times New Roman" w:cs="Times New Roman"/>
          <w:lang w:val="es-ES"/>
        </w:rPr>
        <w:t xml:space="preserve">diferencia significativa entre la edad (p &lt; 0.01) y el tiempo de permanencia en UCI y la edad (p &lt; 0.01) de pacientes críticos y pacientes críticos crónicos. </w:t>
      </w:r>
    </w:p>
    <w:p w14:paraId="60D5B050" w14:textId="00D9E6D3" w:rsidR="00D6003A" w:rsidRDefault="00D6003A" w:rsidP="00663DE3">
      <w:pPr>
        <w:rPr>
          <w:rFonts w:ascii="Times New Roman" w:hAnsi="Times New Roman" w:cs="Times New Roman"/>
          <w:lang w:val="es-ES"/>
        </w:rPr>
      </w:pPr>
    </w:p>
    <w:p w14:paraId="4278E67F" w14:textId="67B8EAAA" w:rsidR="00D6003A" w:rsidRDefault="00D6003A" w:rsidP="00663DE3">
      <w:pPr>
        <w:rPr>
          <w:rFonts w:ascii="Times New Roman" w:hAnsi="Times New Roman" w:cs="Times New Roman"/>
          <w:lang w:val="es-ES"/>
        </w:rPr>
      </w:pPr>
      <w:r>
        <w:rPr>
          <w:rFonts w:ascii="Times New Roman" w:hAnsi="Times New Roman" w:cs="Times New Roman"/>
          <w:b/>
          <w:bCs/>
          <w:lang w:val="es-ES"/>
        </w:rPr>
        <w:t xml:space="preserve">[R9] </w:t>
      </w:r>
      <w:r>
        <w:rPr>
          <w:rFonts w:ascii="Times New Roman" w:hAnsi="Times New Roman" w:cs="Times New Roman"/>
          <w:lang w:val="es-ES"/>
        </w:rPr>
        <w:t>Adicionalmente, se verifica que no existe una diferencia significativa en</w:t>
      </w:r>
      <w:r w:rsidR="003B0ED3">
        <w:rPr>
          <w:rFonts w:ascii="Times New Roman" w:hAnsi="Times New Roman" w:cs="Times New Roman"/>
          <w:lang w:val="es-ES"/>
        </w:rPr>
        <w:t xml:space="preserve"> </w:t>
      </w:r>
      <w:r>
        <w:rPr>
          <w:rFonts w:ascii="Times New Roman" w:hAnsi="Times New Roman" w:cs="Times New Roman"/>
          <w:lang w:val="es-ES"/>
        </w:rPr>
        <w:t xml:space="preserve">el tiempo de permanencia en UCI </w:t>
      </w:r>
      <w:r w:rsidR="002914CC">
        <w:rPr>
          <w:rFonts w:ascii="Times New Roman" w:hAnsi="Times New Roman" w:cs="Times New Roman"/>
          <w:lang w:val="es-ES"/>
        </w:rPr>
        <w:t>de pacientes de sexo femenino y masculino</w:t>
      </w:r>
      <w:r>
        <w:rPr>
          <w:rFonts w:ascii="Times New Roman" w:hAnsi="Times New Roman" w:cs="Times New Roman"/>
          <w:lang w:val="es-ES"/>
        </w:rPr>
        <w:t xml:space="preserve"> (p = 0.6618).</w:t>
      </w:r>
    </w:p>
    <w:p w14:paraId="4AAE6E2F" w14:textId="20C5CBC8" w:rsidR="00D6003A" w:rsidRDefault="00D6003A" w:rsidP="00663DE3">
      <w:pPr>
        <w:rPr>
          <w:rFonts w:ascii="Times New Roman" w:hAnsi="Times New Roman" w:cs="Times New Roman"/>
          <w:lang w:val="es-ES"/>
        </w:rPr>
      </w:pPr>
    </w:p>
    <w:p w14:paraId="5515A379" w14:textId="564EF25D" w:rsidR="00663DE3" w:rsidRDefault="00663DE3">
      <w:pPr>
        <w:rPr>
          <w:rFonts w:ascii="Times New Roman" w:hAnsi="Times New Roman" w:cs="Times New Roman"/>
          <w:lang w:val="es-ES"/>
        </w:rPr>
      </w:pPr>
    </w:p>
    <w:p w14:paraId="2DB4C263" w14:textId="38091F1B" w:rsidR="002914CC" w:rsidRDefault="002914CC" w:rsidP="002914CC">
      <w:pPr>
        <w:ind w:firstLine="284"/>
        <w:jc w:val="both"/>
        <w:rPr>
          <w:rFonts w:ascii="Times New Roman" w:hAnsi="Times New Roman" w:cs="Times New Roman"/>
          <w:b/>
          <w:bCs/>
          <w:lang w:val="es-ES"/>
        </w:rPr>
      </w:pPr>
      <w:r>
        <w:rPr>
          <w:rFonts w:ascii="Times New Roman" w:hAnsi="Times New Roman" w:cs="Times New Roman"/>
          <w:lang w:val="es-ES"/>
        </w:rPr>
        <w:t xml:space="preserve">La prueba de normalidad de </w:t>
      </w:r>
      <w:proofErr w:type="spellStart"/>
      <w:r>
        <w:rPr>
          <w:rFonts w:ascii="Times New Roman" w:hAnsi="Times New Roman" w:cs="Times New Roman"/>
          <w:lang w:val="es-ES"/>
        </w:rPr>
        <w:t>Shapiro-Wilk</w:t>
      </w:r>
      <w:proofErr w:type="spellEnd"/>
      <w:r>
        <w:rPr>
          <w:rFonts w:ascii="Times New Roman" w:hAnsi="Times New Roman" w:cs="Times New Roman"/>
          <w:lang w:val="es-ES"/>
        </w:rPr>
        <w:t xml:space="preserve"> sugiere que las variables </w:t>
      </w:r>
      <w:proofErr w:type="gramStart"/>
      <w:r>
        <w:rPr>
          <w:rFonts w:ascii="Times New Roman" w:hAnsi="Times New Roman" w:cs="Times New Roman"/>
          <w:lang w:val="es-ES"/>
        </w:rPr>
        <w:t>continuas</w:t>
      </w:r>
      <w:proofErr w:type="gramEnd"/>
      <w:r>
        <w:rPr>
          <w:rFonts w:ascii="Times New Roman" w:hAnsi="Times New Roman" w:cs="Times New Roman"/>
          <w:lang w:val="es-ES"/>
        </w:rPr>
        <w:t xml:space="preserve"> consideradas no siguen una distribución gaussiana. El Cuadro 1 muestra que la edad mediana es mayor en pacientes críticos que en pacientes críticos crónicos ($68$ $(57 - 76)$ vs. $63.5$ $(53 - 73)$). Para el grupo de pacientes críticos crónicos de COVID-19, el tiempo mediano de estancia en UCI es $37$ $(26.25 - 53)$ días; para el grupo de pacientes críticos, $5$ $(1 – 11)$ días. Ambos grupos muestran, empero, una distribución similar sobre el tiempo transcurrido desde la aparición de síntomas hasta la admisión en UCI. Ciertamente, la prueba U de Mann-Whitney no sólo muestra que una diferencia entre la edad (p &lt; 0.01) y el tiempo de permanencia en UCI (p &lt; 0.01) de pacientes críticos y pacientes críticos crónicos; sino, además, que no existe una diferencia significativa en el tiempo de permanencia en UCI de pacientes de sexo femenino y masculino (p = 0.6618).</w:t>
      </w:r>
    </w:p>
    <w:p w14:paraId="4D6604A0" w14:textId="339DF751" w:rsidR="00742F5A" w:rsidRDefault="00742F5A">
      <w:pPr>
        <w:rPr>
          <w:rFonts w:ascii="Times New Roman" w:hAnsi="Times New Roman" w:cs="Times New Roman"/>
          <w:b/>
          <w:bCs/>
          <w:lang w:val="es-ES"/>
        </w:rPr>
      </w:pPr>
      <w:r>
        <w:rPr>
          <w:rFonts w:ascii="Times New Roman" w:hAnsi="Times New Roman" w:cs="Times New Roman"/>
          <w:b/>
          <w:bCs/>
          <w:lang w:val="es-ES"/>
        </w:rPr>
        <w:t xml:space="preserve"> </w:t>
      </w:r>
    </w:p>
    <w:p w14:paraId="4E25B5A4" w14:textId="17B63EE7" w:rsidR="007769AC" w:rsidRDefault="007769AC">
      <w:pPr>
        <w:rPr>
          <w:rFonts w:ascii="Times New Roman" w:hAnsi="Times New Roman" w:cs="Times New Roman"/>
          <w:b/>
          <w:bCs/>
          <w:lang w:val="es-ES"/>
        </w:rPr>
      </w:pPr>
    </w:p>
    <w:p w14:paraId="4597F417" w14:textId="67EE5E81" w:rsidR="007769AC" w:rsidRDefault="007769AC">
      <w:pPr>
        <w:rPr>
          <w:rFonts w:ascii="Times New Roman" w:hAnsi="Times New Roman" w:cs="Times New Roman"/>
          <w:b/>
          <w:bCs/>
          <w:lang w:val="es-ES"/>
        </w:rPr>
      </w:pPr>
      <w:r>
        <w:rPr>
          <w:rFonts w:ascii="Times New Roman" w:hAnsi="Times New Roman" w:cs="Times New Roman"/>
          <w:b/>
          <w:bCs/>
          <w:lang w:val="es-ES"/>
        </w:rPr>
        <w:t>3.2. Estimador de Kaplan-</w:t>
      </w:r>
      <w:proofErr w:type="spellStart"/>
      <w:r>
        <w:rPr>
          <w:rFonts w:ascii="Times New Roman" w:hAnsi="Times New Roman" w:cs="Times New Roman"/>
          <w:b/>
          <w:bCs/>
          <w:lang w:val="es-ES"/>
        </w:rPr>
        <w:t>Meier</w:t>
      </w:r>
      <w:proofErr w:type="spellEnd"/>
    </w:p>
    <w:p w14:paraId="3EAC75E5" w14:textId="7933B5C5" w:rsidR="007769AC" w:rsidRDefault="007769AC">
      <w:pPr>
        <w:rPr>
          <w:rFonts w:ascii="Times New Roman" w:hAnsi="Times New Roman" w:cs="Times New Roman"/>
          <w:b/>
          <w:bCs/>
          <w:lang w:val="es-ES"/>
        </w:rPr>
      </w:pPr>
    </w:p>
    <w:p w14:paraId="4FD12FC4" w14:textId="4761A26E" w:rsidR="007769AC" w:rsidRDefault="007769AC" w:rsidP="00AA767A">
      <w:pPr>
        <w:ind w:firstLine="284"/>
        <w:jc w:val="both"/>
        <w:rPr>
          <w:rFonts w:ascii="Times New Roman" w:hAnsi="Times New Roman" w:cs="Times New Roman"/>
          <w:lang w:val="es-ES"/>
        </w:rPr>
      </w:pPr>
      <w:r>
        <w:rPr>
          <w:rFonts w:ascii="Times New Roman" w:hAnsi="Times New Roman" w:cs="Times New Roman"/>
          <w:lang w:val="es-ES"/>
        </w:rPr>
        <w:t>De acuerdo con la estimación no-paramétrica de Kaplan-</w:t>
      </w:r>
      <w:proofErr w:type="spellStart"/>
      <w:r>
        <w:rPr>
          <w:rFonts w:ascii="Times New Roman" w:hAnsi="Times New Roman" w:cs="Times New Roman"/>
          <w:lang w:val="es-ES"/>
        </w:rPr>
        <w:t>Meier</w:t>
      </w:r>
      <w:proofErr w:type="spellEnd"/>
      <w:r>
        <w:rPr>
          <w:rFonts w:ascii="Times New Roman" w:hAnsi="Times New Roman" w:cs="Times New Roman"/>
          <w:lang w:val="es-ES"/>
        </w:rPr>
        <w:t xml:space="preserve">, la tasa de supervivencia en UCI a los 30 días fue </w:t>
      </w:r>
      <w:r w:rsidR="004E71A3">
        <w:rPr>
          <w:rFonts w:ascii="Times New Roman" w:hAnsi="Times New Roman" w:cs="Times New Roman"/>
          <w:lang w:val="es-ES"/>
        </w:rPr>
        <w:t xml:space="preserve">de </w:t>
      </w:r>
      <w:r>
        <w:rPr>
          <w:rFonts w:ascii="Times New Roman" w:hAnsi="Times New Roman" w:cs="Times New Roman"/>
          <w:lang w:val="es-ES"/>
        </w:rPr>
        <w:t>47.03% (</w:t>
      </w:r>
      <w:r w:rsidR="004E71A3">
        <w:rPr>
          <w:rFonts w:ascii="Times New Roman" w:hAnsi="Times New Roman" w:cs="Times New Roman"/>
          <w:lang w:val="es-ES"/>
        </w:rPr>
        <w:t>95% IC: 44 – 49.99</w:t>
      </w:r>
      <w:r>
        <w:rPr>
          <w:rFonts w:ascii="Times New Roman" w:hAnsi="Times New Roman" w:cs="Times New Roman"/>
          <w:lang w:val="es-ES"/>
        </w:rPr>
        <w:t>)</w:t>
      </w:r>
      <w:r w:rsidR="004E71A3">
        <w:rPr>
          <w:rFonts w:ascii="Times New Roman" w:hAnsi="Times New Roman" w:cs="Times New Roman"/>
          <w:lang w:val="es-ES"/>
        </w:rPr>
        <w:t>. Se verifica que la tasa de supervivencia en UCI es superior en pacientes mayores de 65 años (log-</w:t>
      </w:r>
      <w:proofErr w:type="spellStart"/>
      <w:r w:rsidR="004E71A3">
        <w:rPr>
          <w:rFonts w:ascii="Times New Roman" w:hAnsi="Times New Roman" w:cs="Times New Roman"/>
          <w:lang w:val="es-ES"/>
        </w:rPr>
        <w:t>rank</w:t>
      </w:r>
      <w:proofErr w:type="spellEnd"/>
      <w:r w:rsidR="004E71A3">
        <w:rPr>
          <w:rFonts w:ascii="Times New Roman" w:hAnsi="Times New Roman" w:cs="Times New Roman"/>
          <w:lang w:val="es-ES"/>
        </w:rPr>
        <w:t xml:space="preserve"> test: p &lt; 0.01). Lo mismo valdría decir sobre los pacientes críticos crónicos: </w:t>
      </w:r>
      <w:r w:rsidR="00970802">
        <w:rPr>
          <w:rFonts w:ascii="Times New Roman" w:hAnsi="Times New Roman" w:cs="Times New Roman"/>
          <w:lang w:val="es-ES"/>
        </w:rPr>
        <w:t>la tasa de supervivencia en UCI a los 30 días en pacientes críticos crónicos es mayor que en pacientes críticos (</w:t>
      </w:r>
      <w:r w:rsidR="00232D07">
        <w:rPr>
          <w:rFonts w:ascii="Times New Roman" w:hAnsi="Times New Roman" w:cs="Times New Roman"/>
          <w:lang w:val="es-ES"/>
        </w:rPr>
        <w:t>84.26</w:t>
      </w:r>
      <w:r w:rsidR="00970802">
        <w:rPr>
          <w:rFonts w:ascii="Times New Roman" w:hAnsi="Times New Roman" w:cs="Times New Roman"/>
          <w:lang w:val="es-ES"/>
        </w:rPr>
        <w:t>% (95% IC:</w:t>
      </w:r>
      <w:r w:rsidR="00232D07">
        <w:rPr>
          <w:rFonts w:ascii="Times New Roman" w:hAnsi="Times New Roman" w:cs="Times New Roman"/>
          <w:lang w:val="es-ES"/>
        </w:rPr>
        <w:t xml:space="preserve"> 77.59</w:t>
      </w:r>
      <w:r w:rsidR="00970802">
        <w:rPr>
          <w:rFonts w:ascii="Times New Roman" w:hAnsi="Times New Roman" w:cs="Times New Roman"/>
          <w:lang w:val="es-ES"/>
        </w:rPr>
        <w:t xml:space="preserve"> – </w:t>
      </w:r>
      <w:r w:rsidR="00232D07">
        <w:rPr>
          <w:rFonts w:ascii="Times New Roman" w:hAnsi="Times New Roman" w:cs="Times New Roman"/>
          <w:lang w:val="es-ES"/>
        </w:rPr>
        <w:t>89.0</w:t>
      </w:r>
      <w:r w:rsidR="00970802">
        <w:rPr>
          <w:rFonts w:ascii="Times New Roman" w:hAnsi="Times New Roman" w:cs="Times New Roman"/>
          <w:lang w:val="es-ES"/>
        </w:rPr>
        <w:t xml:space="preserve">9) vs. </w:t>
      </w:r>
      <w:r w:rsidR="00232D07">
        <w:rPr>
          <w:rFonts w:ascii="Times New Roman" w:hAnsi="Times New Roman" w:cs="Times New Roman"/>
          <w:lang w:val="es-ES"/>
        </w:rPr>
        <w:t>34</w:t>
      </w:r>
      <w:r w:rsidR="00970802">
        <w:rPr>
          <w:rFonts w:ascii="Times New Roman" w:hAnsi="Times New Roman" w:cs="Times New Roman"/>
          <w:lang w:val="es-ES"/>
        </w:rPr>
        <w:t>.</w:t>
      </w:r>
      <w:r w:rsidR="00232D07">
        <w:rPr>
          <w:rFonts w:ascii="Times New Roman" w:hAnsi="Times New Roman" w:cs="Times New Roman"/>
          <w:lang w:val="es-ES"/>
        </w:rPr>
        <w:t>21</w:t>
      </w:r>
      <w:r w:rsidR="00970802">
        <w:rPr>
          <w:rFonts w:ascii="Times New Roman" w:hAnsi="Times New Roman" w:cs="Times New Roman"/>
          <w:lang w:val="es-ES"/>
        </w:rPr>
        <w:t xml:space="preserve">% (95% IC: </w:t>
      </w:r>
      <w:r w:rsidR="00232D07">
        <w:rPr>
          <w:rFonts w:ascii="Times New Roman" w:hAnsi="Times New Roman" w:cs="Times New Roman"/>
          <w:lang w:val="es-ES"/>
        </w:rPr>
        <w:t>29.88</w:t>
      </w:r>
      <w:r w:rsidR="00970802">
        <w:rPr>
          <w:rFonts w:ascii="Times New Roman" w:hAnsi="Times New Roman" w:cs="Times New Roman"/>
          <w:lang w:val="es-ES"/>
        </w:rPr>
        <w:t xml:space="preserve"> – </w:t>
      </w:r>
      <w:r w:rsidR="00232D07">
        <w:rPr>
          <w:rFonts w:ascii="Times New Roman" w:hAnsi="Times New Roman" w:cs="Times New Roman"/>
          <w:lang w:val="es-ES"/>
        </w:rPr>
        <w:t>38.58</w:t>
      </w:r>
      <w:r w:rsidR="00970802">
        <w:rPr>
          <w:rFonts w:ascii="Times New Roman" w:hAnsi="Times New Roman" w:cs="Times New Roman"/>
          <w:lang w:val="es-ES"/>
        </w:rPr>
        <w:t>), log-</w:t>
      </w:r>
      <w:proofErr w:type="spellStart"/>
      <w:r w:rsidR="00970802">
        <w:rPr>
          <w:rFonts w:ascii="Times New Roman" w:hAnsi="Times New Roman" w:cs="Times New Roman"/>
          <w:lang w:val="es-ES"/>
        </w:rPr>
        <w:t>rank</w:t>
      </w:r>
      <w:proofErr w:type="spellEnd"/>
      <w:r w:rsidR="00970802">
        <w:rPr>
          <w:rFonts w:ascii="Times New Roman" w:hAnsi="Times New Roman" w:cs="Times New Roman"/>
          <w:lang w:val="es-ES"/>
        </w:rPr>
        <w:t xml:space="preserve"> test: p &lt; 0.01). </w:t>
      </w:r>
      <w:r w:rsidR="00232D07">
        <w:rPr>
          <w:rFonts w:ascii="Times New Roman" w:hAnsi="Times New Roman" w:cs="Times New Roman"/>
          <w:lang w:val="es-ES"/>
        </w:rPr>
        <w:t>Por último, nótese que no existe una diferencia significativa entre las curvas de supervivencia estimada para pacientes de sexo femenino y masculino (log-</w:t>
      </w:r>
      <w:proofErr w:type="spellStart"/>
      <w:r w:rsidR="00232D07">
        <w:rPr>
          <w:rFonts w:ascii="Times New Roman" w:hAnsi="Times New Roman" w:cs="Times New Roman"/>
          <w:lang w:val="es-ES"/>
        </w:rPr>
        <w:t>rank</w:t>
      </w:r>
      <w:proofErr w:type="spellEnd"/>
      <w:r w:rsidR="00232D07">
        <w:rPr>
          <w:rFonts w:ascii="Times New Roman" w:hAnsi="Times New Roman" w:cs="Times New Roman"/>
          <w:lang w:val="es-ES"/>
        </w:rPr>
        <w:t xml:space="preserve"> test: p = 0.12).</w:t>
      </w:r>
    </w:p>
    <w:p w14:paraId="01405B79" w14:textId="1D01F392" w:rsidR="001E1DE4" w:rsidRDefault="001E1DE4" w:rsidP="004E71A3">
      <w:pPr>
        <w:jc w:val="both"/>
        <w:rPr>
          <w:rFonts w:ascii="Times New Roman" w:hAnsi="Times New Roman" w:cs="Times New Roman"/>
          <w:lang w:val="es-ES"/>
        </w:rPr>
      </w:pPr>
    </w:p>
    <w:p w14:paraId="791AEEFC" w14:textId="5D0ACDB8" w:rsidR="001E1DE4" w:rsidRDefault="001E1DE4" w:rsidP="004E71A3">
      <w:pPr>
        <w:jc w:val="both"/>
        <w:rPr>
          <w:rFonts w:ascii="Times New Roman" w:hAnsi="Times New Roman" w:cs="Times New Roman"/>
          <w:b/>
          <w:bCs/>
          <w:lang w:val="es-ES"/>
        </w:rPr>
      </w:pPr>
      <w:r w:rsidRPr="001E1DE4">
        <w:rPr>
          <w:rFonts w:ascii="Times New Roman" w:hAnsi="Times New Roman" w:cs="Times New Roman"/>
          <w:b/>
          <w:bCs/>
          <w:lang w:val="es-ES"/>
        </w:rPr>
        <w:t xml:space="preserve">3.3. </w:t>
      </w:r>
      <w:r>
        <w:rPr>
          <w:rFonts w:ascii="Times New Roman" w:hAnsi="Times New Roman" w:cs="Times New Roman"/>
          <w:b/>
          <w:bCs/>
          <w:lang w:val="es-ES"/>
        </w:rPr>
        <w:t>CCI vs. Non-CCI</w:t>
      </w:r>
    </w:p>
    <w:p w14:paraId="0283048F" w14:textId="775286F6" w:rsidR="001E1DE4" w:rsidRDefault="001E1DE4" w:rsidP="004E71A3">
      <w:pPr>
        <w:jc w:val="both"/>
        <w:rPr>
          <w:rFonts w:ascii="Times New Roman" w:hAnsi="Times New Roman" w:cs="Times New Roman"/>
          <w:b/>
          <w:bCs/>
          <w:lang w:val="es-ES"/>
        </w:rPr>
      </w:pPr>
    </w:p>
    <w:p w14:paraId="3410813C" w14:textId="01B28679" w:rsidR="001E1DE4" w:rsidRPr="001E1DE4" w:rsidRDefault="001E1DE4" w:rsidP="004E71A3">
      <w:pPr>
        <w:jc w:val="both"/>
        <w:rPr>
          <w:rFonts w:ascii="Times New Roman" w:hAnsi="Times New Roman" w:cs="Times New Roman"/>
          <w:lang w:val="es-ES"/>
        </w:rPr>
      </w:pPr>
      <w:r>
        <w:rPr>
          <w:rFonts w:ascii="Times New Roman" w:hAnsi="Times New Roman" w:cs="Times New Roman"/>
          <w:b/>
          <w:bCs/>
          <w:lang w:val="es-ES"/>
        </w:rPr>
        <w:t xml:space="preserve">[R1] </w:t>
      </w:r>
      <w:r>
        <w:rPr>
          <w:rFonts w:ascii="Times New Roman" w:hAnsi="Times New Roman" w:cs="Times New Roman"/>
          <w:lang w:val="es-ES"/>
        </w:rPr>
        <w:t xml:space="preserve">En términos generales, </w:t>
      </w:r>
      <w:r>
        <w:rPr>
          <w:rFonts w:ascii="Times New Roman" w:hAnsi="Times New Roman" w:cs="Times New Roman"/>
          <w:lang w:val="es-ES"/>
        </w:rPr>
        <w:t>la tasa de supervivencia acumulada en UCI</w:t>
      </w:r>
      <w:r>
        <w:rPr>
          <w:rFonts w:ascii="Times New Roman" w:hAnsi="Times New Roman" w:cs="Times New Roman"/>
          <w:lang w:val="es-ES"/>
        </w:rPr>
        <w:t xml:space="preserve"> es menor en pacientes de sexo masculino; no obstante, no existe</w:t>
      </w:r>
      <w:r w:rsidR="00C62D57">
        <w:rPr>
          <w:rFonts w:ascii="Times New Roman" w:hAnsi="Times New Roman" w:cs="Times New Roman"/>
          <w:lang w:val="es-ES"/>
        </w:rPr>
        <w:t xml:space="preserve"> evidencia ----</w:t>
      </w:r>
      <w:r>
        <w:rPr>
          <w:rFonts w:ascii="Times New Roman" w:hAnsi="Times New Roman" w:cs="Times New Roman"/>
          <w:lang w:val="es-ES"/>
        </w:rPr>
        <w:t xml:space="preserve">ni en </w:t>
      </w:r>
      <w:r>
        <w:rPr>
          <w:rFonts w:ascii="Times New Roman" w:hAnsi="Times New Roman" w:cs="Times New Roman"/>
          <w:lang w:val="es-ES"/>
        </w:rPr>
        <w:t>pacientes críticos crónicos</w:t>
      </w:r>
      <w:r>
        <w:rPr>
          <w:rFonts w:ascii="Times New Roman" w:hAnsi="Times New Roman" w:cs="Times New Roman"/>
          <w:lang w:val="es-ES"/>
        </w:rPr>
        <w:t xml:space="preserve"> (log-</w:t>
      </w:r>
      <w:proofErr w:type="spellStart"/>
      <w:r>
        <w:rPr>
          <w:rFonts w:ascii="Times New Roman" w:hAnsi="Times New Roman" w:cs="Times New Roman"/>
          <w:lang w:val="es-ES"/>
        </w:rPr>
        <w:t>rank</w:t>
      </w:r>
      <w:proofErr w:type="spellEnd"/>
      <w:r>
        <w:rPr>
          <w:rFonts w:ascii="Times New Roman" w:hAnsi="Times New Roman" w:cs="Times New Roman"/>
          <w:lang w:val="es-ES"/>
        </w:rPr>
        <w:t xml:space="preserve"> test: p = 0.62)</w:t>
      </w:r>
      <w:r>
        <w:rPr>
          <w:rFonts w:ascii="Times New Roman" w:hAnsi="Times New Roman" w:cs="Times New Roman"/>
          <w:lang w:val="es-ES"/>
        </w:rPr>
        <w:t xml:space="preserve"> </w:t>
      </w:r>
      <w:r>
        <w:rPr>
          <w:rFonts w:ascii="Times New Roman" w:hAnsi="Times New Roman" w:cs="Times New Roman"/>
          <w:lang w:val="es-ES"/>
        </w:rPr>
        <w:t xml:space="preserve">ni en </w:t>
      </w:r>
      <w:r>
        <w:rPr>
          <w:rFonts w:ascii="Times New Roman" w:hAnsi="Times New Roman" w:cs="Times New Roman"/>
          <w:lang w:val="es-ES"/>
        </w:rPr>
        <w:t xml:space="preserve">pacientes </w:t>
      </w:r>
      <w:r>
        <w:rPr>
          <w:rFonts w:ascii="Times New Roman" w:hAnsi="Times New Roman" w:cs="Times New Roman"/>
          <w:lang w:val="es-ES"/>
        </w:rPr>
        <w:t>críticos (log-</w:t>
      </w:r>
      <w:proofErr w:type="spellStart"/>
      <w:r>
        <w:rPr>
          <w:rFonts w:ascii="Times New Roman" w:hAnsi="Times New Roman" w:cs="Times New Roman"/>
          <w:lang w:val="es-ES"/>
        </w:rPr>
        <w:t>rank</w:t>
      </w:r>
      <w:proofErr w:type="spellEnd"/>
      <w:r>
        <w:rPr>
          <w:rFonts w:ascii="Times New Roman" w:hAnsi="Times New Roman" w:cs="Times New Roman"/>
          <w:lang w:val="es-ES"/>
        </w:rPr>
        <w:t xml:space="preserve"> test: p = 0.28)</w:t>
      </w:r>
      <w:r w:rsidR="00C62D57">
        <w:rPr>
          <w:rFonts w:ascii="Times New Roman" w:hAnsi="Times New Roman" w:cs="Times New Roman"/>
          <w:lang w:val="es-ES"/>
        </w:rPr>
        <w:t>---</w:t>
      </w:r>
      <w:r>
        <w:rPr>
          <w:rFonts w:ascii="Times New Roman" w:hAnsi="Times New Roman" w:cs="Times New Roman"/>
          <w:lang w:val="es-ES"/>
        </w:rPr>
        <w:t xml:space="preserve"> </w:t>
      </w:r>
      <w:r w:rsidR="00C62D57">
        <w:rPr>
          <w:rFonts w:ascii="Times New Roman" w:hAnsi="Times New Roman" w:cs="Times New Roman"/>
          <w:lang w:val="es-ES"/>
        </w:rPr>
        <w:t xml:space="preserve">de </w:t>
      </w:r>
      <w:r>
        <w:rPr>
          <w:rFonts w:ascii="Times New Roman" w:hAnsi="Times New Roman" w:cs="Times New Roman"/>
          <w:lang w:val="es-ES"/>
        </w:rPr>
        <w:t>una diferencia significativa entre las curvas de supervivencia según el sexo.</w:t>
      </w:r>
    </w:p>
    <w:p w14:paraId="3D9D56D7" w14:textId="58193E56" w:rsidR="00640D10" w:rsidRDefault="00640D10" w:rsidP="004E71A3">
      <w:pPr>
        <w:jc w:val="both"/>
        <w:rPr>
          <w:rFonts w:ascii="Times New Roman" w:hAnsi="Times New Roman" w:cs="Times New Roman"/>
          <w:lang w:val="es-ES"/>
        </w:rPr>
      </w:pPr>
    </w:p>
    <w:p w14:paraId="382A485D" w14:textId="482555DC" w:rsidR="00C62D57" w:rsidRDefault="00C62D57" w:rsidP="00C62D57">
      <w:pPr>
        <w:jc w:val="both"/>
        <w:rPr>
          <w:rFonts w:ascii="Times New Roman" w:hAnsi="Times New Roman" w:cs="Times New Roman"/>
          <w:lang w:val="es-ES"/>
        </w:rPr>
      </w:pPr>
      <w:r>
        <w:rPr>
          <w:rFonts w:ascii="Times New Roman" w:hAnsi="Times New Roman" w:cs="Times New Roman"/>
          <w:b/>
          <w:bCs/>
          <w:lang w:val="es-ES"/>
        </w:rPr>
        <w:lastRenderedPageBreak/>
        <w:t>[R</w:t>
      </w:r>
      <w:r>
        <w:rPr>
          <w:rFonts w:ascii="Times New Roman" w:hAnsi="Times New Roman" w:cs="Times New Roman"/>
          <w:b/>
          <w:bCs/>
          <w:lang w:val="es-ES"/>
        </w:rPr>
        <w:t>2</w:t>
      </w:r>
      <w:r>
        <w:rPr>
          <w:rFonts w:ascii="Times New Roman" w:hAnsi="Times New Roman" w:cs="Times New Roman"/>
          <w:b/>
          <w:bCs/>
          <w:lang w:val="es-ES"/>
        </w:rPr>
        <w:t>]</w:t>
      </w:r>
      <w:r>
        <w:rPr>
          <w:rFonts w:ascii="Times New Roman" w:hAnsi="Times New Roman" w:cs="Times New Roman"/>
          <w:b/>
          <w:bCs/>
          <w:lang w:val="es-ES"/>
        </w:rPr>
        <w:t xml:space="preserve"> </w:t>
      </w:r>
      <w:r>
        <w:rPr>
          <w:rFonts w:ascii="Times New Roman" w:hAnsi="Times New Roman" w:cs="Times New Roman"/>
          <w:lang w:val="es-ES"/>
        </w:rPr>
        <w:t>La diferencia según edades se conserva: para pacientes críticos, la tasa de supervivencia en UCI a los 30 días es menor en pacientes mayores de 65 años (</w:t>
      </w:r>
      <w:r w:rsidR="00AA767A">
        <w:rPr>
          <w:rFonts w:ascii="Times New Roman" w:hAnsi="Times New Roman" w:cs="Times New Roman"/>
          <w:lang w:val="es-ES"/>
        </w:rPr>
        <w:t>48</w:t>
      </w:r>
      <w:r w:rsidR="00AA767A">
        <w:rPr>
          <w:rFonts w:ascii="Times New Roman" w:hAnsi="Times New Roman" w:cs="Times New Roman"/>
          <w:lang w:val="es-ES"/>
        </w:rPr>
        <w:t>.</w:t>
      </w:r>
      <w:r w:rsidR="00AA767A">
        <w:rPr>
          <w:rFonts w:ascii="Times New Roman" w:hAnsi="Times New Roman" w:cs="Times New Roman"/>
          <w:lang w:val="es-ES"/>
        </w:rPr>
        <w:t>85</w:t>
      </w:r>
      <w:r w:rsidR="00AA767A">
        <w:rPr>
          <w:rFonts w:ascii="Times New Roman" w:hAnsi="Times New Roman" w:cs="Times New Roman"/>
          <w:lang w:val="es-ES"/>
        </w:rPr>
        <w:t>% (</w:t>
      </w:r>
      <w:r w:rsidR="00AA767A">
        <w:rPr>
          <w:rFonts w:ascii="Times New Roman" w:hAnsi="Times New Roman" w:cs="Times New Roman"/>
          <w:lang w:val="es-ES"/>
        </w:rPr>
        <w:t>41.5</w:t>
      </w:r>
      <w:r w:rsidR="00AA767A">
        <w:rPr>
          <w:rFonts w:ascii="Times New Roman" w:hAnsi="Times New Roman" w:cs="Times New Roman"/>
          <w:lang w:val="es-ES"/>
        </w:rPr>
        <w:t xml:space="preserve"> – </w:t>
      </w:r>
      <w:r w:rsidR="00AA767A">
        <w:rPr>
          <w:rFonts w:ascii="Times New Roman" w:hAnsi="Times New Roman" w:cs="Times New Roman"/>
          <w:lang w:val="es-ES"/>
        </w:rPr>
        <w:t>55.8</w:t>
      </w:r>
      <w:r w:rsidR="00AA767A">
        <w:rPr>
          <w:rFonts w:ascii="Times New Roman" w:hAnsi="Times New Roman" w:cs="Times New Roman"/>
          <w:lang w:val="es-ES"/>
        </w:rPr>
        <w:t xml:space="preserve">) vs. </w:t>
      </w:r>
      <w:r w:rsidR="00AA767A">
        <w:rPr>
          <w:rFonts w:ascii="Times New Roman" w:hAnsi="Times New Roman" w:cs="Times New Roman"/>
          <w:lang w:val="es-ES"/>
        </w:rPr>
        <w:t>22</w:t>
      </w:r>
      <w:r w:rsidR="00AA767A">
        <w:rPr>
          <w:rFonts w:ascii="Times New Roman" w:hAnsi="Times New Roman" w:cs="Times New Roman"/>
          <w:lang w:val="es-ES"/>
        </w:rPr>
        <w:t>.</w:t>
      </w:r>
      <w:r w:rsidR="00AA767A">
        <w:rPr>
          <w:rFonts w:ascii="Times New Roman" w:hAnsi="Times New Roman" w:cs="Times New Roman"/>
          <w:lang w:val="es-ES"/>
        </w:rPr>
        <w:t>95</w:t>
      </w:r>
      <w:r w:rsidR="00AA767A">
        <w:rPr>
          <w:rFonts w:ascii="Times New Roman" w:hAnsi="Times New Roman" w:cs="Times New Roman"/>
          <w:lang w:val="es-ES"/>
        </w:rPr>
        <w:t>% (</w:t>
      </w:r>
      <w:r w:rsidR="00AA767A">
        <w:rPr>
          <w:rFonts w:ascii="Times New Roman" w:hAnsi="Times New Roman" w:cs="Times New Roman"/>
          <w:lang w:val="es-ES"/>
        </w:rPr>
        <w:t>18.1</w:t>
      </w:r>
      <w:r w:rsidR="00AA767A">
        <w:rPr>
          <w:rFonts w:ascii="Times New Roman" w:hAnsi="Times New Roman" w:cs="Times New Roman"/>
          <w:lang w:val="es-ES"/>
        </w:rPr>
        <w:t xml:space="preserve"> – </w:t>
      </w:r>
      <w:r w:rsidR="00AA767A">
        <w:rPr>
          <w:rFonts w:ascii="Times New Roman" w:hAnsi="Times New Roman" w:cs="Times New Roman"/>
          <w:lang w:val="es-ES"/>
        </w:rPr>
        <w:t>28.2</w:t>
      </w:r>
      <w:r w:rsidR="00AA767A">
        <w:rPr>
          <w:rFonts w:ascii="Times New Roman" w:hAnsi="Times New Roman" w:cs="Times New Roman"/>
          <w:lang w:val="es-ES"/>
        </w:rPr>
        <w:t>)</w:t>
      </w:r>
      <w:r w:rsidR="00AA767A">
        <w:rPr>
          <w:rFonts w:ascii="Times New Roman" w:hAnsi="Times New Roman" w:cs="Times New Roman"/>
          <w:lang w:val="es-ES"/>
        </w:rPr>
        <w:t xml:space="preserve">, </w:t>
      </w:r>
      <w:r>
        <w:rPr>
          <w:rFonts w:ascii="Times New Roman" w:hAnsi="Times New Roman" w:cs="Times New Roman"/>
          <w:lang w:val="es-ES"/>
        </w:rPr>
        <w:t>log-</w:t>
      </w:r>
      <w:proofErr w:type="spellStart"/>
      <w:r>
        <w:rPr>
          <w:rFonts w:ascii="Times New Roman" w:hAnsi="Times New Roman" w:cs="Times New Roman"/>
          <w:lang w:val="es-ES"/>
        </w:rPr>
        <w:t>rank</w:t>
      </w:r>
      <w:proofErr w:type="spellEnd"/>
      <w:r>
        <w:rPr>
          <w:rFonts w:ascii="Times New Roman" w:hAnsi="Times New Roman" w:cs="Times New Roman"/>
          <w:lang w:val="es-ES"/>
        </w:rPr>
        <w:t xml:space="preserve"> test: p </w:t>
      </w:r>
      <w:r w:rsidR="00AA767A">
        <w:rPr>
          <w:rFonts w:ascii="Times New Roman" w:hAnsi="Times New Roman" w:cs="Times New Roman"/>
          <w:lang w:val="es-ES"/>
        </w:rPr>
        <w:t>&lt; 0.01</w:t>
      </w:r>
      <w:r>
        <w:rPr>
          <w:rFonts w:ascii="Times New Roman" w:hAnsi="Times New Roman" w:cs="Times New Roman"/>
          <w:lang w:val="es-ES"/>
        </w:rPr>
        <w:t>).</w:t>
      </w:r>
    </w:p>
    <w:p w14:paraId="697B071F" w14:textId="2FCD242D" w:rsidR="00C62D57" w:rsidRDefault="00C62D57" w:rsidP="00C62D57">
      <w:pPr>
        <w:jc w:val="both"/>
        <w:rPr>
          <w:rFonts w:ascii="Times New Roman" w:hAnsi="Times New Roman" w:cs="Times New Roman"/>
          <w:lang w:val="es-ES"/>
        </w:rPr>
      </w:pPr>
    </w:p>
    <w:p w14:paraId="6BF1AC1C" w14:textId="5F45DEC2" w:rsidR="00C62D57" w:rsidRPr="00C62D57" w:rsidRDefault="00C62D57" w:rsidP="00C62D57">
      <w:pPr>
        <w:jc w:val="both"/>
        <w:rPr>
          <w:rFonts w:ascii="Times New Roman" w:hAnsi="Times New Roman" w:cs="Times New Roman"/>
          <w:lang w:val="es-ES"/>
        </w:rPr>
      </w:pPr>
      <w:r>
        <w:rPr>
          <w:rFonts w:ascii="Times New Roman" w:hAnsi="Times New Roman" w:cs="Times New Roman"/>
          <w:b/>
          <w:bCs/>
          <w:lang w:val="es-ES"/>
        </w:rPr>
        <w:t xml:space="preserve">[R3] </w:t>
      </w:r>
      <w:r>
        <w:rPr>
          <w:rFonts w:ascii="Times New Roman" w:hAnsi="Times New Roman" w:cs="Times New Roman"/>
          <w:lang w:val="es-ES"/>
        </w:rPr>
        <w:t xml:space="preserve">Lo mismo valdría decir sobre los pacientes críticos crónicos </w:t>
      </w:r>
      <w:r>
        <w:rPr>
          <w:rFonts w:ascii="Times New Roman" w:hAnsi="Times New Roman" w:cs="Times New Roman"/>
          <w:lang w:val="es-ES"/>
        </w:rPr>
        <w:t>(</w:t>
      </w:r>
      <w:r w:rsidR="00AA767A">
        <w:rPr>
          <w:rFonts w:ascii="Times New Roman" w:hAnsi="Times New Roman" w:cs="Times New Roman"/>
          <w:lang w:val="es-ES"/>
        </w:rPr>
        <w:t>91.58%</w:t>
      </w:r>
      <w:r>
        <w:rPr>
          <w:rFonts w:ascii="Times New Roman" w:hAnsi="Times New Roman" w:cs="Times New Roman"/>
          <w:lang w:val="es-ES"/>
        </w:rPr>
        <w:t xml:space="preserve"> (</w:t>
      </w:r>
      <w:r w:rsidR="00AA767A">
        <w:rPr>
          <w:rFonts w:ascii="Times New Roman" w:hAnsi="Times New Roman" w:cs="Times New Roman"/>
          <w:lang w:val="es-ES"/>
        </w:rPr>
        <w:t>83.1</w:t>
      </w:r>
      <w:r>
        <w:rPr>
          <w:rFonts w:ascii="Times New Roman" w:hAnsi="Times New Roman" w:cs="Times New Roman"/>
          <w:lang w:val="es-ES"/>
        </w:rPr>
        <w:t xml:space="preserve"> – </w:t>
      </w:r>
      <w:r w:rsidR="00AA767A">
        <w:rPr>
          <w:rFonts w:ascii="Times New Roman" w:hAnsi="Times New Roman" w:cs="Times New Roman"/>
          <w:lang w:val="es-ES"/>
        </w:rPr>
        <w:t>95.9</w:t>
      </w:r>
      <w:r>
        <w:rPr>
          <w:rFonts w:ascii="Times New Roman" w:hAnsi="Times New Roman" w:cs="Times New Roman"/>
          <w:lang w:val="es-ES"/>
        </w:rPr>
        <w:t>)</w:t>
      </w:r>
      <w:r w:rsidR="00AA767A">
        <w:rPr>
          <w:rFonts w:ascii="Times New Roman" w:hAnsi="Times New Roman" w:cs="Times New Roman"/>
          <w:lang w:val="es-ES"/>
        </w:rPr>
        <w:t xml:space="preserve"> vs. 75</w:t>
      </w:r>
      <w:r w:rsidR="00AA767A">
        <w:rPr>
          <w:rFonts w:ascii="Times New Roman" w:hAnsi="Times New Roman" w:cs="Times New Roman"/>
          <w:lang w:val="es-ES"/>
        </w:rPr>
        <w:t>.5</w:t>
      </w:r>
      <w:r w:rsidR="00AA767A">
        <w:rPr>
          <w:rFonts w:ascii="Times New Roman" w:hAnsi="Times New Roman" w:cs="Times New Roman"/>
          <w:lang w:val="es-ES"/>
        </w:rPr>
        <w:t>5</w:t>
      </w:r>
      <w:r w:rsidR="00AA767A">
        <w:rPr>
          <w:rFonts w:ascii="Times New Roman" w:hAnsi="Times New Roman" w:cs="Times New Roman"/>
          <w:lang w:val="es-ES"/>
        </w:rPr>
        <w:t>% (</w:t>
      </w:r>
      <w:r w:rsidR="00AA767A">
        <w:rPr>
          <w:rFonts w:ascii="Times New Roman" w:hAnsi="Times New Roman" w:cs="Times New Roman"/>
          <w:lang w:val="es-ES"/>
        </w:rPr>
        <w:t>64</w:t>
      </w:r>
      <w:r w:rsidR="00AA767A">
        <w:rPr>
          <w:rFonts w:ascii="Times New Roman" w:hAnsi="Times New Roman" w:cs="Times New Roman"/>
          <w:lang w:val="es-ES"/>
        </w:rPr>
        <w:t xml:space="preserve"> – </w:t>
      </w:r>
      <w:r w:rsidR="00AA767A">
        <w:rPr>
          <w:rFonts w:ascii="Times New Roman" w:hAnsi="Times New Roman" w:cs="Times New Roman"/>
          <w:lang w:val="es-ES"/>
        </w:rPr>
        <w:t>83.8</w:t>
      </w:r>
      <w:r w:rsidR="00AA767A">
        <w:rPr>
          <w:rFonts w:ascii="Times New Roman" w:hAnsi="Times New Roman" w:cs="Times New Roman"/>
          <w:lang w:val="es-ES"/>
        </w:rPr>
        <w:t>)</w:t>
      </w:r>
      <w:r>
        <w:rPr>
          <w:rFonts w:ascii="Times New Roman" w:hAnsi="Times New Roman" w:cs="Times New Roman"/>
          <w:lang w:val="es-ES"/>
        </w:rPr>
        <w:t>, log-</w:t>
      </w:r>
      <w:proofErr w:type="spellStart"/>
      <w:r>
        <w:rPr>
          <w:rFonts w:ascii="Times New Roman" w:hAnsi="Times New Roman" w:cs="Times New Roman"/>
          <w:lang w:val="es-ES"/>
        </w:rPr>
        <w:t>rank</w:t>
      </w:r>
      <w:proofErr w:type="spellEnd"/>
      <w:r>
        <w:rPr>
          <w:rFonts w:ascii="Times New Roman" w:hAnsi="Times New Roman" w:cs="Times New Roman"/>
          <w:lang w:val="es-ES"/>
        </w:rPr>
        <w:t xml:space="preserve"> test: p </w:t>
      </w:r>
      <w:r w:rsidR="00AA767A">
        <w:rPr>
          <w:rFonts w:ascii="Times New Roman" w:hAnsi="Times New Roman" w:cs="Times New Roman"/>
          <w:lang w:val="es-ES"/>
        </w:rPr>
        <w:t>&lt; 0.01</w:t>
      </w:r>
      <w:r>
        <w:rPr>
          <w:rFonts w:ascii="Times New Roman" w:hAnsi="Times New Roman" w:cs="Times New Roman"/>
          <w:lang w:val="es-ES"/>
        </w:rPr>
        <w:t>)</w:t>
      </w:r>
      <w:r>
        <w:rPr>
          <w:rFonts w:ascii="Times New Roman" w:hAnsi="Times New Roman" w:cs="Times New Roman"/>
          <w:lang w:val="es-ES"/>
        </w:rPr>
        <w:t>.</w:t>
      </w:r>
    </w:p>
    <w:p w14:paraId="5B7946FA" w14:textId="5B5BC27F" w:rsidR="00640D10" w:rsidRDefault="00640D10" w:rsidP="004E71A3">
      <w:pPr>
        <w:jc w:val="both"/>
        <w:rPr>
          <w:rFonts w:ascii="Times New Roman" w:hAnsi="Times New Roman" w:cs="Times New Roman"/>
          <w:lang w:val="es-ES"/>
        </w:rPr>
      </w:pPr>
    </w:p>
    <w:p w14:paraId="6A41595A" w14:textId="658D5716" w:rsidR="00AA767A" w:rsidRDefault="00AA767A" w:rsidP="00AA767A">
      <w:pPr>
        <w:ind w:firstLine="284"/>
        <w:jc w:val="both"/>
        <w:rPr>
          <w:rFonts w:ascii="Times New Roman" w:hAnsi="Times New Roman" w:cs="Times New Roman"/>
          <w:lang w:val="es-ES"/>
        </w:rPr>
      </w:pPr>
      <w:r>
        <w:rPr>
          <w:rFonts w:ascii="Times New Roman" w:hAnsi="Times New Roman" w:cs="Times New Roman"/>
          <w:lang w:val="es-ES"/>
        </w:rPr>
        <w:t>En términos generales, la tasa de supervivencia acumulada en UCI es menor en pacientes de sexo masculino; sin embargo, no existe evidencia ---ni en pacientes críticos crónicos (log-</w:t>
      </w:r>
      <w:proofErr w:type="spellStart"/>
      <w:r>
        <w:rPr>
          <w:rFonts w:ascii="Times New Roman" w:hAnsi="Times New Roman" w:cs="Times New Roman"/>
          <w:lang w:val="es-ES"/>
        </w:rPr>
        <w:t>rank</w:t>
      </w:r>
      <w:proofErr w:type="spellEnd"/>
      <w:r>
        <w:rPr>
          <w:rFonts w:ascii="Times New Roman" w:hAnsi="Times New Roman" w:cs="Times New Roman"/>
          <w:lang w:val="es-ES"/>
        </w:rPr>
        <w:t xml:space="preserve"> test: p = 0.62) ni en pacientes críticos (log-</w:t>
      </w:r>
      <w:proofErr w:type="spellStart"/>
      <w:r>
        <w:rPr>
          <w:rFonts w:ascii="Times New Roman" w:hAnsi="Times New Roman" w:cs="Times New Roman"/>
          <w:lang w:val="es-ES"/>
        </w:rPr>
        <w:t>rank</w:t>
      </w:r>
      <w:proofErr w:type="spellEnd"/>
      <w:r>
        <w:rPr>
          <w:rFonts w:ascii="Times New Roman" w:hAnsi="Times New Roman" w:cs="Times New Roman"/>
          <w:lang w:val="es-ES"/>
        </w:rPr>
        <w:t xml:space="preserve"> test: p = 0.28)--- de una diferencia significativa entre las curvas de supervivencia estimadas según el sexo. Se</w:t>
      </w:r>
      <w:r>
        <w:rPr>
          <w:rFonts w:ascii="Times New Roman" w:hAnsi="Times New Roman" w:cs="Times New Roman"/>
          <w:lang w:val="es-ES"/>
        </w:rPr>
        <w:t xml:space="preserve"> conserva</w:t>
      </w:r>
      <w:r>
        <w:rPr>
          <w:rFonts w:ascii="Times New Roman" w:hAnsi="Times New Roman" w:cs="Times New Roman"/>
          <w:lang w:val="es-ES"/>
        </w:rPr>
        <w:t xml:space="preserve"> la diferencia según grupos etarios</w:t>
      </w:r>
      <w:r>
        <w:rPr>
          <w:rFonts w:ascii="Times New Roman" w:hAnsi="Times New Roman" w:cs="Times New Roman"/>
          <w:lang w:val="es-ES"/>
        </w:rPr>
        <w:t xml:space="preserve">: </w:t>
      </w:r>
      <w:r>
        <w:rPr>
          <w:rFonts w:ascii="Times New Roman" w:hAnsi="Times New Roman" w:cs="Times New Roman"/>
          <w:lang w:val="es-ES"/>
        </w:rPr>
        <w:t>dado el grupo de</w:t>
      </w:r>
      <w:r>
        <w:rPr>
          <w:rFonts w:ascii="Times New Roman" w:hAnsi="Times New Roman" w:cs="Times New Roman"/>
          <w:lang w:val="es-ES"/>
        </w:rPr>
        <w:t xml:space="preserve"> pacientes críticos, la tasa de supervivencia en UCI a los 30 días es menor en </w:t>
      </w:r>
      <w:r>
        <w:rPr>
          <w:rFonts w:ascii="Times New Roman" w:hAnsi="Times New Roman" w:cs="Times New Roman"/>
          <w:lang w:val="es-ES"/>
        </w:rPr>
        <w:t>personas</w:t>
      </w:r>
      <w:r>
        <w:rPr>
          <w:rFonts w:ascii="Times New Roman" w:hAnsi="Times New Roman" w:cs="Times New Roman"/>
          <w:lang w:val="es-ES"/>
        </w:rPr>
        <w:t xml:space="preserve"> mayores de 65 años (22.95% (18.1 – 28.2)</w:t>
      </w:r>
      <w:r>
        <w:rPr>
          <w:rFonts w:ascii="Times New Roman" w:hAnsi="Times New Roman" w:cs="Times New Roman"/>
          <w:lang w:val="es-ES"/>
        </w:rPr>
        <w:t xml:space="preserve"> vs. </w:t>
      </w:r>
      <w:r>
        <w:rPr>
          <w:rFonts w:ascii="Times New Roman" w:hAnsi="Times New Roman" w:cs="Times New Roman"/>
          <w:lang w:val="es-ES"/>
        </w:rPr>
        <w:t>48.85% (41.5 – 55.8), log-</w:t>
      </w:r>
      <w:proofErr w:type="spellStart"/>
      <w:r>
        <w:rPr>
          <w:rFonts w:ascii="Times New Roman" w:hAnsi="Times New Roman" w:cs="Times New Roman"/>
          <w:lang w:val="es-ES"/>
        </w:rPr>
        <w:t>rank</w:t>
      </w:r>
      <w:proofErr w:type="spellEnd"/>
      <w:r>
        <w:rPr>
          <w:rFonts w:ascii="Times New Roman" w:hAnsi="Times New Roman" w:cs="Times New Roman"/>
          <w:lang w:val="es-ES"/>
        </w:rPr>
        <w:t xml:space="preserve"> test: p &lt; 0.01).</w:t>
      </w:r>
      <w:r>
        <w:rPr>
          <w:rFonts w:ascii="Times New Roman" w:hAnsi="Times New Roman" w:cs="Times New Roman"/>
          <w:lang w:val="es-ES"/>
        </w:rPr>
        <w:t xml:space="preserve"> Lo mismo valdría decir sobre el grupo de pacientes críticos crónicos </w:t>
      </w:r>
      <w:r>
        <w:rPr>
          <w:rFonts w:ascii="Times New Roman" w:hAnsi="Times New Roman" w:cs="Times New Roman"/>
          <w:lang w:val="es-ES"/>
        </w:rPr>
        <w:t>(75.55% (64 – 83.8)</w:t>
      </w:r>
      <w:r>
        <w:rPr>
          <w:rFonts w:ascii="Times New Roman" w:hAnsi="Times New Roman" w:cs="Times New Roman"/>
          <w:lang w:val="es-ES"/>
        </w:rPr>
        <w:t xml:space="preserve"> vs. </w:t>
      </w:r>
      <w:r>
        <w:rPr>
          <w:rFonts w:ascii="Times New Roman" w:hAnsi="Times New Roman" w:cs="Times New Roman"/>
          <w:lang w:val="es-ES"/>
        </w:rPr>
        <w:t>91.58% (83.1 – 95.9), log-</w:t>
      </w:r>
      <w:proofErr w:type="spellStart"/>
      <w:r>
        <w:rPr>
          <w:rFonts w:ascii="Times New Roman" w:hAnsi="Times New Roman" w:cs="Times New Roman"/>
          <w:lang w:val="es-ES"/>
        </w:rPr>
        <w:t>rank</w:t>
      </w:r>
      <w:proofErr w:type="spellEnd"/>
      <w:r>
        <w:rPr>
          <w:rFonts w:ascii="Times New Roman" w:hAnsi="Times New Roman" w:cs="Times New Roman"/>
          <w:lang w:val="es-ES"/>
        </w:rPr>
        <w:t xml:space="preserve"> test: p &lt; 0.01).</w:t>
      </w:r>
    </w:p>
    <w:p w14:paraId="7A52D7C2" w14:textId="572C157A" w:rsidR="00AA767A" w:rsidRDefault="00AA767A" w:rsidP="00AA767A">
      <w:pPr>
        <w:ind w:firstLine="284"/>
        <w:jc w:val="both"/>
        <w:rPr>
          <w:rFonts w:ascii="Times New Roman" w:hAnsi="Times New Roman" w:cs="Times New Roman"/>
          <w:lang w:val="es-ES"/>
        </w:rPr>
      </w:pPr>
    </w:p>
    <w:p w14:paraId="5140C7A8" w14:textId="79E3B7F5" w:rsidR="00AA767A" w:rsidRDefault="00AA767A" w:rsidP="00AA767A">
      <w:pPr>
        <w:ind w:firstLine="284"/>
        <w:jc w:val="both"/>
        <w:rPr>
          <w:rFonts w:ascii="Times New Roman" w:hAnsi="Times New Roman" w:cs="Times New Roman"/>
          <w:b/>
          <w:bCs/>
          <w:lang w:val="es-ES"/>
        </w:rPr>
      </w:pPr>
      <w:r>
        <w:rPr>
          <w:rFonts w:ascii="Times New Roman" w:hAnsi="Times New Roman" w:cs="Times New Roman"/>
          <w:b/>
          <w:bCs/>
          <w:lang w:val="es-ES"/>
        </w:rPr>
        <w:t>3.3. Resultados de la estimación paramétrica</w:t>
      </w:r>
    </w:p>
    <w:p w14:paraId="2D4B487C" w14:textId="3C288A26" w:rsidR="006B5E04" w:rsidRDefault="006B5E04" w:rsidP="00AA767A">
      <w:pPr>
        <w:ind w:firstLine="284"/>
        <w:jc w:val="both"/>
        <w:rPr>
          <w:rFonts w:ascii="Times New Roman" w:hAnsi="Times New Roman" w:cs="Times New Roman"/>
          <w:b/>
          <w:bCs/>
          <w:lang w:val="es-ES"/>
        </w:rPr>
      </w:pPr>
    </w:p>
    <w:p w14:paraId="7A48AA1E" w14:textId="12E1F0F6" w:rsidR="006B5E04" w:rsidRDefault="006B5E04" w:rsidP="006B5E04">
      <w:pPr>
        <w:ind w:firstLine="284"/>
        <w:jc w:val="center"/>
        <w:rPr>
          <w:rFonts w:ascii="Times New Roman" w:hAnsi="Times New Roman" w:cs="Times New Roman"/>
          <w:b/>
          <w:bCs/>
          <w:lang w:val="es-ES"/>
        </w:rPr>
      </w:pPr>
      <w:r>
        <w:rPr>
          <w:rFonts w:ascii="Times New Roman" w:hAnsi="Times New Roman" w:cs="Times New Roman"/>
          <w:b/>
          <w:bCs/>
          <w:lang w:val="es-ES"/>
        </w:rPr>
        <w:t>Primer conjunto: ajuste paramétrico al tiempo de permanencia en UCI</w:t>
      </w:r>
    </w:p>
    <w:p w14:paraId="00E5C86A" w14:textId="0A464315" w:rsidR="006B5E04" w:rsidRDefault="006B5E04" w:rsidP="006B5E04">
      <w:pPr>
        <w:ind w:firstLine="284"/>
        <w:jc w:val="center"/>
        <w:rPr>
          <w:rFonts w:ascii="Times New Roman" w:hAnsi="Times New Roman" w:cs="Times New Roman"/>
          <w:b/>
          <w:bCs/>
          <w:lang w:val="es-ES"/>
        </w:rPr>
      </w:pPr>
    </w:p>
    <w:p w14:paraId="4488356D" w14:textId="6653C6F9" w:rsidR="006B5E04" w:rsidRDefault="008C1CA1" w:rsidP="005D2B38">
      <w:pPr>
        <w:ind w:firstLine="284"/>
        <w:jc w:val="both"/>
        <w:rPr>
          <w:rFonts w:ascii="Times New Roman" w:hAnsi="Times New Roman" w:cs="Times New Roman"/>
          <w:lang w:val="es-ES"/>
        </w:rPr>
      </w:pPr>
      <w:r>
        <w:rPr>
          <w:rFonts w:ascii="Times New Roman" w:hAnsi="Times New Roman" w:cs="Times New Roman"/>
          <w:lang w:val="es-ES"/>
        </w:rPr>
        <w:t>Siguiendo la parametrización de Stacy (1983), el</w:t>
      </w:r>
      <w:r w:rsidR="006B5E04">
        <w:rPr>
          <w:rFonts w:ascii="Times New Roman" w:hAnsi="Times New Roman" w:cs="Times New Roman"/>
          <w:lang w:val="es-ES"/>
        </w:rPr>
        <w:t xml:space="preserve"> tiempo de permanencia en UCI para pacientes de COVID-19 se </w:t>
      </w:r>
      <w:r w:rsidR="005D2B38">
        <w:rPr>
          <w:rFonts w:ascii="Times New Roman" w:hAnsi="Times New Roman" w:cs="Times New Roman"/>
          <w:lang w:val="es-ES"/>
        </w:rPr>
        <w:t xml:space="preserve">ajusta a una distribución gamma generalizada con los siguientes parámetros estimados: </w:t>
      </w:r>
      <w:r>
        <w:rPr>
          <w:rFonts w:ascii="Times New Roman" w:hAnsi="Times New Roman" w:cs="Times New Roman"/>
          <w:lang w:val="es-ES"/>
        </w:rPr>
        <w:t>mu</w:t>
      </w:r>
      <w:r w:rsidR="005D2B38">
        <w:rPr>
          <w:rFonts w:ascii="Times New Roman" w:hAnsi="Times New Roman" w:cs="Times New Roman"/>
          <w:lang w:val="es-ES"/>
        </w:rPr>
        <w:t xml:space="preserve"> = </w:t>
      </w:r>
      <w:r>
        <w:rPr>
          <w:rFonts w:ascii="Times New Roman" w:hAnsi="Times New Roman" w:cs="Times New Roman"/>
          <w:lang w:val="es-ES"/>
        </w:rPr>
        <w:t xml:space="preserve">2.1243 </w:t>
      </w:r>
      <w:r w:rsidR="005D2B38">
        <w:rPr>
          <w:rFonts w:ascii="Times New Roman" w:hAnsi="Times New Roman" w:cs="Times New Roman"/>
          <w:lang w:val="es-ES"/>
        </w:rPr>
        <w:t>(</w:t>
      </w:r>
      <w:r>
        <w:rPr>
          <w:rFonts w:ascii="Times New Roman" w:hAnsi="Times New Roman" w:cs="Times New Roman"/>
          <w:lang w:val="es-ES"/>
        </w:rPr>
        <w:t>0.08332</w:t>
      </w:r>
      <w:r w:rsidR="005D2B38">
        <w:rPr>
          <w:rFonts w:ascii="Times New Roman" w:hAnsi="Times New Roman" w:cs="Times New Roman"/>
          <w:lang w:val="es-ES"/>
        </w:rPr>
        <w:t xml:space="preserve">), </w:t>
      </w:r>
      <w:r>
        <w:rPr>
          <w:rFonts w:ascii="Times New Roman" w:hAnsi="Times New Roman" w:cs="Times New Roman"/>
          <w:lang w:val="es-ES"/>
        </w:rPr>
        <w:t>sigma</w:t>
      </w:r>
      <w:r w:rsidR="005D2B38">
        <w:rPr>
          <w:rFonts w:ascii="Times New Roman" w:hAnsi="Times New Roman" w:cs="Times New Roman"/>
          <w:lang w:val="es-ES"/>
        </w:rPr>
        <w:t xml:space="preserve"> = </w:t>
      </w:r>
      <w:r>
        <w:rPr>
          <w:rFonts w:ascii="Times New Roman" w:hAnsi="Times New Roman" w:cs="Times New Roman"/>
          <w:lang w:val="es-ES"/>
        </w:rPr>
        <w:t>1.3378</w:t>
      </w:r>
      <w:r w:rsidR="005D2B38">
        <w:rPr>
          <w:rFonts w:ascii="Times New Roman" w:hAnsi="Times New Roman" w:cs="Times New Roman"/>
          <w:lang w:val="es-ES"/>
        </w:rPr>
        <w:t xml:space="preserve"> </w:t>
      </w:r>
      <w:r w:rsidR="005D2B38">
        <w:rPr>
          <w:rFonts w:ascii="Times New Roman" w:hAnsi="Times New Roman" w:cs="Times New Roman"/>
          <w:lang w:val="es-ES"/>
        </w:rPr>
        <w:t>(</w:t>
      </w:r>
      <w:r>
        <w:rPr>
          <w:rFonts w:ascii="Times New Roman" w:hAnsi="Times New Roman" w:cs="Times New Roman"/>
          <w:lang w:val="es-ES"/>
        </w:rPr>
        <w:t>0.0303</w:t>
      </w:r>
      <w:r w:rsidR="005D2B38">
        <w:rPr>
          <w:rFonts w:ascii="Times New Roman" w:hAnsi="Times New Roman" w:cs="Times New Roman"/>
          <w:lang w:val="es-ES"/>
        </w:rPr>
        <w:t>)</w:t>
      </w:r>
      <w:r w:rsidR="005D2B38">
        <w:rPr>
          <w:rFonts w:ascii="Times New Roman" w:hAnsi="Times New Roman" w:cs="Times New Roman"/>
          <w:lang w:val="es-ES"/>
        </w:rPr>
        <w:t xml:space="preserve"> y </w:t>
      </w:r>
      <w:r>
        <w:rPr>
          <w:rFonts w:ascii="Times New Roman" w:hAnsi="Times New Roman" w:cs="Times New Roman"/>
          <w:lang w:val="es-ES"/>
        </w:rPr>
        <w:t>Q</w:t>
      </w:r>
      <w:r w:rsidR="005D2B38">
        <w:rPr>
          <w:rFonts w:ascii="Times New Roman" w:hAnsi="Times New Roman" w:cs="Times New Roman"/>
          <w:lang w:val="es-ES"/>
        </w:rPr>
        <w:t xml:space="preserve"> </w:t>
      </w:r>
      <w:proofErr w:type="gramStart"/>
      <w:r w:rsidR="005D2B38">
        <w:rPr>
          <w:rFonts w:ascii="Times New Roman" w:hAnsi="Times New Roman" w:cs="Times New Roman"/>
          <w:lang w:val="es-ES"/>
        </w:rPr>
        <w:t xml:space="preserve">= </w:t>
      </w:r>
      <w:r>
        <w:rPr>
          <w:rFonts w:ascii="Times New Roman" w:hAnsi="Times New Roman" w:cs="Times New Roman"/>
          <w:lang w:val="es-ES"/>
        </w:rPr>
        <w:t xml:space="preserve"> 0.1822</w:t>
      </w:r>
      <w:proofErr w:type="gramEnd"/>
      <w:r w:rsidR="005D2B38">
        <w:rPr>
          <w:rFonts w:ascii="Times New Roman" w:hAnsi="Times New Roman" w:cs="Times New Roman"/>
          <w:lang w:val="es-ES"/>
        </w:rPr>
        <w:t xml:space="preserve"> </w:t>
      </w:r>
      <w:r w:rsidR="005D2B38">
        <w:rPr>
          <w:rFonts w:ascii="Times New Roman" w:hAnsi="Times New Roman" w:cs="Times New Roman"/>
          <w:lang w:val="es-ES"/>
        </w:rPr>
        <w:t>(</w:t>
      </w:r>
      <w:r w:rsidR="00BE3D25">
        <w:rPr>
          <w:rFonts w:ascii="Times New Roman" w:hAnsi="Times New Roman" w:cs="Times New Roman"/>
          <w:lang w:val="es-ES"/>
        </w:rPr>
        <w:t>0.1076</w:t>
      </w:r>
      <w:r w:rsidR="005D2B38">
        <w:rPr>
          <w:rFonts w:ascii="Times New Roman" w:hAnsi="Times New Roman" w:cs="Times New Roman"/>
          <w:lang w:val="es-ES"/>
        </w:rPr>
        <w:t>)</w:t>
      </w:r>
      <w:r w:rsidR="005D2B38">
        <w:rPr>
          <w:rFonts w:ascii="Times New Roman" w:hAnsi="Times New Roman" w:cs="Times New Roman"/>
          <w:lang w:val="es-ES"/>
        </w:rPr>
        <w:t xml:space="preserve">. En general, el tiempo mediano de permanencia estimado es </w:t>
      </w:r>
      <w:r w:rsidR="00BE3D25">
        <w:rPr>
          <w:rFonts w:ascii="Times New Roman" w:hAnsi="Times New Roman" w:cs="Times New Roman"/>
          <w:lang w:val="es-ES"/>
        </w:rPr>
        <w:t>7.71</w:t>
      </w:r>
      <w:r w:rsidR="005D2B38">
        <w:rPr>
          <w:rFonts w:ascii="Times New Roman" w:hAnsi="Times New Roman" w:cs="Times New Roman"/>
          <w:lang w:val="es-ES"/>
        </w:rPr>
        <w:t xml:space="preserve"> (</w:t>
      </w:r>
      <w:r w:rsidR="00BE3D25">
        <w:rPr>
          <w:rFonts w:ascii="Times New Roman" w:hAnsi="Times New Roman" w:cs="Times New Roman"/>
          <w:lang w:val="es-ES"/>
        </w:rPr>
        <w:t>3.06</w:t>
      </w:r>
      <w:r w:rsidR="005D2B38">
        <w:rPr>
          <w:rFonts w:ascii="Times New Roman" w:hAnsi="Times New Roman" w:cs="Times New Roman"/>
          <w:lang w:val="es-ES"/>
        </w:rPr>
        <w:t xml:space="preserve"> – </w:t>
      </w:r>
      <w:r w:rsidR="00BE3D25">
        <w:rPr>
          <w:rFonts w:ascii="Times New Roman" w:hAnsi="Times New Roman" w:cs="Times New Roman"/>
          <w:lang w:val="es-ES"/>
        </w:rPr>
        <w:t>18.74</w:t>
      </w:r>
      <w:r w:rsidR="005D2B38">
        <w:rPr>
          <w:rFonts w:ascii="Times New Roman" w:hAnsi="Times New Roman" w:cs="Times New Roman"/>
          <w:lang w:val="es-ES"/>
        </w:rPr>
        <w:t>). Se verifica que la estimación del tiempo mediano de permanencia en UCI es superior en personas mayores de 65 años (</w:t>
      </w:r>
      <w:r w:rsidR="00BE3D25">
        <w:rPr>
          <w:rFonts w:ascii="Times New Roman" w:hAnsi="Times New Roman" w:cs="Times New Roman"/>
          <w:lang w:val="es-ES"/>
        </w:rPr>
        <w:t>9.93</w:t>
      </w:r>
      <w:r w:rsidR="00BE3D25">
        <w:rPr>
          <w:rFonts w:ascii="Times New Roman" w:hAnsi="Times New Roman" w:cs="Times New Roman"/>
          <w:lang w:val="es-ES"/>
        </w:rPr>
        <w:t xml:space="preserve"> (</w:t>
      </w:r>
      <w:r w:rsidR="00BE3D25">
        <w:rPr>
          <w:rFonts w:ascii="Times New Roman" w:hAnsi="Times New Roman" w:cs="Times New Roman"/>
          <w:lang w:val="es-ES"/>
        </w:rPr>
        <w:t>3</w:t>
      </w:r>
      <w:r w:rsidR="00BE3D25">
        <w:rPr>
          <w:rFonts w:ascii="Times New Roman" w:hAnsi="Times New Roman" w:cs="Times New Roman"/>
          <w:lang w:val="es-ES"/>
        </w:rPr>
        <w:t>.</w:t>
      </w:r>
      <w:r w:rsidR="00BE3D25">
        <w:rPr>
          <w:rFonts w:ascii="Times New Roman" w:hAnsi="Times New Roman" w:cs="Times New Roman"/>
          <w:lang w:val="es-ES"/>
        </w:rPr>
        <w:t>72</w:t>
      </w:r>
      <w:r w:rsidR="00BE3D25">
        <w:rPr>
          <w:rFonts w:ascii="Times New Roman" w:hAnsi="Times New Roman" w:cs="Times New Roman"/>
          <w:lang w:val="es-ES"/>
        </w:rPr>
        <w:t xml:space="preserve"> – </w:t>
      </w:r>
      <w:r w:rsidR="00BE3D25">
        <w:rPr>
          <w:rFonts w:ascii="Times New Roman" w:hAnsi="Times New Roman" w:cs="Times New Roman"/>
          <w:lang w:val="es-ES"/>
        </w:rPr>
        <w:t>23.81</w:t>
      </w:r>
      <w:r w:rsidR="00BE3D25">
        <w:rPr>
          <w:rFonts w:ascii="Times New Roman" w:hAnsi="Times New Roman" w:cs="Times New Roman"/>
          <w:lang w:val="es-ES"/>
        </w:rPr>
        <w:t>)</w:t>
      </w:r>
      <w:r w:rsidR="00BE3D25">
        <w:rPr>
          <w:rFonts w:ascii="Times New Roman" w:hAnsi="Times New Roman" w:cs="Times New Roman"/>
          <w:lang w:val="es-ES"/>
        </w:rPr>
        <w:t xml:space="preserve"> vs. </w:t>
      </w:r>
      <w:r w:rsidR="00BE3D25">
        <w:rPr>
          <w:rFonts w:ascii="Times New Roman" w:hAnsi="Times New Roman" w:cs="Times New Roman"/>
          <w:lang w:val="es-ES"/>
        </w:rPr>
        <w:t>4.48 (1.55 – 12.93)</w:t>
      </w:r>
      <w:r w:rsidR="005D2B38">
        <w:rPr>
          <w:rFonts w:ascii="Times New Roman" w:hAnsi="Times New Roman" w:cs="Times New Roman"/>
          <w:lang w:val="es-ES"/>
        </w:rPr>
        <w:t xml:space="preserve">, p &lt; 0.01). Por último, El tiempo mediano de permanencia en UCI, para pacientes críticos crónicos, se estima en Q2 (Q1 – Q3); mientras que, para pacientes críticos, se estima en Q2 (Q1-Q3). </w:t>
      </w:r>
    </w:p>
    <w:p w14:paraId="1225ACE2" w14:textId="4A660363" w:rsidR="005D2B38" w:rsidRDefault="005D2B38" w:rsidP="005D2B38">
      <w:pPr>
        <w:jc w:val="both"/>
        <w:rPr>
          <w:rFonts w:ascii="Times New Roman" w:hAnsi="Times New Roman" w:cs="Times New Roman"/>
          <w:lang w:val="es-ES"/>
        </w:rPr>
      </w:pPr>
    </w:p>
    <w:p w14:paraId="469CCA07" w14:textId="05965299" w:rsidR="005D2B38" w:rsidRPr="005D2B38" w:rsidRDefault="005D2B38" w:rsidP="005D2B38">
      <w:pPr>
        <w:jc w:val="both"/>
        <w:rPr>
          <w:rFonts w:ascii="Times New Roman" w:hAnsi="Times New Roman" w:cs="Times New Roman"/>
          <w:b/>
          <w:bCs/>
          <w:lang w:val="es-ES"/>
        </w:rPr>
      </w:pPr>
      <w:r>
        <w:rPr>
          <w:rFonts w:ascii="Times New Roman" w:hAnsi="Times New Roman" w:cs="Times New Roman"/>
          <w:b/>
          <w:bCs/>
          <w:lang w:val="es-ES"/>
        </w:rPr>
        <w:t>Anexo:</w:t>
      </w:r>
    </w:p>
    <w:p w14:paraId="0E0E9DE5" w14:textId="61CC068C" w:rsidR="00AA767A" w:rsidRDefault="00AA767A" w:rsidP="00AA767A">
      <w:pPr>
        <w:ind w:firstLine="284"/>
        <w:jc w:val="both"/>
        <w:rPr>
          <w:rFonts w:ascii="Times New Roman" w:hAnsi="Times New Roman" w:cs="Times New Roman"/>
          <w:b/>
          <w:bCs/>
          <w:lang w:val="es-ES"/>
        </w:rPr>
      </w:pPr>
    </w:p>
    <w:p w14:paraId="709EA51C" w14:textId="77777777" w:rsidR="00D97ED9" w:rsidRDefault="00AA767A" w:rsidP="00AA767A">
      <w:pPr>
        <w:ind w:firstLine="284"/>
        <w:jc w:val="both"/>
        <w:rPr>
          <w:rFonts w:ascii="Times New Roman" w:hAnsi="Times New Roman" w:cs="Times New Roman"/>
          <w:lang w:val="es-ES"/>
        </w:rPr>
      </w:pPr>
      <w:r>
        <w:rPr>
          <w:rFonts w:ascii="Times New Roman" w:hAnsi="Times New Roman" w:cs="Times New Roman"/>
          <w:lang w:val="es-ES"/>
        </w:rPr>
        <w:t xml:space="preserve">Considérese las siguientes </w:t>
      </w:r>
      <w:r w:rsidR="00D97ED9">
        <w:rPr>
          <w:rFonts w:ascii="Times New Roman" w:hAnsi="Times New Roman" w:cs="Times New Roman"/>
          <w:lang w:val="es-ES"/>
        </w:rPr>
        <w:t>observaciones generales:</w:t>
      </w:r>
    </w:p>
    <w:p w14:paraId="21FC5018" w14:textId="77777777" w:rsidR="00D97ED9" w:rsidRDefault="00D97ED9" w:rsidP="00AA767A">
      <w:pPr>
        <w:ind w:firstLine="284"/>
        <w:jc w:val="both"/>
        <w:rPr>
          <w:rFonts w:ascii="Times New Roman" w:hAnsi="Times New Roman" w:cs="Times New Roman"/>
          <w:lang w:val="es-ES"/>
        </w:rPr>
      </w:pPr>
    </w:p>
    <w:p w14:paraId="6B241714" w14:textId="4D3BB518" w:rsidR="00AA767A" w:rsidRDefault="00D97ED9" w:rsidP="00D97ED9">
      <w:pPr>
        <w:pStyle w:val="ListParagraph"/>
        <w:numPr>
          <w:ilvl w:val="0"/>
          <w:numId w:val="1"/>
        </w:numPr>
        <w:jc w:val="both"/>
      </w:pPr>
      <w:r>
        <w:t xml:space="preserve"> Para la estimación, se reporta la mediana y el rango intercuartílico o la media y la desviación estándar.</w:t>
      </w:r>
    </w:p>
    <w:p w14:paraId="041BFD31" w14:textId="40CCE238" w:rsidR="00D97ED9" w:rsidRDefault="00D97ED9" w:rsidP="00AA767A">
      <w:pPr>
        <w:ind w:firstLine="284"/>
        <w:jc w:val="both"/>
      </w:pPr>
    </w:p>
    <w:p w14:paraId="0F0F58A3" w14:textId="4FA62DFB" w:rsidR="00D97ED9" w:rsidRPr="00D97ED9" w:rsidRDefault="00D97ED9" w:rsidP="00D97ED9">
      <w:pPr>
        <w:pStyle w:val="ListParagraph"/>
        <w:numPr>
          <w:ilvl w:val="0"/>
          <w:numId w:val="1"/>
        </w:numPr>
        <w:jc w:val="both"/>
        <w:rPr>
          <w:rFonts w:ascii="Times New Roman" w:hAnsi="Times New Roman" w:cs="Times New Roman"/>
          <w:lang w:val="es-ES"/>
        </w:rPr>
      </w:pPr>
      <w:r>
        <w:t>Se ajustaron</w:t>
      </w:r>
      <w:r>
        <w:rPr>
          <w:lang w:val="es-ES"/>
        </w:rPr>
        <w:t xml:space="preserve"> (</w:t>
      </w:r>
      <w:proofErr w:type="spellStart"/>
      <w:r>
        <w:rPr>
          <w:lang w:val="es-ES"/>
        </w:rPr>
        <w:t>we</w:t>
      </w:r>
      <w:proofErr w:type="spellEnd"/>
      <w:r>
        <w:rPr>
          <w:lang w:val="es-ES"/>
        </w:rPr>
        <w:t xml:space="preserve"> </w:t>
      </w:r>
      <w:proofErr w:type="spellStart"/>
      <w:r>
        <w:rPr>
          <w:lang w:val="es-ES"/>
        </w:rPr>
        <w:t>fit</w:t>
      </w:r>
      <w:proofErr w:type="spellEnd"/>
      <w:r>
        <w:rPr>
          <w:lang w:val="es-ES"/>
        </w:rPr>
        <w:t xml:space="preserve"> </w:t>
      </w:r>
      <w:proofErr w:type="spellStart"/>
      <w:r>
        <w:rPr>
          <w:lang w:val="es-ES"/>
        </w:rPr>
        <w:t>three</w:t>
      </w:r>
      <w:proofErr w:type="spellEnd"/>
      <w:r>
        <w:rPr>
          <w:lang w:val="es-ES"/>
        </w:rPr>
        <w:t xml:space="preserve"> </w:t>
      </w:r>
      <w:proofErr w:type="spellStart"/>
      <w:r>
        <w:rPr>
          <w:lang w:val="es-ES"/>
        </w:rPr>
        <w:t>distributions</w:t>
      </w:r>
      <w:proofErr w:type="spellEnd"/>
      <w:r>
        <w:rPr>
          <w:lang w:val="es-ES"/>
        </w:rPr>
        <w:t xml:space="preserve"> (Weibull, gamma y log normal) to time-to-</w:t>
      </w:r>
      <w:proofErr w:type="spellStart"/>
      <w:r>
        <w:rPr>
          <w:lang w:val="es-ES"/>
        </w:rPr>
        <w:t>event</w:t>
      </w:r>
      <w:proofErr w:type="spellEnd"/>
      <w:r>
        <w:rPr>
          <w:lang w:val="es-ES"/>
        </w:rPr>
        <w:t xml:space="preserve"> data)</w:t>
      </w:r>
      <w:r>
        <w:t xml:space="preserve"> tres distribuciones paramétricas (Weibull, gamma y lognormal) para los datos de tiempo del evento y, con base en el criterio de información de Akaike, se seleccionó el mejor modelo paramétrico.</w:t>
      </w:r>
    </w:p>
    <w:p w14:paraId="622D5ABB" w14:textId="00FEB332" w:rsidR="00D97ED9" w:rsidRDefault="00D97ED9" w:rsidP="00AA767A">
      <w:pPr>
        <w:ind w:firstLine="284"/>
        <w:jc w:val="both"/>
        <w:rPr>
          <w:rFonts w:ascii="Times New Roman" w:hAnsi="Times New Roman" w:cs="Times New Roman"/>
          <w:lang w:val="es-ES"/>
        </w:rPr>
      </w:pPr>
    </w:p>
    <w:p w14:paraId="462D30EC" w14:textId="4419756A" w:rsidR="00D97ED9" w:rsidRPr="00D97ED9" w:rsidRDefault="00D97ED9" w:rsidP="00D97ED9">
      <w:pPr>
        <w:pStyle w:val="ListParagraph"/>
        <w:numPr>
          <w:ilvl w:val="0"/>
          <w:numId w:val="1"/>
        </w:numPr>
        <w:jc w:val="both"/>
        <w:rPr>
          <w:rFonts w:ascii="Times New Roman" w:hAnsi="Times New Roman" w:cs="Times New Roman"/>
          <w:lang w:val="en-US"/>
        </w:rPr>
      </w:pPr>
      <w:r w:rsidRPr="00D97ED9">
        <w:rPr>
          <w:rFonts w:ascii="Calibri" w:hAnsi="Calibri" w:cs="Calibri"/>
          <w:lang w:val="es-ES"/>
        </w:rPr>
        <w:t>﻿</w:t>
      </w:r>
      <w:r w:rsidRPr="00D97ED9">
        <w:rPr>
          <w:rFonts w:ascii="Times New Roman" w:hAnsi="Times New Roman" w:cs="Times New Roman"/>
          <w:lang w:val="en-US"/>
        </w:rPr>
        <w:t xml:space="preserve">We </w:t>
      </w:r>
      <w:proofErr w:type="spellStart"/>
      <w:r w:rsidRPr="00D97ED9">
        <w:rPr>
          <w:rFonts w:ascii="Times New Roman" w:hAnsi="Times New Roman" w:cs="Times New Roman"/>
          <w:lang w:val="en-US"/>
        </w:rPr>
        <w:t>analysed</w:t>
      </w:r>
      <w:proofErr w:type="spellEnd"/>
      <w:r w:rsidRPr="00D97ED9">
        <w:rPr>
          <w:rFonts w:ascii="Times New Roman" w:hAnsi="Times New Roman" w:cs="Times New Roman"/>
          <w:lang w:val="en-US"/>
        </w:rPr>
        <w:t xml:space="preserve"> the time from exposure to illness onset for 49 cases with no travel history who were identified by prospective contact tracing. These cases represented 37 clusters. We estimated a mean incubation period of 5·2 days (95% CI 1·8–12·4), with the 95th percentile of the distribution at 10·5 days. The incubation period was well approximated by a lognormal distribution (appendix pp 17–19).</w:t>
      </w:r>
    </w:p>
    <w:p w14:paraId="483A80B5" w14:textId="77777777" w:rsidR="00D97ED9" w:rsidRPr="00D97ED9" w:rsidRDefault="00D97ED9" w:rsidP="00D97ED9">
      <w:pPr>
        <w:pStyle w:val="ListParagraph"/>
        <w:rPr>
          <w:rFonts w:ascii="Times New Roman" w:hAnsi="Times New Roman" w:cs="Times New Roman"/>
          <w:lang w:val="en-US"/>
        </w:rPr>
      </w:pPr>
    </w:p>
    <w:p w14:paraId="1FBA46CA" w14:textId="728BF30E" w:rsidR="00D97ED9" w:rsidRDefault="00D97ED9" w:rsidP="00D97ED9">
      <w:pPr>
        <w:pStyle w:val="ListParagraph"/>
        <w:numPr>
          <w:ilvl w:val="0"/>
          <w:numId w:val="1"/>
        </w:numPr>
        <w:jc w:val="both"/>
        <w:rPr>
          <w:rFonts w:ascii="Times New Roman" w:hAnsi="Times New Roman" w:cs="Times New Roman"/>
          <w:lang w:val="en-US"/>
        </w:rPr>
      </w:pPr>
      <w:r w:rsidRPr="00D97ED9">
        <w:rPr>
          <w:rFonts w:ascii="Calibri" w:hAnsi="Calibri" w:cs="Calibri"/>
          <w:lang w:val="en-US"/>
        </w:rPr>
        <w:t>﻿</w:t>
      </w:r>
      <w:r w:rsidRPr="00D97ED9">
        <w:rPr>
          <w:rFonts w:ascii="Times New Roman" w:hAnsi="Times New Roman" w:cs="Times New Roman"/>
          <w:lang w:val="en-US"/>
        </w:rPr>
        <w:t xml:space="preserve">We </w:t>
      </w:r>
      <w:proofErr w:type="spellStart"/>
      <w:r w:rsidRPr="00D97ED9">
        <w:rPr>
          <w:rFonts w:ascii="Times New Roman" w:hAnsi="Times New Roman" w:cs="Times New Roman"/>
          <w:lang w:val="en-US"/>
        </w:rPr>
        <w:t>analysed</w:t>
      </w:r>
      <w:proofErr w:type="spellEnd"/>
      <w:r w:rsidRPr="00D97ED9">
        <w:rPr>
          <w:rFonts w:ascii="Times New Roman" w:hAnsi="Times New Roman" w:cs="Times New Roman"/>
          <w:lang w:val="en-US"/>
        </w:rPr>
        <w:t xml:space="preserve"> the time between symptom onset in 35 secondary cases and 28 corresponding primary cases (appendix pp 19–22). One case who reported the onset of symptoms on the same day as the index case was removed from the analysis. The serial interval followed a gamma distribution with an estimated mean of 5·1 days (95% CI 1·3–11·6). A comparison of the distribution of the incubation period and the serial interval is reported in figure </w:t>
      </w:r>
      <w:proofErr w:type="gramStart"/>
      <w:r w:rsidRPr="00D97ED9">
        <w:rPr>
          <w:rFonts w:ascii="Times New Roman" w:hAnsi="Times New Roman" w:cs="Times New Roman"/>
          <w:lang w:val="en-US"/>
        </w:rPr>
        <w:t>2, and</w:t>
      </w:r>
      <w:proofErr w:type="gramEnd"/>
      <w:r w:rsidRPr="00D97ED9">
        <w:rPr>
          <w:rFonts w:ascii="Times New Roman" w:hAnsi="Times New Roman" w:cs="Times New Roman"/>
          <w:lang w:val="en-US"/>
        </w:rPr>
        <w:t xml:space="preserve"> shows overlap between the two distributions. As we cannot exclude that a fraction of these secondary cases had a previous exposure to an unidentified infection source, we did a sensitivity analysis using different levels of data censoring; the resulting estimates were between 5·0 days (0·8–13·0) and 6·3 days (3·2–10·5; appendix p 22)</w:t>
      </w:r>
    </w:p>
    <w:p w14:paraId="39374F39" w14:textId="77777777" w:rsidR="00D97ED9" w:rsidRPr="00D97ED9" w:rsidRDefault="00D97ED9" w:rsidP="00D97ED9">
      <w:pPr>
        <w:pStyle w:val="ListParagraph"/>
        <w:rPr>
          <w:rFonts w:ascii="Times New Roman" w:hAnsi="Times New Roman" w:cs="Times New Roman"/>
          <w:lang w:val="en-US"/>
        </w:rPr>
      </w:pPr>
    </w:p>
    <w:p w14:paraId="7DF849E2" w14:textId="284F188D" w:rsidR="00D97ED9" w:rsidRDefault="00D97ED9" w:rsidP="00D97ED9">
      <w:pPr>
        <w:pStyle w:val="ListParagraph"/>
        <w:numPr>
          <w:ilvl w:val="0"/>
          <w:numId w:val="1"/>
        </w:numPr>
        <w:jc w:val="both"/>
        <w:rPr>
          <w:rFonts w:ascii="Times New Roman" w:hAnsi="Times New Roman" w:cs="Times New Roman"/>
          <w:lang w:val="en-US"/>
        </w:rPr>
      </w:pPr>
      <w:r w:rsidRPr="00D97ED9">
        <w:rPr>
          <w:rFonts w:ascii="Calibri" w:hAnsi="Calibri" w:cs="Calibri"/>
          <w:lang w:val="en-US"/>
        </w:rPr>
        <w:t>﻿</w:t>
      </w:r>
      <w:r w:rsidRPr="00D97ED9">
        <w:rPr>
          <w:rFonts w:ascii="Times New Roman" w:hAnsi="Times New Roman" w:cs="Times New Roman"/>
          <w:lang w:val="en-US"/>
        </w:rPr>
        <w:t>A parametric distribution (e.g., exponential, gamma or Weibull) was fitted to the whole set of patients</w:t>
      </w:r>
      <w:r>
        <w:rPr>
          <w:rFonts w:ascii="Times New Roman" w:hAnsi="Times New Roman" w:cs="Times New Roman"/>
          <w:lang w:val="en-US"/>
        </w:rPr>
        <w:t>.</w:t>
      </w:r>
    </w:p>
    <w:p w14:paraId="71987FB8" w14:textId="77777777" w:rsidR="00D97ED9" w:rsidRPr="00D97ED9" w:rsidRDefault="00D97ED9" w:rsidP="00D97ED9">
      <w:pPr>
        <w:pStyle w:val="ListParagraph"/>
        <w:rPr>
          <w:rFonts w:ascii="Times New Roman" w:hAnsi="Times New Roman" w:cs="Times New Roman"/>
          <w:lang w:val="en-US"/>
        </w:rPr>
      </w:pPr>
    </w:p>
    <w:p w14:paraId="045677A4" w14:textId="1A727271" w:rsidR="00D97ED9" w:rsidRDefault="00D97ED9" w:rsidP="00D97ED9">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 xml:space="preserve">Exponential, </w:t>
      </w:r>
      <w:r w:rsidRPr="00D97ED9">
        <w:rPr>
          <w:rFonts w:ascii="Calibri" w:hAnsi="Calibri" w:cs="Calibri"/>
          <w:lang w:val="en-US"/>
        </w:rPr>
        <w:t>﻿</w:t>
      </w:r>
      <w:r w:rsidRPr="00D97ED9">
        <w:rPr>
          <w:rFonts w:ascii="Times New Roman" w:hAnsi="Times New Roman" w:cs="Times New Roman"/>
          <w:lang w:val="en-US"/>
        </w:rPr>
        <w:t xml:space="preserve">Weibull, and gamma distributions led to similar fits of the data—with a delayed convergence for the </w:t>
      </w:r>
      <w:proofErr w:type="spellStart"/>
      <w:r w:rsidRPr="00D97ED9">
        <w:rPr>
          <w:rFonts w:ascii="Times New Roman" w:hAnsi="Times New Roman" w:cs="Times New Roman"/>
          <w:lang w:val="en-US"/>
        </w:rPr>
        <w:t>exponen</w:t>
      </w:r>
      <w:proofErr w:type="spellEnd"/>
      <w:r w:rsidRPr="00D97ED9">
        <w:rPr>
          <w:rFonts w:ascii="Times New Roman" w:hAnsi="Times New Roman" w:cs="Times New Roman"/>
          <w:lang w:val="en-US"/>
        </w:rPr>
        <w:t xml:space="preserve">- </w:t>
      </w:r>
      <w:proofErr w:type="spellStart"/>
      <w:r w:rsidRPr="00D97ED9">
        <w:rPr>
          <w:rFonts w:ascii="Times New Roman" w:hAnsi="Times New Roman" w:cs="Times New Roman"/>
          <w:lang w:val="en-US"/>
        </w:rPr>
        <w:t>tial</w:t>
      </w:r>
      <w:proofErr w:type="spellEnd"/>
      <w:r w:rsidRPr="00D97ED9">
        <w:rPr>
          <w:rFonts w:ascii="Times New Roman" w:hAnsi="Times New Roman" w:cs="Times New Roman"/>
          <w:lang w:val="en-US"/>
        </w:rPr>
        <w:t xml:space="preserve"> distribution—and we retained the gamma </w:t>
      </w:r>
      <w:proofErr w:type="spellStart"/>
      <w:r w:rsidRPr="00D97ED9">
        <w:rPr>
          <w:rFonts w:ascii="Times New Roman" w:hAnsi="Times New Roman" w:cs="Times New Roman"/>
          <w:lang w:val="en-US"/>
        </w:rPr>
        <w:t>distribu</w:t>
      </w:r>
      <w:proofErr w:type="spellEnd"/>
      <w:r w:rsidRPr="00D97ED9">
        <w:rPr>
          <w:rFonts w:ascii="Times New Roman" w:hAnsi="Times New Roman" w:cs="Times New Roman"/>
          <w:lang w:val="en-US"/>
        </w:rPr>
        <w:t xml:space="preserve">- </w:t>
      </w:r>
      <w:proofErr w:type="spellStart"/>
      <w:r w:rsidRPr="00D97ED9">
        <w:rPr>
          <w:rFonts w:ascii="Times New Roman" w:hAnsi="Times New Roman" w:cs="Times New Roman"/>
          <w:lang w:val="en-US"/>
        </w:rPr>
        <w:t>tion</w:t>
      </w:r>
      <w:proofErr w:type="spellEnd"/>
      <w:r w:rsidRPr="00D97ED9">
        <w:rPr>
          <w:rFonts w:ascii="Times New Roman" w:hAnsi="Times New Roman" w:cs="Times New Roman"/>
          <w:lang w:val="en-US"/>
        </w:rPr>
        <w:t xml:space="preserve"> for reporting CPE. </w:t>
      </w:r>
    </w:p>
    <w:p w14:paraId="2EDEBBB6" w14:textId="77777777" w:rsidR="00D97ED9" w:rsidRPr="00D97ED9" w:rsidRDefault="00D97ED9" w:rsidP="00D97ED9">
      <w:pPr>
        <w:pStyle w:val="ListParagraph"/>
        <w:rPr>
          <w:rFonts w:ascii="Times New Roman" w:hAnsi="Times New Roman" w:cs="Times New Roman"/>
          <w:lang w:val="en-US"/>
        </w:rPr>
      </w:pPr>
    </w:p>
    <w:p w14:paraId="339D269A" w14:textId="4850F348" w:rsidR="00D97ED9" w:rsidRDefault="00D97ED9" w:rsidP="00D97ED9">
      <w:pPr>
        <w:pStyle w:val="ListParagraph"/>
        <w:numPr>
          <w:ilvl w:val="0"/>
          <w:numId w:val="1"/>
        </w:numPr>
        <w:jc w:val="both"/>
        <w:rPr>
          <w:rFonts w:ascii="Times New Roman" w:hAnsi="Times New Roman" w:cs="Times New Roman"/>
          <w:lang w:val="en-US"/>
        </w:rPr>
      </w:pPr>
      <w:r w:rsidRPr="00D97ED9">
        <w:rPr>
          <w:rFonts w:ascii="Calibri" w:hAnsi="Calibri" w:cs="Calibri"/>
          <w:lang w:val="en-US"/>
        </w:rPr>
        <w:t>﻿</w:t>
      </w:r>
      <w:r w:rsidRPr="00D97ED9">
        <w:rPr>
          <w:rFonts w:ascii="Times New Roman" w:hAnsi="Times New Roman" w:cs="Times New Roman"/>
          <w:lang w:val="en-US"/>
        </w:rPr>
        <w:t xml:space="preserve">1 month after the first admission date, 11 (19%) patients had been </w:t>
      </w:r>
      <w:proofErr w:type="gramStart"/>
      <w:r w:rsidRPr="00D97ED9">
        <w:rPr>
          <w:rFonts w:ascii="Times New Roman" w:hAnsi="Times New Roman" w:cs="Times New Roman"/>
          <w:lang w:val="en-US"/>
        </w:rPr>
        <w:t>dis</w:t>
      </w:r>
      <w:proofErr w:type="gramEnd"/>
      <w:r w:rsidRPr="00D97ED9">
        <w:rPr>
          <w:rFonts w:ascii="Times New Roman" w:hAnsi="Times New Roman" w:cs="Times New Roman"/>
          <w:lang w:val="en-US"/>
        </w:rPr>
        <w:t>- charged from the ICU and the corresponding estimate of ALOS with DPE was 18.0 days (95% CI 12.2–27.0), nearly twice that of DPE</w:t>
      </w:r>
      <w:r>
        <w:rPr>
          <w:rFonts w:ascii="Times New Roman" w:hAnsi="Times New Roman" w:cs="Times New Roman"/>
          <w:lang w:val="en-US"/>
        </w:rPr>
        <w:t xml:space="preserve"> (sin </w:t>
      </w:r>
      <w:proofErr w:type="spellStart"/>
      <w:r>
        <w:rPr>
          <w:rFonts w:ascii="Times New Roman" w:hAnsi="Times New Roman" w:cs="Times New Roman"/>
          <w:lang w:val="en-US"/>
        </w:rPr>
        <w:t>censura</w:t>
      </w:r>
      <w:proofErr w:type="spellEnd"/>
      <w:r>
        <w:rPr>
          <w:rFonts w:ascii="Times New Roman" w:hAnsi="Times New Roman" w:cs="Times New Roman"/>
          <w:lang w:val="en-US"/>
        </w:rPr>
        <w:t>)</w:t>
      </w:r>
      <w:r w:rsidRPr="00D97ED9">
        <w:rPr>
          <w:rFonts w:ascii="Times New Roman" w:hAnsi="Times New Roman" w:cs="Times New Roman"/>
          <w:lang w:val="en-US"/>
        </w:rPr>
        <w:t xml:space="preserve"> which was 10.0 days (95% CI 6.9–13.1). On March 8, 2 months after the first admis- </w:t>
      </w:r>
      <w:proofErr w:type="spellStart"/>
      <w:r w:rsidRPr="00D97ED9">
        <w:rPr>
          <w:rFonts w:ascii="Times New Roman" w:hAnsi="Times New Roman" w:cs="Times New Roman"/>
          <w:lang w:val="en-US"/>
        </w:rPr>
        <w:t>sion</w:t>
      </w:r>
      <w:proofErr w:type="spellEnd"/>
      <w:r w:rsidRPr="00D97ED9">
        <w:rPr>
          <w:rFonts w:ascii="Times New Roman" w:hAnsi="Times New Roman" w:cs="Times New Roman"/>
          <w:lang w:val="en-US"/>
        </w:rPr>
        <w:t xml:space="preserve"> date, 38 (64%) patients had been discharged and the estimate of ALOS issued from DPE</w:t>
      </w:r>
      <w:r>
        <w:rPr>
          <w:rFonts w:ascii="Times New Roman" w:hAnsi="Times New Roman" w:cs="Times New Roman"/>
          <w:lang w:val="en-US"/>
        </w:rPr>
        <w:t xml:space="preserve"> (sin </w:t>
      </w:r>
      <w:proofErr w:type="spellStart"/>
      <w:r>
        <w:rPr>
          <w:rFonts w:ascii="Times New Roman" w:hAnsi="Times New Roman" w:cs="Times New Roman"/>
          <w:lang w:val="en-US"/>
        </w:rPr>
        <w:t>censura</w:t>
      </w:r>
      <w:proofErr w:type="spellEnd"/>
      <w:r>
        <w:rPr>
          <w:rFonts w:ascii="Times New Roman" w:hAnsi="Times New Roman" w:cs="Times New Roman"/>
          <w:lang w:val="en-US"/>
        </w:rPr>
        <w:t>)</w:t>
      </w:r>
      <w:r w:rsidRPr="00D97ED9">
        <w:rPr>
          <w:rFonts w:ascii="Times New Roman" w:hAnsi="Times New Roman" w:cs="Times New Roman"/>
          <w:lang w:val="en-US"/>
        </w:rPr>
        <w:t xml:space="preserve"> and CPE </w:t>
      </w:r>
      <w:r>
        <w:rPr>
          <w:rFonts w:ascii="Times New Roman" w:hAnsi="Times New Roman" w:cs="Times New Roman"/>
          <w:lang w:val="en-US"/>
        </w:rPr>
        <w:t xml:space="preserve">(con </w:t>
      </w:r>
      <w:proofErr w:type="spellStart"/>
      <w:r>
        <w:rPr>
          <w:rFonts w:ascii="Times New Roman" w:hAnsi="Times New Roman" w:cs="Times New Roman"/>
          <w:lang w:val="en-US"/>
        </w:rPr>
        <w:t>censura</w:t>
      </w:r>
      <w:proofErr w:type="spellEnd"/>
      <w:r>
        <w:rPr>
          <w:rFonts w:ascii="Times New Roman" w:hAnsi="Times New Roman" w:cs="Times New Roman"/>
          <w:lang w:val="en-US"/>
        </w:rPr>
        <w:t xml:space="preserve">) </w:t>
      </w:r>
      <w:r w:rsidRPr="00D97ED9">
        <w:rPr>
          <w:rFonts w:ascii="Times New Roman" w:hAnsi="Times New Roman" w:cs="Times New Roman"/>
          <w:lang w:val="en-US"/>
        </w:rPr>
        <w:t>at that date was 13.0 days (95% CI 10.4–15.6) and 23.1 days (95% CI 18.1–29.7), respectively.</w:t>
      </w:r>
    </w:p>
    <w:p w14:paraId="7841D2D9" w14:textId="77777777" w:rsidR="00D97ED9" w:rsidRPr="00D97ED9" w:rsidRDefault="00D97ED9" w:rsidP="00D97ED9">
      <w:pPr>
        <w:pStyle w:val="ListParagraph"/>
        <w:rPr>
          <w:rFonts w:ascii="Times New Roman" w:hAnsi="Times New Roman" w:cs="Times New Roman"/>
          <w:lang w:val="en-US"/>
        </w:rPr>
      </w:pPr>
    </w:p>
    <w:p w14:paraId="52934EC6" w14:textId="72F341FE" w:rsidR="00D97ED9" w:rsidRDefault="00D97ED9" w:rsidP="00D97ED9">
      <w:pPr>
        <w:pStyle w:val="ListParagraph"/>
        <w:numPr>
          <w:ilvl w:val="0"/>
          <w:numId w:val="1"/>
        </w:numPr>
        <w:jc w:val="both"/>
        <w:rPr>
          <w:rFonts w:ascii="Times New Roman" w:hAnsi="Times New Roman" w:cs="Times New Roman"/>
          <w:lang w:val="en-US"/>
        </w:rPr>
      </w:pPr>
      <w:r w:rsidRPr="00D97ED9">
        <w:rPr>
          <w:rFonts w:ascii="Calibri" w:hAnsi="Calibri" w:cs="Calibri"/>
          <w:lang w:val="en-US"/>
        </w:rPr>
        <w:t>﻿</w:t>
      </w:r>
      <w:r w:rsidRPr="00D97ED9">
        <w:rPr>
          <w:rFonts w:ascii="Times New Roman" w:hAnsi="Times New Roman" w:cs="Times New Roman"/>
          <w:lang w:val="en-US"/>
        </w:rPr>
        <w:t>The distribution of times to death did not show any difference by sex (see Supplementary Material).</w:t>
      </w:r>
      <w:r>
        <w:rPr>
          <w:rFonts w:ascii="Times New Roman" w:hAnsi="Times New Roman" w:cs="Times New Roman"/>
          <w:lang w:val="en-US"/>
        </w:rPr>
        <w:t xml:space="preserve"> </w:t>
      </w:r>
      <w:r w:rsidRPr="00D97ED9">
        <w:rPr>
          <w:rFonts w:ascii="Calibri" w:hAnsi="Calibri" w:cs="Calibri"/>
          <w:lang w:val="en-US"/>
        </w:rPr>
        <w:t>﻿</w:t>
      </w:r>
      <w:r w:rsidRPr="00D97ED9">
        <w:rPr>
          <w:rFonts w:ascii="Times New Roman" w:hAnsi="Times New Roman" w:cs="Times New Roman"/>
          <w:lang w:val="en-US"/>
        </w:rPr>
        <w:t>A population-level model with a gamma likelihood, with m = 15.4264 (95% credible interval (</w:t>
      </w:r>
      <w:proofErr w:type="spellStart"/>
      <w:r w:rsidRPr="00D97ED9">
        <w:rPr>
          <w:rFonts w:ascii="Times New Roman" w:hAnsi="Times New Roman" w:cs="Times New Roman"/>
          <w:lang w:val="en-US"/>
        </w:rPr>
        <w:t>CrI</w:t>
      </w:r>
      <w:proofErr w:type="spellEnd"/>
      <w:r w:rsidRPr="00D97ED9">
        <w:rPr>
          <w:rFonts w:ascii="Times New Roman" w:hAnsi="Times New Roman" w:cs="Times New Roman"/>
          <w:lang w:val="en-US"/>
        </w:rPr>
        <w:t xml:space="preserve">) 15.29– 15.56) and shape parameter = 2.0325 (95% </w:t>
      </w:r>
      <w:proofErr w:type="spellStart"/>
      <w:r w:rsidRPr="00D97ED9">
        <w:rPr>
          <w:rFonts w:ascii="Times New Roman" w:hAnsi="Times New Roman" w:cs="Times New Roman"/>
          <w:lang w:val="en-US"/>
        </w:rPr>
        <w:t>CrI</w:t>
      </w:r>
      <w:proofErr w:type="spellEnd"/>
      <w:r w:rsidRPr="00D97ED9">
        <w:rPr>
          <w:rFonts w:ascii="Times New Roman" w:hAnsi="Times New Roman" w:cs="Times New Roman"/>
          <w:lang w:val="en-US"/>
        </w:rPr>
        <w:t xml:space="preserve"> 1.997–2.068), was found to adequately fit the data.</w:t>
      </w:r>
      <w:r>
        <w:rPr>
          <w:rFonts w:ascii="Times New Roman" w:hAnsi="Times New Roman" w:cs="Times New Roman"/>
          <w:lang w:val="en-US"/>
        </w:rPr>
        <w:t xml:space="preserve"> </w:t>
      </w:r>
    </w:p>
    <w:p w14:paraId="64DF377B" w14:textId="77777777" w:rsidR="00776A65" w:rsidRPr="00776A65" w:rsidRDefault="00776A65" w:rsidP="00776A65">
      <w:pPr>
        <w:pStyle w:val="ListParagraph"/>
        <w:rPr>
          <w:rFonts w:ascii="Times New Roman" w:hAnsi="Times New Roman" w:cs="Times New Roman"/>
          <w:lang w:val="en-US"/>
        </w:rPr>
      </w:pPr>
    </w:p>
    <w:p w14:paraId="7937986B" w14:textId="3DC5CDF8" w:rsidR="00776A65" w:rsidRDefault="00776A65" w:rsidP="00776A65">
      <w:pPr>
        <w:pStyle w:val="ListParagraph"/>
        <w:numPr>
          <w:ilvl w:val="0"/>
          <w:numId w:val="1"/>
        </w:numPr>
        <w:jc w:val="both"/>
        <w:rPr>
          <w:rFonts w:ascii="Times New Roman" w:hAnsi="Times New Roman" w:cs="Times New Roman"/>
          <w:lang w:val="en-US"/>
        </w:rPr>
      </w:pPr>
      <w:r w:rsidRPr="00776A65">
        <w:rPr>
          <w:rFonts w:ascii="Calibri" w:hAnsi="Calibri" w:cs="Calibri"/>
          <w:lang w:val="en-US"/>
        </w:rPr>
        <w:t>﻿</w:t>
      </w:r>
      <w:r w:rsidRPr="00776A65">
        <w:rPr>
          <w:rFonts w:ascii="Times New Roman" w:hAnsi="Times New Roman" w:cs="Times New Roman"/>
          <w:lang w:val="en-US"/>
        </w:rPr>
        <w:t>The average time from onset to death was determined for all of</w:t>
      </w:r>
      <w:r>
        <w:rPr>
          <w:rFonts w:ascii="Times New Roman" w:hAnsi="Times New Roman" w:cs="Times New Roman"/>
          <w:lang w:val="en-US"/>
        </w:rPr>
        <w:t xml:space="preserve"> </w:t>
      </w:r>
      <w:r w:rsidRPr="00776A65">
        <w:rPr>
          <w:rFonts w:ascii="Times New Roman" w:hAnsi="Times New Roman" w:cs="Times New Roman"/>
          <w:lang w:val="en-US"/>
        </w:rPr>
        <w:t>the age groups. This time could be accurately modeled by a gamma distribution, with varying intercepts for different age groups, as presented in the Supplementary Material.</w:t>
      </w:r>
    </w:p>
    <w:p w14:paraId="6277E563" w14:textId="77777777" w:rsidR="00776A65" w:rsidRPr="00776A65" w:rsidRDefault="00776A65" w:rsidP="00776A65">
      <w:pPr>
        <w:pStyle w:val="ListParagraph"/>
        <w:rPr>
          <w:rFonts w:ascii="Times New Roman" w:hAnsi="Times New Roman" w:cs="Times New Roman"/>
          <w:lang w:val="en-US"/>
        </w:rPr>
      </w:pPr>
    </w:p>
    <w:p w14:paraId="687B6FAB" w14:textId="3938B6AF" w:rsidR="00776A65" w:rsidRDefault="00776A65" w:rsidP="00776A65">
      <w:pPr>
        <w:jc w:val="both"/>
        <w:rPr>
          <w:rFonts w:ascii="Times New Roman" w:hAnsi="Times New Roman" w:cs="Times New Roman"/>
          <w:lang w:val="es-ES"/>
        </w:rPr>
      </w:pPr>
      <w:r w:rsidRPr="00776A65">
        <w:rPr>
          <w:rFonts w:ascii="Times New Roman" w:hAnsi="Times New Roman" w:cs="Times New Roman"/>
          <w:lang w:val="es-ES"/>
        </w:rPr>
        <w:t xml:space="preserve">Hay dos opciones para la variable de interés: </w:t>
      </w:r>
      <w:proofErr w:type="spellStart"/>
      <w:r w:rsidRPr="00776A65">
        <w:rPr>
          <w:rFonts w:ascii="Times New Roman" w:hAnsi="Times New Roman" w:cs="Times New Roman"/>
          <w:lang w:val="es-ES"/>
        </w:rPr>
        <w:t>longitude</w:t>
      </w:r>
      <w:proofErr w:type="spellEnd"/>
      <w:r w:rsidRPr="00776A65">
        <w:rPr>
          <w:rFonts w:ascii="Times New Roman" w:hAnsi="Times New Roman" w:cs="Times New Roman"/>
          <w:lang w:val="es-ES"/>
        </w:rPr>
        <w:t xml:space="preserve"> de la estancia en UCI o el tiempo de supervivencia en UCI. La interpretación de la primera es evidente; la interpretación de la segunda, siguiendo a </w:t>
      </w:r>
      <w:proofErr w:type="spellStart"/>
      <w:r w:rsidRPr="00776A65">
        <w:rPr>
          <w:rFonts w:ascii="Times New Roman" w:hAnsi="Times New Roman" w:cs="Times New Roman"/>
          <w:lang w:val="es-ES"/>
        </w:rPr>
        <w:t>Kelin</w:t>
      </w:r>
      <w:proofErr w:type="spellEnd"/>
      <w:r w:rsidRPr="00776A65">
        <w:rPr>
          <w:rFonts w:ascii="Times New Roman" w:hAnsi="Times New Roman" w:cs="Times New Roman"/>
          <w:lang w:val="es-ES"/>
        </w:rPr>
        <w:t xml:space="preserve"> &amp; </w:t>
      </w:r>
      <w:proofErr w:type="spellStart"/>
      <w:r w:rsidRPr="00776A65">
        <w:rPr>
          <w:rFonts w:ascii="Times New Roman" w:hAnsi="Times New Roman" w:cs="Times New Roman"/>
          <w:lang w:val="es-ES"/>
        </w:rPr>
        <w:t>Moescheberger</w:t>
      </w:r>
      <w:proofErr w:type="spellEnd"/>
      <w:r w:rsidRPr="00776A65">
        <w:rPr>
          <w:rFonts w:ascii="Times New Roman" w:hAnsi="Times New Roman" w:cs="Times New Roman"/>
          <w:lang w:val="es-ES"/>
        </w:rPr>
        <w:t>, es la siguiente:</w:t>
      </w:r>
    </w:p>
    <w:p w14:paraId="4FC5365C" w14:textId="5BC338A5" w:rsidR="00776A65" w:rsidRDefault="00776A65" w:rsidP="00776A65">
      <w:pPr>
        <w:jc w:val="both"/>
        <w:rPr>
          <w:rFonts w:ascii="Times New Roman" w:hAnsi="Times New Roman" w:cs="Times New Roman"/>
          <w:lang w:val="es-ES"/>
        </w:rPr>
      </w:pPr>
    </w:p>
    <w:p w14:paraId="014BA9F6" w14:textId="1CF8CA88" w:rsidR="00776A65" w:rsidRPr="00776A65" w:rsidRDefault="00776A65" w:rsidP="00776A65">
      <w:pPr>
        <w:pStyle w:val="ListParagraph"/>
        <w:numPr>
          <w:ilvl w:val="0"/>
          <w:numId w:val="1"/>
        </w:numPr>
        <w:autoSpaceDE w:val="0"/>
        <w:autoSpaceDN w:val="0"/>
        <w:adjustRightInd w:val="0"/>
        <w:rPr>
          <w:rFonts w:ascii="Times New Roman" w:hAnsi="Times New Roman" w:cs="Times New Roman"/>
          <w:sz w:val="22"/>
          <w:szCs w:val="22"/>
          <w:lang w:val="en-US"/>
        </w:rPr>
      </w:pPr>
      <w:r w:rsidRPr="00776A65">
        <w:rPr>
          <w:rFonts w:ascii="Times New Roman" w:hAnsi="Times New Roman" w:cs="Times New Roman"/>
          <w:sz w:val="22"/>
          <w:szCs w:val="22"/>
          <w:lang w:val="en-US"/>
        </w:rPr>
        <w:t>We can</w:t>
      </w:r>
      <w:r w:rsidRPr="00776A65">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see that white females have the best survival probability, white males</w:t>
      </w:r>
    </w:p>
    <w:p w14:paraId="77873030" w14:textId="77777777" w:rsidR="00776A65" w:rsidRDefault="00776A65" w:rsidP="00776A65">
      <w:pPr>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and black females are comparable in their survival probabilities, and</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black males have the worst survival</w:t>
      </w:r>
      <w:r>
        <w:rPr>
          <w:rFonts w:ascii="Times New Roman" w:hAnsi="Times New Roman" w:cs="Times New Roman"/>
          <w:sz w:val="22"/>
          <w:szCs w:val="22"/>
          <w:lang w:val="en-US"/>
        </w:rPr>
        <w:br/>
      </w:r>
    </w:p>
    <w:p w14:paraId="282B171F" w14:textId="3F84EB4D" w:rsidR="00776A65" w:rsidRDefault="00776A65" w:rsidP="00776A65">
      <w:pPr>
        <w:pStyle w:val="ListParagraph"/>
        <w:numPr>
          <w:ilvl w:val="0"/>
          <w:numId w:val="1"/>
        </w:numPr>
        <w:autoSpaceDE w:val="0"/>
        <w:autoSpaceDN w:val="0"/>
        <w:adjustRightInd w:val="0"/>
        <w:rPr>
          <w:rFonts w:ascii="Times New Roman" w:hAnsi="Times New Roman" w:cs="Times New Roman"/>
          <w:sz w:val="22"/>
          <w:szCs w:val="22"/>
          <w:lang w:val="es-ES"/>
        </w:rPr>
      </w:pPr>
      <w:r w:rsidRPr="00776A65">
        <w:rPr>
          <w:rFonts w:ascii="Times New Roman" w:hAnsi="Times New Roman" w:cs="Times New Roman"/>
          <w:sz w:val="22"/>
          <w:szCs w:val="22"/>
          <w:lang w:val="en-US"/>
        </w:rPr>
        <w:t>The 1989 U.S. mortality hazard rates, by sex and race,</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are presented in Figure 2.6. One can see the decreasing hazard rates</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early in all four groups, followed, approximately, by, a constant hazard</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rate, eventually leading to an increasing hazard rate starting at different</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times for each group.</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s-ES"/>
        </w:rPr>
        <w:t>(es decir, ¿cuál es la forma de la función de riesgo?)</w:t>
      </w:r>
      <w:r>
        <w:rPr>
          <w:rFonts w:ascii="Times New Roman" w:hAnsi="Times New Roman" w:cs="Times New Roman"/>
          <w:sz w:val="22"/>
          <w:szCs w:val="22"/>
          <w:lang w:val="es-ES"/>
        </w:rPr>
        <w:t>.</w:t>
      </w:r>
    </w:p>
    <w:p w14:paraId="6943B758" w14:textId="448338BB" w:rsidR="00776A65" w:rsidRPr="00776A65" w:rsidRDefault="00776A65" w:rsidP="00776A65">
      <w:pPr>
        <w:pStyle w:val="ListParagraph"/>
        <w:numPr>
          <w:ilvl w:val="0"/>
          <w:numId w:val="1"/>
        </w:numPr>
        <w:autoSpaceDE w:val="0"/>
        <w:autoSpaceDN w:val="0"/>
        <w:adjustRightInd w:val="0"/>
        <w:rPr>
          <w:rFonts w:ascii="Times New Roman" w:hAnsi="Times New Roman" w:cs="Times New Roman"/>
          <w:sz w:val="22"/>
          <w:szCs w:val="22"/>
          <w:lang w:val="en-US"/>
        </w:rPr>
      </w:pPr>
      <w:r w:rsidRPr="00776A65">
        <w:rPr>
          <w:rFonts w:ascii="Times New Roman" w:hAnsi="Times New Roman" w:cs="Times New Roman"/>
          <w:sz w:val="22"/>
          <w:szCs w:val="22"/>
          <w:lang w:val="en-US"/>
        </w:rPr>
        <w:t>Though the three survival functions in Figure 2.1 have the same basic</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shape, one can see that the three hazard functions shown in Figure</w:t>
      </w:r>
      <w:r w:rsidRPr="00776A65">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2.5 are dramatically different.</w:t>
      </w:r>
    </w:p>
    <w:p w14:paraId="00313970" w14:textId="681BD82D" w:rsidR="00776A65" w:rsidRDefault="00776A65" w:rsidP="00776A65">
      <w:pPr>
        <w:pStyle w:val="ListParagraph"/>
        <w:numPr>
          <w:ilvl w:val="0"/>
          <w:numId w:val="1"/>
        </w:numPr>
        <w:autoSpaceDE w:val="0"/>
        <w:autoSpaceDN w:val="0"/>
        <w:adjustRightInd w:val="0"/>
        <w:rPr>
          <w:rFonts w:ascii="Times New Roman" w:hAnsi="Times New Roman" w:cs="Times New Roman"/>
          <w:sz w:val="22"/>
          <w:szCs w:val="22"/>
          <w:lang w:val="en-US"/>
        </w:rPr>
      </w:pPr>
      <w:r w:rsidRPr="00776A65">
        <w:rPr>
          <w:rFonts w:ascii="Times New Roman" w:hAnsi="Times New Roman" w:cs="Times New Roman"/>
          <w:sz w:val="22"/>
          <w:szCs w:val="22"/>
          <w:lang w:val="en-US"/>
        </w:rPr>
        <w:lastRenderedPageBreak/>
        <w:t>The mean and median lifetimes for an exponential life distribution ar</w:t>
      </w:r>
      <w:r>
        <w:rPr>
          <w:rFonts w:ascii="Times New Roman" w:hAnsi="Times New Roman" w:cs="Times New Roman"/>
          <w:sz w:val="22"/>
          <w:szCs w:val="22"/>
          <w:lang w:val="en-US"/>
        </w:rPr>
        <w:t xml:space="preserve">e </w:t>
      </w:r>
      <w:r w:rsidRPr="00776A65">
        <w:rPr>
          <w:rFonts w:ascii="Times New Roman" w:hAnsi="Times New Roman" w:cs="Times New Roman"/>
          <w:sz w:val="22"/>
          <w:szCs w:val="22"/>
          <w:lang w:val="en-US"/>
        </w:rPr>
        <w:t>1_ _ and (ln</w:t>
      </w:r>
      <w:proofErr w:type="gramStart"/>
      <w:r w:rsidRPr="00776A65">
        <w:rPr>
          <w:rFonts w:ascii="Times New Roman" w:hAnsi="Times New Roman" w:cs="Times New Roman"/>
          <w:sz w:val="22"/>
          <w:szCs w:val="22"/>
          <w:lang w:val="en-US"/>
        </w:rPr>
        <w:t>2)_</w:t>
      </w:r>
      <w:proofErr w:type="gramEnd"/>
      <w:r w:rsidRPr="00776A65">
        <w:rPr>
          <w:rFonts w:ascii="Times New Roman" w:hAnsi="Times New Roman" w:cs="Times New Roman"/>
          <w:sz w:val="22"/>
          <w:szCs w:val="22"/>
          <w:lang w:val="en-US"/>
        </w:rPr>
        <w:t xml:space="preserve"> _ as</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determined from equations (2.4.2) and (2.4.5), respectively.</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Furthermore, the mean residual life for an exponential distribution</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is also 1_ _ from equation (2.4.1). Distributions with this property</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are said to exhibit lack of memory. The exponential distribution is the</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unique continuous distribution possessing this characteristic.</w:t>
      </w:r>
    </w:p>
    <w:p w14:paraId="0F41235F" w14:textId="63A7C4DD" w:rsidR="00776A65" w:rsidRPr="00776A65" w:rsidRDefault="00776A65" w:rsidP="00776A65">
      <w:pPr>
        <w:pStyle w:val="ListParagraph"/>
        <w:numPr>
          <w:ilvl w:val="0"/>
          <w:numId w:val="1"/>
        </w:numPr>
        <w:autoSpaceDE w:val="0"/>
        <w:autoSpaceDN w:val="0"/>
        <w:adjustRightInd w:val="0"/>
        <w:rPr>
          <w:rFonts w:ascii="Times New Roman" w:hAnsi="Times New Roman" w:cs="Times New Roman"/>
          <w:sz w:val="22"/>
          <w:szCs w:val="22"/>
          <w:lang w:val="en-US"/>
        </w:rPr>
      </w:pPr>
      <w:r w:rsidRPr="00776A65">
        <w:rPr>
          <w:rFonts w:ascii="Times New Roman" w:hAnsi="Times New Roman" w:cs="Times New Roman"/>
          <w:sz w:val="22"/>
          <w:szCs w:val="22"/>
          <w:lang w:val="en-US"/>
        </w:rPr>
        <w:t>Because the exponential distribution is a special case of both the</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Weibull and gamma distributions, considered in subsequent paragraphs,</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other properties will be implicit in the discussion of those distributions.</w:t>
      </w:r>
    </w:p>
    <w:p w14:paraId="39EADF4A" w14:textId="65C3E2B9" w:rsidR="00AA767A" w:rsidRDefault="00AA767A" w:rsidP="00AA767A">
      <w:pPr>
        <w:ind w:firstLine="284"/>
        <w:jc w:val="center"/>
        <w:rPr>
          <w:rFonts w:ascii="Times New Roman" w:hAnsi="Times New Roman" w:cs="Times New Roman"/>
          <w:b/>
          <w:bCs/>
          <w:lang w:val="es-ES"/>
        </w:rPr>
      </w:pPr>
      <w:r>
        <w:rPr>
          <w:rFonts w:ascii="Times New Roman" w:hAnsi="Times New Roman" w:cs="Times New Roman"/>
          <w:b/>
          <w:bCs/>
          <w:lang w:val="es-ES"/>
        </w:rPr>
        <w:t>Primer conjunto:</w:t>
      </w:r>
    </w:p>
    <w:p w14:paraId="26DDCD7E" w14:textId="26211F09" w:rsidR="00AA767A" w:rsidRDefault="00AA767A" w:rsidP="00AA767A">
      <w:pPr>
        <w:ind w:firstLine="284"/>
        <w:jc w:val="center"/>
        <w:rPr>
          <w:rFonts w:ascii="Times New Roman" w:hAnsi="Times New Roman" w:cs="Times New Roman"/>
          <w:b/>
          <w:bCs/>
          <w:lang w:val="es-ES"/>
        </w:rPr>
      </w:pPr>
    </w:p>
    <w:p w14:paraId="5FB061F4" w14:textId="0CAAA4A3" w:rsidR="00AA767A" w:rsidRDefault="00AA767A" w:rsidP="00AA767A">
      <w:pPr>
        <w:ind w:firstLine="284"/>
        <w:jc w:val="center"/>
        <w:rPr>
          <w:rFonts w:ascii="Times New Roman" w:hAnsi="Times New Roman" w:cs="Times New Roman"/>
          <w:b/>
          <w:bCs/>
          <w:lang w:val="es-ES"/>
        </w:rPr>
      </w:pPr>
    </w:p>
    <w:p w14:paraId="097AB046" w14:textId="42C9239A" w:rsidR="00AA767A" w:rsidRDefault="00AA767A" w:rsidP="00AA767A">
      <w:pPr>
        <w:ind w:firstLine="284"/>
        <w:jc w:val="center"/>
        <w:rPr>
          <w:rFonts w:ascii="Times New Roman" w:hAnsi="Times New Roman" w:cs="Times New Roman"/>
          <w:b/>
          <w:bCs/>
          <w:lang w:val="es-ES"/>
        </w:rPr>
      </w:pPr>
    </w:p>
    <w:p w14:paraId="3967B14C" w14:textId="412EB23A" w:rsidR="00AA767A" w:rsidRDefault="00AA767A" w:rsidP="00AA767A">
      <w:pPr>
        <w:ind w:firstLine="284"/>
        <w:jc w:val="center"/>
        <w:rPr>
          <w:rFonts w:ascii="Times New Roman" w:hAnsi="Times New Roman" w:cs="Times New Roman"/>
          <w:b/>
          <w:bCs/>
          <w:lang w:val="es-ES"/>
        </w:rPr>
      </w:pPr>
      <w:r>
        <w:rPr>
          <w:rFonts w:ascii="Times New Roman" w:hAnsi="Times New Roman" w:cs="Times New Roman"/>
          <w:b/>
          <w:bCs/>
          <w:lang w:val="es-ES"/>
        </w:rPr>
        <w:t>Segundo conjunto:</w:t>
      </w:r>
    </w:p>
    <w:p w14:paraId="37783EA7" w14:textId="77777777" w:rsidR="00AA767A" w:rsidRDefault="00AA767A" w:rsidP="00AA767A">
      <w:pPr>
        <w:ind w:firstLine="284"/>
        <w:jc w:val="center"/>
        <w:rPr>
          <w:rFonts w:ascii="Times New Roman" w:hAnsi="Times New Roman" w:cs="Times New Roman"/>
          <w:b/>
          <w:bCs/>
          <w:lang w:val="es-ES"/>
        </w:rPr>
      </w:pPr>
    </w:p>
    <w:p w14:paraId="2EF5CC44" w14:textId="26AA2A24" w:rsidR="00AA767A" w:rsidRDefault="00AA767A" w:rsidP="00AA767A">
      <w:pPr>
        <w:ind w:firstLine="284"/>
        <w:jc w:val="center"/>
        <w:rPr>
          <w:rFonts w:ascii="Times New Roman" w:hAnsi="Times New Roman" w:cs="Times New Roman"/>
          <w:b/>
          <w:bCs/>
          <w:lang w:val="es-ES"/>
        </w:rPr>
      </w:pPr>
    </w:p>
    <w:p w14:paraId="691F6DF5" w14:textId="75CA49C2" w:rsidR="00AA767A" w:rsidRDefault="00AA767A" w:rsidP="00AA767A">
      <w:pPr>
        <w:ind w:firstLine="284"/>
        <w:jc w:val="center"/>
        <w:rPr>
          <w:rFonts w:ascii="Times New Roman" w:hAnsi="Times New Roman" w:cs="Times New Roman"/>
          <w:b/>
          <w:bCs/>
          <w:lang w:val="es-ES"/>
        </w:rPr>
      </w:pPr>
    </w:p>
    <w:p w14:paraId="6C7C9E0C" w14:textId="525C7CDB" w:rsidR="00AA767A" w:rsidRPr="00AA767A" w:rsidRDefault="00AA767A" w:rsidP="00AA767A">
      <w:pPr>
        <w:ind w:firstLine="284"/>
        <w:jc w:val="center"/>
        <w:rPr>
          <w:rFonts w:ascii="Times New Roman" w:hAnsi="Times New Roman" w:cs="Times New Roman"/>
          <w:b/>
          <w:bCs/>
          <w:lang w:val="es-ES"/>
        </w:rPr>
      </w:pPr>
      <w:r>
        <w:rPr>
          <w:rFonts w:ascii="Times New Roman" w:hAnsi="Times New Roman" w:cs="Times New Roman"/>
          <w:b/>
          <w:bCs/>
          <w:lang w:val="es-ES"/>
        </w:rPr>
        <w:t>Tercer conjunto:</w:t>
      </w:r>
    </w:p>
    <w:sectPr w:rsidR="00AA767A" w:rsidRPr="00AA76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028CF"/>
    <w:multiLevelType w:val="hybridMultilevel"/>
    <w:tmpl w:val="D73CDBF8"/>
    <w:lvl w:ilvl="0" w:tplc="2DE053CA">
      <w:start w:val="3"/>
      <w:numFmt w:val="bullet"/>
      <w:lvlText w:val=""/>
      <w:lvlJc w:val="left"/>
      <w:pPr>
        <w:ind w:left="644" w:hanging="360"/>
      </w:pPr>
      <w:rPr>
        <w:rFonts w:ascii="Symbol" w:eastAsiaTheme="minorHAnsi" w:hAnsi="Symbol"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0CB"/>
    <w:rsid w:val="001E1DE4"/>
    <w:rsid w:val="00232D07"/>
    <w:rsid w:val="002914CC"/>
    <w:rsid w:val="003B0ED3"/>
    <w:rsid w:val="004D4CA8"/>
    <w:rsid w:val="004E71A3"/>
    <w:rsid w:val="005D2B38"/>
    <w:rsid w:val="00622FAC"/>
    <w:rsid w:val="00640D10"/>
    <w:rsid w:val="00663DE3"/>
    <w:rsid w:val="006940CB"/>
    <w:rsid w:val="006B5E04"/>
    <w:rsid w:val="00711D20"/>
    <w:rsid w:val="00742F5A"/>
    <w:rsid w:val="007769AC"/>
    <w:rsid w:val="00776A65"/>
    <w:rsid w:val="008C1CA1"/>
    <w:rsid w:val="009249E8"/>
    <w:rsid w:val="009378DA"/>
    <w:rsid w:val="00970802"/>
    <w:rsid w:val="00AA767A"/>
    <w:rsid w:val="00B965AF"/>
    <w:rsid w:val="00BB54AC"/>
    <w:rsid w:val="00BE3D25"/>
    <w:rsid w:val="00C62D57"/>
    <w:rsid w:val="00D6003A"/>
    <w:rsid w:val="00D767ED"/>
    <w:rsid w:val="00D97ED9"/>
    <w:rsid w:val="00EC671E"/>
    <w:rsid w:val="00F778E4"/>
    <w:rsid w:val="00FC4383"/>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06EBE93E"/>
  <w15:chartTrackingRefBased/>
  <w15:docId w15:val="{F6210548-6DAF-8B49-B98C-B87779D4B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A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759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TotalTime>
  <Pages>5</Pages>
  <Words>1790</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Barona</dc:creator>
  <cp:keywords/>
  <dc:description/>
  <cp:lastModifiedBy>Sergio Barona</cp:lastModifiedBy>
  <cp:revision>6</cp:revision>
  <dcterms:created xsi:type="dcterms:W3CDTF">2023-05-09T23:44:00Z</dcterms:created>
  <dcterms:modified xsi:type="dcterms:W3CDTF">2023-05-12T07:05:00Z</dcterms:modified>
</cp:coreProperties>
</file>