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BD05" w14:textId="74AC358A" w:rsidR="00223BCA" w:rsidRDefault="00223BCA" w:rsidP="00223BC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Obsevaciones</w:t>
      </w:r>
      <w:proofErr w:type="spellEnd"/>
      <w:r>
        <w:rPr>
          <w:rFonts w:ascii="Times New Roman" w:hAnsi="Times New Roman" w:cs="Times New Roman"/>
          <w:b/>
          <w:bCs/>
          <w:sz w:val="24"/>
          <w:szCs w:val="24"/>
        </w:rPr>
        <w:t xml:space="preserve"> generales</w:t>
      </w:r>
    </w:p>
    <w:p w14:paraId="3F8087FD" w14:textId="77777777" w:rsidR="00223BCA" w:rsidRDefault="00223BCA" w:rsidP="00223BCA">
      <w:pPr>
        <w:jc w:val="center"/>
        <w:rPr>
          <w:rFonts w:ascii="Times New Roman" w:hAnsi="Times New Roman" w:cs="Times New Roman"/>
          <w:b/>
          <w:bCs/>
          <w:sz w:val="24"/>
          <w:szCs w:val="24"/>
        </w:rPr>
      </w:pPr>
    </w:p>
    <w:p w14:paraId="5718A24C" w14:textId="65787409" w:rsidR="00A80E0A" w:rsidRDefault="00223BCA" w:rsidP="00223BCA">
      <w:pPr>
        <w:jc w:val="both"/>
        <w:rPr>
          <w:rFonts w:ascii="Times New Roman" w:hAnsi="Times New Roman" w:cs="Times New Roman"/>
          <w:sz w:val="24"/>
          <w:szCs w:val="24"/>
        </w:rPr>
      </w:pPr>
      <w:r>
        <w:rPr>
          <w:rFonts w:ascii="Times New Roman" w:hAnsi="Times New Roman" w:cs="Times New Roman"/>
          <w:sz w:val="24"/>
          <w:szCs w:val="24"/>
        </w:rPr>
        <w:t xml:space="preserve">Considérese las siguientes observaciones generales en relación con la discusión de resultados para el artículo “Análisis de supervivencia </w:t>
      </w:r>
      <w:r w:rsidR="00A80E0A">
        <w:rPr>
          <w:rFonts w:ascii="Times New Roman" w:hAnsi="Times New Roman" w:cs="Times New Roman"/>
          <w:sz w:val="24"/>
          <w:szCs w:val="24"/>
        </w:rPr>
        <w:t>en UCI para pacientes críticos y críticos crónicos de COVID-19 (Cali, Colombia)</w:t>
      </w:r>
      <w:r>
        <w:rPr>
          <w:rFonts w:ascii="Times New Roman" w:hAnsi="Times New Roman" w:cs="Times New Roman"/>
          <w:sz w:val="24"/>
          <w:szCs w:val="24"/>
        </w:rPr>
        <w:t>”</w:t>
      </w:r>
      <w:r w:rsidR="00A80E0A">
        <w:rPr>
          <w:rFonts w:ascii="Times New Roman" w:hAnsi="Times New Roman" w:cs="Times New Roman"/>
          <w:sz w:val="24"/>
          <w:szCs w:val="24"/>
        </w:rPr>
        <w:t>:</w:t>
      </w:r>
    </w:p>
    <w:p w14:paraId="7B952C53" w14:textId="3DE21455" w:rsidR="00A80E0A" w:rsidRDefault="00A80E0A" w:rsidP="00223BCA">
      <w:pPr>
        <w:jc w:val="both"/>
        <w:rPr>
          <w:rFonts w:ascii="Times New Roman" w:hAnsi="Times New Roman" w:cs="Times New Roman"/>
          <w:b/>
          <w:bCs/>
          <w:sz w:val="24"/>
          <w:szCs w:val="24"/>
        </w:rPr>
      </w:pPr>
      <w:r>
        <w:rPr>
          <w:rFonts w:ascii="Times New Roman" w:hAnsi="Times New Roman" w:cs="Times New Roman"/>
          <w:b/>
          <w:bCs/>
          <w:sz w:val="24"/>
          <w:szCs w:val="24"/>
        </w:rPr>
        <w:t>Primera observación [Tres resultados generales comunes]:</w:t>
      </w:r>
    </w:p>
    <w:p w14:paraId="4CF77EA5" w14:textId="77777777" w:rsidR="003F0B19" w:rsidRDefault="00A80E0A" w:rsidP="003F0B19">
      <w:pPr>
        <w:ind w:firstLine="284"/>
        <w:jc w:val="both"/>
        <w:rPr>
          <w:rFonts w:ascii="Times New Roman" w:hAnsi="Times New Roman" w:cs="Times New Roman"/>
          <w:sz w:val="24"/>
          <w:szCs w:val="24"/>
        </w:rPr>
      </w:pPr>
      <w:bookmarkStart w:id="0" w:name="_Hlk135674654"/>
      <w:r>
        <w:rPr>
          <w:rFonts w:ascii="Times New Roman" w:hAnsi="Times New Roman" w:cs="Times New Roman"/>
          <w:sz w:val="24"/>
          <w:szCs w:val="24"/>
        </w:rPr>
        <w:t xml:space="preserve">En términos generales, las tres metodologías consideradas ---a saber, el estimador no-paramétrico de Kaplan-Meier, el modelo paramétrico de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y el modelo de riesgos proporcionales de Cox--- coinciden en las siguientes conclusiones generales: </w:t>
      </w:r>
      <w:r w:rsidRPr="00A80E0A">
        <w:rPr>
          <w:rFonts w:ascii="Times New Roman" w:hAnsi="Times New Roman" w:cs="Times New Roman"/>
          <w:b/>
          <w:bCs/>
          <w:sz w:val="24"/>
          <w:szCs w:val="24"/>
        </w:rPr>
        <w:t>primero</w:t>
      </w:r>
      <w:r>
        <w:rPr>
          <w:rFonts w:ascii="Times New Roman" w:hAnsi="Times New Roman" w:cs="Times New Roman"/>
          <w:sz w:val="24"/>
          <w:szCs w:val="24"/>
        </w:rPr>
        <w:t xml:space="preserve">, si bien los pacientes críticos de sexo masculino presentan una tasa de mortalidad en UCI superior, la diferencia según el sexo no es estadísticamente significativa; </w:t>
      </w:r>
      <w:r w:rsidRPr="00A80E0A">
        <w:rPr>
          <w:rFonts w:ascii="Times New Roman" w:hAnsi="Times New Roman" w:cs="Times New Roman"/>
          <w:b/>
          <w:bCs/>
          <w:sz w:val="24"/>
          <w:szCs w:val="24"/>
        </w:rPr>
        <w:t>segundo</w:t>
      </w:r>
      <w:r>
        <w:rPr>
          <w:rFonts w:ascii="Times New Roman" w:hAnsi="Times New Roman" w:cs="Times New Roman"/>
          <w:b/>
          <w:bCs/>
          <w:sz w:val="24"/>
          <w:szCs w:val="24"/>
        </w:rPr>
        <w:t xml:space="preserve">, </w:t>
      </w:r>
      <w:r>
        <w:rPr>
          <w:rFonts w:ascii="Times New Roman" w:hAnsi="Times New Roman" w:cs="Times New Roman"/>
          <w:sz w:val="24"/>
          <w:szCs w:val="24"/>
        </w:rPr>
        <w:t>la edad es un factor de riesgo en el sentido en que</w:t>
      </w:r>
      <w:r>
        <w:rPr>
          <w:rFonts w:ascii="Times New Roman" w:hAnsi="Times New Roman" w:cs="Times New Roman"/>
          <w:b/>
          <w:bCs/>
          <w:sz w:val="24"/>
          <w:szCs w:val="24"/>
        </w:rPr>
        <w:t xml:space="preserve"> </w:t>
      </w:r>
      <w:r>
        <w:rPr>
          <w:rFonts w:ascii="Times New Roman" w:hAnsi="Times New Roman" w:cs="Times New Roman"/>
          <w:sz w:val="24"/>
          <w:szCs w:val="24"/>
        </w:rPr>
        <w:t xml:space="preserve">los pacientes críticos mayores de 65 años muestran una tasa de mortalidad en UCI superior; y </w:t>
      </w:r>
      <w:r>
        <w:rPr>
          <w:rFonts w:ascii="Times New Roman" w:hAnsi="Times New Roman" w:cs="Times New Roman"/>
          <w:b/>
          <w:bCs/>
          <w:sz w:val="24"/>
          <w:szCs w:val="24"/>
        </w:rPr>
        <w:t>tercero</w:t>
      </w:r>
      <w:r>
        <w:rPr>
          <w:rFonts w:ascii="Times New Roman" w:hAnsi="Times New Roman" w:cs="Times New Roman"/>
          <w:sz w:val="24"/>
          <w:szCs w:val="24"/>
        </w:rPr>
        <w:t>, dados los grupos de pacientes críticos y pacientes críticos crónicos, se verifica  que la tasa de mortalidad en UCI para los primeros es superior a la tasa de mortalidad en UCI para los segundos.</w:t>
      </w:r>
    </w:p>
    <w:p w14:paraId="28EE54DE" w14:textId="371D1B3F" w:rsidR="003F0B19" w:rsidRPr="003F0B19" w:rsidRDefault="00A80E0A" w:rsidP="003F0B19">
      <w:pPr>
        <w:ind w:firstLine="284"/>
        <w:jc w:val="both"/>
        <w:rPr>
          <w:rFonts w:ascii="Times New Roman" w:hAnsi="Times New Roman" w:cs="Times New Roman"/>
          <w:sz w:val="24"/>
          <w:szCs w:val="24"/>
        </w:rPr>
      </w:pPr>
      <w:r>
        <w:rPr>
          <w:rFonts w:ascii="Times New Roman" w:hAnsi="Times New Roman" w:cs="Times New Roman"/>
          <w:sz w:val="24"/>
          <w:szCs w:val="24"/>
        </w:rPr>
        <w:t>(Nota: puesto que el párrafo recoge los resultados generales de la sección anterior, se prescinde de referencias)</w:t>
      </w:r>
      <w:r w:rsidR="003F0B19" w:rsidRPr="003F0B19">
        <w:rPr>
          <w:rFonts w:ascii="Times New Roman" w:hAnsi="Times New Roman" w:cs="Times New Roman"/>
          <w:sz w:val="24"/>
          <w:szCs w:val="24"/>
        </w:rPr>
        <w:t xml:space="preserve"> </w:t>
      </w:r>
    </w:p>
    <w:p w14:paraId="0886D1FF" w14:textId="5A3AA003" w:rsidR="00A80E0A" w:rsidRPr="00A80E0A" w:rsidRDefault="00A80E0A" w:rsidP="00A80E0A">
      <w:pPr>
        <w:ind w:firstLine="284"/>
        <w:jc w:val="both"/>
        <w:rPr>
          <w:rFonts w:ascii="Times New Roman" w:hAnsi="Times New Roman" w:cs="Times New Roman"/>
          <w:sz w:val="24"/>
          <w:szCs w:val="24"/>
        </w:rPr>
      </w:pPr>
    </w:p>
    <w:p w14:paraId="2054E3F4" w14:textId="0E8D1FBD" w:rsidR="00547F67" w:rsidRDefault="00A80E0A" w:rsidP="00223BCA">
      <w:pPr>
        <w:jc w:val="both"/>
        <w:rPr>
          <w:rFonts w:ascii="Times New Roman" w:hAnsi="Times New Roman" w:cs="Times New Roman"/>
          <w:b/>
          <w:bCs/>
          <w:sz w:val="24"/>
          <w:szCs w:val="24"/>
        </w:rPr>
      </w:pPr>
      <w:r>
        <w:rPr>
          <w:rFonts w:ascii="Times New Roman" w:hAnsi="Times New Roman" w:cs="Times New Roman"/>
          <w:b/>
          <w:bCs/>
          <w:sz w:val="24"/>
          <w:szCs w:val="24"/>
        </w:rPr>
        <w:t>Segunda observación [</w:t>
      </w:r>
      <w:r w:rsidR="00E7019A">
        <w:rPr>
          <w:rFonts w:ascii="Times New Roman" w:hAnsi="Times New Roman" w:cs="Times New Roman"/>
          <w:b/>
          <w:bCs/>
          <w:sz w:val="24"/>
          <w:szCs w:val="24"/>
        </w:rPr>
        <w:t>El sexo no es factor de riesgo</w:t>
      </w:r>
      <w:r>
        <w:rPr>
          <w:rFonts w:ascii="Times New Roman" w:hAnsi="Times New Roman" w:cs="Times New Roman"/>
          <w:b/>
          <w:bCs/>
          <w:sz w:val="24"/>
          <w:szCs w:val="24"/>
        </w:rPr>
        <w:t>]:</w:t>
      </w:r>
    </w:p>
    <w:p w14:paraId="5E5B75FE" w14:textId="6CC9F951" w:rsidR="003F0B19" w:rsidRDefault="003F0B19" w:rsidP="003F0B19">
      <w:pPr>
        <w:ind w:firstLine="284"/>
        <w:jc w:val="both"/>
        <w:rPr>
          <w:rFonts w:ascii="Times New Roman" w:hAnsi="Times New Roman" w:cs="Times New Roman"/>
          <w:sz w:val="24"/>
          <w:szCs w:val="24"/>
        </w:rPr>
      </w:pPr>
      <w:r>
        <w:rPr>
          <w:rFonts w:ascii="Times New Roman" w:hAnsi="Times New Roman" w:cs="Times New Roman"/>
          <w:sz w:val="24"/>
          <w:szCs w:val="24"/>
        </w:rPr>
        <w:t>En consonancia con estudios anteriores [17 - 18] y revisiones sistemáticas [19], s</w:t>
      </w:r>
      <w:r w:rsidRPr="003F0B19">
        <w:rPr>
          <w:rFonts w:ascii="Times New Roman" w:hAnsi="Times New Roman" w:cs="Times New Roman"/>
          <w:sz w:val="24"/>
          <w:szCs w:val="24"/>
        </w:rPr>
        <w:t>e ha verificado</w:t>
      </w:r>
      <w:r>
        <w:rPr>
          <w:rFonts w:ascii="Times New Roman" w:hAnsi="Times New Roman" w:cs="Times New Roman"/>
          <w:sz w:val="24"/>
          <w:szCs w:val="24"/>
        </w:rPr>
        <w:t xml:space="preserve"> </w:t>
      </w:r>
      <w:r w:rsidRPr="003F0B19">
        <w:rPr>
          <w:rFonts w:ascii="Times New Roman" w:hAnsi="Times New Roman" w:cs="Times New Roman"/>
          <w:sz w:val="24"/>
          <w:szCs w:val="24"/>
        </w:rPr>
        <w:t>que</w:t>
      </w:r>
      <w:r>
        <w:rPr>
          <w:rFonts w:ascii="Times New Roman" w:hAnsi="Times New Roman" w:cs="Times New Roman"/>
          <w:sz w:val="24"/>
          <w:szCs w:val="24"/>
        </w:rPr>
        <w:t xml:space="preserve"> </w:t>
      </w:r>
      <w:r w:rsidRPr="003F0B19">
        <w:rPr>
          <w:rFonts w:ascii="Times New Roman" w:hAnsi="Times New Roman" w:cs="Times New Roman"/>
          <w:sz w:val="24"/>
          <w:szCs w:val="24"/>
        </w:rPr>
        <w:t>los pacientes de sexo masculino muestran una menor probabilidad de sobrevivir en UCI</w:t>
      </w:r>
      <w:r>
        <w:rPr>
          <w:rFonts w:ascii="Times New Roman" w:hAnsi="Times New Roman" w:cs="Times New Roman"/>
          <w:sz w:val="24"/>
          <w:szCs w:val="24"/>
        </w:rPr>
        <w:t>. Existen dos tesis ampliamente difundidas que explican, en general, la relación entre el sexo y un desenlace desfavorable en UCI: primero, se ha argüido que la pato-fisiología de la infección por COVID-19 puede diferir según el sexo del paciente. Estudios anteriores sostienen que, en general, las mujeres y los hombres difieren en su susceptibilidad y respuesta a las infecciones virales, lo cual conduce a diferencias en la prevalencia, la respuesta inmune, la severidad y el desenlace de la enfermedad (Klein and Huber (2009). Nota al pie de página). En segundo lugar, estudios tempranos arguyeron que los desenlaces desfavorables de pacientes de COVID-19 podrían estar relaciona</w:t>
      </w:r>
      <w:r w:rsidR="0086757F">
        <w:rPr>
          <w:rFonts w:ascii="Times New Roman" w:hAnsi="Times New Roman" w:cs="Times New Roman"/>
          <w:sz w:val="24"/>
          <w:szCs w:val="24"/>
        </w:rPr>
        <w:t xml:space="preserve">dos con comorbilidad (a saber, hipertensión, enfermedad cardiovascular y enfermedad </w:t>
      </w:r>
      <w:proofErr w:type="spellStart"/>
      <w:r w:rsidR="0086757F">
        <w:rPr>
          <w:rFonts w:ascii="Times New Roman" w:hAnsi="Times New Roman" w:cs="Times New Roman"/>
          <w:sz w:val="24"/>
          <w:szCs w:val="24"/>
        </w:rPr>
        <w:t>pulmonres</w:t>
      </w:r>
      <w:proofErr w:type="spellEnd"/>
      <w:r w:rsidR="0086757F">
        <w:rPr>
          <w:rFonts w:ascii="Times New Roman" w:hAnsi="Times New Roman" w:cs="Times New Roman"/>
          <w:sz w:val="24"/>
          <w:szCs w:val="24"/>
        </w:rPr>
        <w:t xml:space="preserve">---, las cuales son, en general, más prevalentes en los hombres [CITA]. Una observación similar valdría decirse sobre los comportamientos como el fumar y beber (CITA). No obstante, una investigación podría proporcionar argumentos en favor de la primera hipótesis en la medida en que verifican que, con independencia de la severidad de la enfermedad, la obesidad, la terapia administrada y el país del caso, la asociación entre el sexo y el desenlace de la UCI se conserva.  </w:t>
      </w:r>
    </w:p>
    <w:bookmarkEnd w:id="0"/>
    <w:p w14:paraId="7C7AAEE3" w14:textId="77777777" w:rsidR="0086757F" w:rsidRDefault="0086757F" w:rsidP="003F0B19">
      <w:pPr>
        <w:ind w:firstLine="284"/>
        <w:jc w:val="both"/>
        <w:rPr>
          <w:rFonts w:ascii="Times New Roman" w:hAnsi="Times New Roman" w:cs="Times New Roman"/>
          <w:sz w:val="24"/>
          <w:szCs w:val="24"/>
        </w:rPr>
      </w:pPr>
    </w:p>
    <w:p w14:paraId="16D2217D" w14:textId="77777777" w:rsidR="0086757F" w:rsidRDefault="0086757F" w:rsidP="003F0B19">
      <w:pPr>
        <w:ind w:firstLine="284"/>
        <w:jc w:val="both"/>
        <w:rPr>
          <w:rFonts w:ascii="Times New Roman" w:hAnsi="Times New Roman" w:cs="Times New Roman"/>
          <w:sz w:val="24"/>
          <w:szCs w:val="24"/>
        </w:rPr>
      </w:pPr>
    </w:p>
    <w:p w14:paraId="72AB1A66" w14:textId="09943C18" w:rsidR="003F0B19" w:rsidRPr="003F0B19" w:rsidRDefault="003F0B19" w:rsidP="003F0B19">
      <w:pPr>
        <w:ind w:firstLine="284"/>
        <w:jc w:val="both"/>
        <w:rPr>
          <w:rFonts w:ascii="Times New Roman" w:hAnsi="Times New Roman" w:cs="Times New Roman"/>
          <w:sz w:val="24"/>
          <w:szCs w:val="24"/>
          <w:lang w:val="en-US"/>
        </w:rPr>
      </w:pPr>
      <w:r w:rsidRPr="00F3546F">
        <w:rPr>
          <w:rFonts w:ascii="Times New Roman" w:hAnsi="Times New Roman" w:cs="Times New Roman"/>
          <w:sz w:val="24"/>
          <w:szCs w:val="24"/>
        </w:rPr>
        <w:t>Explican que los desenlaces adversos del COVID-19 están relacionados con comorbilidad ---incluyendo hipertensión, enfermedad cardiovascular y enfermedad pulmonar---, condiciones que son, en general, más prevalentes en hombres</w:t>
      </w:r>
      <w:r>
        <w:rPr>
          <w:rFonts w:ascii="Times New Roman" w:hAnsi="Times New Roman" w:cs="Times New Roman"/>
          <w:sz w:val="24"/>
          <w:szCs w:val="24"/>
        </w:rPr>
        <w:t xml:space="preserve">. </w:t>
      </w:r>
      <w:r w:rsidRPr="00485E66">
        <w:rPr>
          <w:rFonts w:ascii="Times New Roman" w:hAnsi="Times New Roman" w:cs="Times New Roman"/>
          <w:sz w:val="24"/>
          <w:szCs w:val="24"/>
          <w:lang w:val="en-US"/>
        </w:rPr>
        <w:t xml:space="preserve">Smoking and </w:t>
      </w:r>
      <w:r w:rsidRPr="00485E66">
        <w:rPr>
          <w:rFonts w:ascii="Times New Roman" w:hAnsi="Times New Roman" w:cs="Times New Roman"/>
          <w:sz w:val="24"/>
          <w:szCs w:val="24"/>
          <w:lang w:val="en-US"/>
        </w:rPr>
        <w:lastRenderedPageBreak/>
        <w:t>drinking rates are higher among men than women worldwide. Such behaviors are associated with the risk of developing comorbidities [16</w:t>
      </w:r>
      <w:proofErr w:type="gramStart"/>
      <w:r w:rsidRPr="00485E66">
        <w:rPr>
          <w:rFonts w:ascii="Times New Roman" w:hAnsi="Times New Roman" w:cs="Times New Roman"/>
          <w:sz w:val="24"/>
          <w:szCs w:val="24"/>
          <w:lang w:val="en-US"/>
        </w:rPr>
        <w:t>]..</w:t>
      </w:r>
      <w:proofErr w:type="gramEnd"/>
    </w:p>
    <w:p w14:paraId="3E49E1E5" w14:textId="77777777" w:rsidR="00547F67" w:rsidRPr="003F0B19" w:rsidRDefault="00547F67" w:rsidP="00547F67">
      <w:pPr>
        <w:pStyle w:val="Prrafodelista"/>
        <w:ind w:left="360"/>
        <w:jc w:val="both"/>
        <w:rPr>
          <w:rFonts w:ascii="Times New Roman" w:hAnsi="Times New Roman" w:cs="Times New Roman"/>
          <w:sz w:val="24"/>
          <w:szCs w:val="24"/>
          <w:lang w:val="en-US"/>
        </w:rPr>
      </w:pPr>
    </w:p>
    <w:p w14:paraId="38B6FCC7" w14:textId="57930594" w:rsidR="002D53B0" w:rsidRDefault="002D53B0" w:rsidP="00547F67">
      <w:pPr>
        <w:pStyle w:val="Prrafodelista"/>
        <w:ind w:left="360"/>
        <w:jc w:val="both"/>
        <w:rPr>
          <w:rFonts w:ascii="Times New Roman" w:hAnsi="Times New Roman" w:cs="Times New Roman"/>
          <w:sz w:val="24"/>
          <w:szCs w:val="24"/>
        </w:rPr>
      </w:pPr>
      <w:r w:rsidRPr="00547F67">
        <w:rPr>
          <w:rFonts w:ascii="Times New Roman" w:hAnsi="Times New Roman" w:cs="Times New Roman"/>
          <w:sz w:val="24"/>
          <w:szCs w:val="24"/>
        </w:rPr>
        <w:t>Dos explicaciones plausibles a la brecha de sexo:</w:t>
      </w:r>
    </w:p>
    <w:p w14:paraId="4F7A5804" w14:textId="77777777" w:rsidR="00547F67" w:rsidRPr="00547F67" w:rsidRDefault="00547F67" w:rsidP="00547F67">
      <w:pPr>
        <w:pStyle w:val="Prrafodelista"/>
        <w:ind w:left="360"/>
        <w:jc w:val="both"/>
        <w:rPr>
          <w:rFonts w:ascii="Times New Roman" w:hAnsi="Times New Roman" w:cs="Times New Roman"/>
          <w:sz w:val="24"/>
          <w:szCs w:val="24"/>
        </w:rPr>
      </w:pPr>
    </w:p>
    <w:p w14:paraId="0054FF23" w14:textId="62D28A81" w:rsidR="002D53B0" w:rsidRPr="00485E66" w:rsidRDefault="002D53B0" w:rsidP="00F3546F">
      <w:pPr>
        <w:pStyle w:val="Prrafodelista"/>
        <w:numPr>
          <w:ilvl w:val="0"/>
          <w:numId w:val="1"/>
        </w:numPr>
        <w:jc w:val="both"/>
        <w:rPr>
          <w:rFonts w:ascii="Times New Roman" w:hAnsi="Times New Roman" w:cs="Times New Roman"/>
          <w:sz w:val="24"/>
          <w:szCs w:val="24"/>
        </w:rPr>
      </w:pPr>
      <w:r w:rsidRPr="00F3546F">
        <w:rPr>
          <w:rFonts w:ascii="Times New Roman" w:hAnsi="Times New Roman" w:cs="Times New Roman"/>
          <w:b/>
          <w:bCs/>
          <w:sz w:val="24"/>
          <w:szCs w:val="24"/>
        </w:rPr>
        <w:t xml:space="preserve">Explicación pato-fisiológica: </w:t>
      </w:r>
      <w:r w:rsidR="00F3546F" w:rsidRPr="00F3546F">
        <w:rPr>
          <w:rFonts w:ascii="Times New Roman" w:hAnsi="Times New Roman" w:cs="Times New Roman"/>
          <w:sz w:val="24"/>
          <w:szCs w:val="24"/>
        </w:rPr>
        <w:t>una explicación alternativa radica en la tesis según la cual la pato-fisiología de la infección por COVID-19 puede diferir según el sexo del paciente. Se arguye que, puesto que varios genes involucrados en la respuesta inmunológica de la infección están en el cromosoma X, la constitución genética XX y XY puede contribuir potencialmente a la severidad del COVID-19. Las mujeres muestran una respuesta inmune más rápida y agresiva con un menor grado de inflamación sistémica, lo cual facilita la eliminación del virus.</w:t>
      </w:r>
      <w:r w:rsidR="00485E66">
        <w:rPr>
          <w:rFonts w:ascii="Times New Roman" w:hAnsi="Times New Roman" w:cs="Times New Roman"/>
          <w:sz w:val="24"/>
          <w:szCs w:val="24"/>
        </w:rPr>
        <w:t xml:space="preserve"> </w:t>
      </w:r>
      <w:r w:rsidR="00485E66" w:rsidRPr="00485E66">
        <w:rPr>
          <w:rFonts w:ascii="Times New Roman" w:hAnsi="Times New Roman" w:cs="Times New Roman"/>
          <w:sz w:val="24"/>
          <w:szCs w:val="24"/>
          <w:lang w:val="en-US"/>
        </w:rPr>
        <w:t xml:space="preserve">“Females and males differ in their susceptibility and re- </w:t>
      </w:r>
      <w:proofErr w:type="spellStart"/>
      <w:r w:rsidR="00485E66" w:rsidRPr="00485E66">
        <w:rPr>
          <w:rFonts w:ascii="Times New Roman" w:hAnsi="Times New Roman" w:cs="Times New Roman"/>
          <w:sz w:val="24"/>
          <w:szCs w:val="24"/>
          <w:lang w:val="en-US"/>
        </w:rPr>
        <w:t>sponse</w:t>
      </w:r>
      <w:proofErr w:type="spellEnd"/>
      <w:r w:rsidR="00485E66" w:rsidRPr="00485E66">
        <w:rPr>
          <w:rFonts w:ascii="Times New Roman" w:hAnsi="Times New Roman" w:cs="Times New Roman"/>
          <w:sz w:val="24"/>
          <w:szCs w:val="24"/>
          <w:lang w:val="en-US"/>
        </w:rPr>
        <w:t xml:space="preserve"> to viral infections, leading to sex differences in incidence and disease severity”</w:t>
      </w:r>
      <w:r w:rsidR="00485E66">
        <w:rPr>
          <w:rFonts w:ascii="Times New Roman" w:hAnsi="Times New Roman" w:cs="Times New Roman"/>
          <w:sz w:val="24"/>
          <w:szCs w:val="24"/>
          <w:lang w:val="en-US"/>
        </w:rPr>
        <w:t xml:space="preserve"> (</w:t>
      </w:r>
      <w:r w:rsidR="00485E66" w:rsidRPr="00485E66">
        <w:rPr>
          <w:rFonts w:ascii="Times New Roman" w:hAnsi="Times New Roman" w:cs="Times New Roman"/>
          <w:sz w:val="24"/>
          <w:szCs w:val="24"/>
          <w:lang w:val="en-US"/>
        </w:rPr>
        <w:t xml:space="preserve">Klein SL, Huber S. Sex differences in susceptibility to viral infection. In: Klein SL, Roberts CW, editors. Sex Hormones and Immunity to Infection. </w:t>
      </w:r>
      <w:proofErr w:type="spellStart"/>
      <w:r w:rsidR="00485E66" w:rsidRPr="00485E66">
        <w:rPr>
          <w:rFonts w:ascii="Times New Roman" w:hAnsi="Times New Roman" w:cs="Times New Roman"/>
          <w:sz w:val="24"/>
          <w:szCs w:val="24"/>
        </w:rPr>
        <w:t>Berlin</w:t>
      </w:r>
      <w:proofErr w:type="spellEnd"/>
      <w:r w:rsidR="00485E66" w:rsidRPr="00485E66">
        <w:rPr>
          <w:rFonts w:ascii="Times New Roman" w:hAnsi="Times New Roman" w:cs="Times New Roman"/>
          <w:sz w:val="24"/>
          <w:szCs w:val="24"/>
        </w:rPr>
        <w:t>: Springer-</w:t>
      </w:r>
      <w:proofErr w:type="spellStart"/>
      <w:r w:rsidR="00485E66" w:rsidRPr="00485E66">
        <w:rPr>
          <w:rFonts w:ascii="Times New Roman" w:hAnsi="Times New Roman" w:cs="Times New Roman"/>
          <w:sz w:val="24"/>
          <w:szCs w:val="24"/>
        </w:rPr>
        <w:t>Verlag</w:t>
      </w:r>
      <w:proofErr w:type="spellEnd"/>
      <w:r w:rsidR="00485E66" w:rsidRPr="00485E66">
        <w:rPr>
          <w:rFonts w:ascii="Times New Roman" w:hAnsi="Times New Roman" w:cs="Times New Roman"/>
          <w:sz w:val="24"/>
          <w:szCs w:val="24"/>
        </w:rPr>
        <w:t>; 2009; También se debería citar el texto de</w:t>
      </w:r>
      <w:r w:rsidR="00485E66">
        <w:rPr>
          <w:rFonts w:ascii="Times New Roman" w:hAnsi="Times New Roman" w:cs="Times New Roman"/>
          <w:sz w:val="24"/>
          <w:szCs w:val="24"/>
        </w:rPr>
        <w:t xml:space="preserve"> </w:t>
      </w:r>
      <w:proofErr w:type="spellStart"/>
      <w:r w:rsidR="00485E66">
        <w:rPr>
          <w:rFonts w:ascii="Times New Roman" w:hAnsi="Times New Roman" w:cs="Times New Roman"/>
          <w:sz w:val="24"/>
          <w:szCs w:val="24"/>
        </w:rPr>
        <w:t>Gebhard</w:t>
      </w:r>
      <w:proofErr w:type="spellEnd"/>
      <w:r w:rsidR="00485E66">
        <w:rPr>
          <w:rFonts w:ascii="Times New Roman" w:hAnsi="Times New Roman" w:cs="Times New Roman"/>
          <w:sz w:val="24"/>
          <w:szCs w:val="24"/>
        </w:rPr>
        <w:t xml:space="preserve">: “sex </w:t>
      </w:r>
      <w:proofErr w:type="spellStart"/>
      <w:r w:rsidR="00485E66">
        <w:rPr>
          <w:rFonts w:ascii="Times New Roman" w:hAnsi="Times New Roman" w:cs="Times New Roman"/>
          <w:sz w:val="24"/>
          <w:szCs w:val="24"/>
        </w:rPr>
        <w:t>differences</w:t>
      </w:r>
      <w:proofErr w:type="spellEnd"/>
      <w:r w:rsidR="00485E66">
        <w:rPr>
          <w:rFonts w:ascii="Times New Roman" w:hAnsi="Times New Roman" w:cs="Times New Roman"/>
          <w:sz w:val="24"/>
          <w:szCs w:val="24"/>
        </w:rPr>
        <w:t xml:space="preserve"> in adverse </w:t>
      </w:r>
      <w:proofErr w:type="spellStart"/>
      <w:r w:rsidR="00485E66">
        <w:rPr>
          <w:rFonts w:ascii="Times New Roman" w:hAnsi="Times New Roman" w:cs="Times New Roman"/>
          <w:sz w:val="24"/>
          <w:szCs w:val="24"/>
        </w:rPr>
        <w:t>reactions</w:t>
      </w:r>
      <w:proofErr w:type="spellEnd"/>
      <w:r w:rsidR="00485E66">
        <w:rPr>
          <w:rFonts w:ascii="Times New Roman" w:hAnsi="Times New Roman" w:cs="Times New Roman"/>
          <w:sz w:val="24"/>
          <w:szCs w:val="24"/>
        </w:rPr>
        <w:t xml:space="preserve">, </w:t>
      </w:r>
      <w:proofErr w:type="spellStart"/>
      <w:r w:rsidR="00485E66">
        <w:rPr>
          <w:rFonts w:ascii="Times New Roman" w:hAnsi="Times New Roman" w:cs="Times New Roman"/>
          <w:sz w:val="24"/>
          <w:szCs w:val="24"/>
        </w:rPr>
        <w:t>immune</w:t>
      </w:r>
      <w:proofErr w:type="spellEnd"/>
      <w:r w:rsidR="00485E66">
        <w:rPr>
          <w:rFonts w:ascii="Times New Roman" w:hAnsi="Times New Roman" w:cs="Times New Roman"/>
          <w:sz w:val="24"/>
          <w:szCs w:val="24"/>
        </w:rPr>
        <w:t xml:space="preserve"> responses</w:t>
      </w:r>
      <w:r w:rsidR="00485E66" w:rsidRPr="00485E66">
        <w:rPr>
          <w:rFonts w:ascii="Times New Roman" w:hAnsi="Times New Roman" w:cs="Times New Roman"/>
          <w:sz w:val="24"/>
          <w:szCs w:val="24"/>
        </w:rPr>
        <w:t>)</w:t>
      </w:r>
    </w:p>
    <w:p w14:paraId="6833D9F0" w14:textId="77777777" w:rsidR="00F3546F" w:rsidRPr="00485E66" w:rsidRDefault="00F3546F" w:rsidP="00F3546F">
      <w:pPr>
        <w:pStyle w:val="Prrafodelista"/>
        <w:jc w:val="both"/>
        <w:rPr>
          <w:rFonts w:ascii="Times New Roman" w:hAnsi="Times New Roman" w:cs="Times New Roman"/>
          <w:sz w:val="24"/>
          <w:szCs w:val="24"/>
        </w:rPr>
      </w:pPr>
    </w:p>
    <w:p w14:paraId="676F602C" w14:textId="31CC169A" w:rsidR="00547F67" w:rsidRPr="00547F67" w:rsidRDefault="002D53B0" w:rsidP="00D51D4C">
      <w:pPr>
        <w:pStyle w:val="Prrafodelista"/>
        <w:numPr>
          <w:ilvl w:val="0"/>
          <w:numId w:val="1"/>
        </w:numPr>
        <w:jc w:val="both"/>
        <w:rPr>
          <w:rFonts w:ascii="Times New Roman" w:hAnsi="Times New Roman" w:cs="Times New Roman"/>
          <w:b/>
          <w:bCs/>
          <w:sz w:val="24"/>
          <w:szCs w:val="24"/>
          <w:lang w:val="en-US"/>
        </w:rPr>
      </w:pPr>
      <w:r w:rsidRPr="00F3546F">
        <w:rPr>
          <w:rFonts w:ascii="Times New Roman" w:hAnsi="Times New Roman" w:cs="Times New Roman"/>
          <w:b/>
          <w:bCs/>
          <w:sz w:val="24"/>
          <w:szCs w:val="24"/>
        </w:rPr>
        <w:t xml:space="preserve">Explicación temprana: </w:t>
      </w:r>
      <w:r w:rsidRPr="00F3546F">
        <w:rPr>
          <w:rFonts w:ascii="Times New Roman" w:hAnsi="Times New Roman" w:cs="Times New Roman"/>
          <w:sz w:val="24"/>
          <w:szCs w:val="24"/>
        </w:rPr>
        <w:t xml:space="preserve">en su editorial de abril de 2020, </w:t>
      </w:r>
      <w:proofErr w:type="spellStart"/>
      <w:r w:rsidRPr="00F3546F">
        <w:rPr>
          <w:rFonts w:ascii="Times New Roman" w:hAnsi="Times New Roman" w:cs="Times New Roman"/>
          <w:sz w:val="24"/>
          <w:szCs w:val="24"/>
        </w:rPr>
        <w:t>The</w:t>
      </w:r>
      <w:proofErr w:type="spellEnd"/>
      <w:r w:rsidRPr="00F3546F">
        <w:rPr>
          <w:rFonts w:ascii="Times New Roman" w:hAnsi="Times New Roman" w:cs="Times New Roman"/>
          <w:sz w:val="24"/>
          <w:szCs w:val="24"/>
        </w:rPr>
        <w:t xml:space="preserve"> Lancet explica que, si bien no es claro si los hombres o las mujeres son más propensos a la infección, se ha verificado que más hombres mueren por COVID-19. Explican que los desenlaces adversos del COVID-19 están relacionados con comorbilidad ---incluyendo </w:t>
      </w:r>
      <w:bookmarkStart w:id="1" w:name="_Hlk135675814"/>
      <w:r w:rsidRPr="00F3546F">
        <w:rPr>
          <w:rFonts w:ascii="Times New Roman" w:hAnsi="Times New Roman" w:cs="Times New Roman"/>
          <w:sz w:val="24"/>
          <w:szCs w:val="24"/>
        </w:rPr>
        <w:t xml:space="preserve">hipertensión, enfermedad cardiovascular y enfermedad pulmonar---, </w:t>
      </w:r>
      <w:bookmarkEnd w:id="1"/>
      <w:r w:rsidRPr="00F3546F">
        <w:rPr>
          <w:rFonts w:ascii="Times New Roman" w:hAnsi="Times New Roman" w:cs="Times New Roman"/>
          <w:sz w:val="24"/>
          <w:szCs w:val="24"/>
        </w:rPr>
        <w:t>condiciones que son, en general, más prevalentes en hombres</w:t>
      </w:r>
      <w:r w:rsidR="00485E66">
        <w:rPr>
          <w:rFonts w:ascii="Times New Roman" w:hAnsi="Times New Roman" w:cs="Times New Roman"/>
          <w:sz w:val="24"/>
          <w:szCs w:val="24"/>
        </w:rPr>
        <w:t xml:space="preserve">. </w:t>
      </w:r>
      <w:r w:rsidR="00485E66" w:rsidRPr="00485E66">
        <w:rPr>
          <w:rFonts w:ascii="Times New Roman" w:hAnsi="Times New Roman" w:cs="Times New Roman"/>
          <w:sz w:val="24"/>
          <w:szCs w:val="24"/>
          <w:lang w:val="en-US"/>
        </w:rPr>
        <w:t>Smoking and drinking rates are higher among men than women worldwide. Such behaviors are associated with the risk of developing comorbidities [16].</w:t>
      </w:r>
      <w:r w:rsidR="0086757F">
        <w:rPr>
          <w:rFonts w:ascii="Times New Roman" w:hAnsi="Times New Roman" w:cs="Times New Roman"/>
          <w:sz w:val="24"/>
          <w:szCs w:val="24"/>
          <w:lang w:val="en-US"/>
        </w:rPr>
        <w:t xml:space="preserve"> </w:t>
      </w:r>
      <w:r w:rsidRPr="00485E66">
        <w:rPr>
          <w:rFonts w:ascii="Times New Roman" w:hAnsi="Times New Roman" w:cs="Times New Roman"/>
          <w:sz w:val="24"/>
          <w:szCs w:val="24"/>
          <w:lang w:val="en-US"/>
        </w:rPr>
        <w:t>(The Lancet [22]</w:t>
      </w:r>
      <w:r w:rsidR="00485E66" w:rsidRPr="00485E66">
        <w:rPr>
          <w:rFonts w:ascii="Times New Roman" w:hAnsi="Times New Roman" w:cs="Times New Roman"/>
          <w:sz w:val="24"/>
          <w:szCs w:val="24"/>
          <w:lang w:val="en-US"/>
        </w:rPr>
        <w:t xml:space="preserve">; Global, regional, and national incidence, prevalence, and years lived with disability for 354 diseases and injuries for 195 countries and territories, 1990- 2017: a systematic analysis for the global burden of disease study 2017. </w:t>
      </w:r>
      <w:r w:rsidR="00485E66" w:rsidRPr="00CE617C">
        <w:rPr>
          <w:rFonts w:ascii="Times New Roman" w:hAnsi="Times New Roman" w:cs="Times New Roman"/>
          <w:sz w:val="24"/>
          <w:szCs w:val="24"/>
        </w:rPr>
        <w:t>Lancet 2018;392(10159):1789-1858)</w:t>
      </w:r>
      <w:r w:rsidR="00CE617C" w:rsidRPr="00CE617C">
        <w:rPr>
          <w:rFonts w:ascii="Times New Roman" w:hAnsi="Times New Roman" w:cs="Times New Roman"/>
          <w:sz w:val="24"/>
          <w:szCs w:val="24"/>
        </w:rPr>
        <w:t xml:space="preserve">. ¿Cómo se refuta esto? La observación de </w:t>
      </w:r>
      <w:proofErr w:type="spellStart"/>
      <w:r w:rsidR="00CE617C" w:rsidRPr="00CE617C">
        <w:rPr>
          <w:rFonts w:ascii="Times New Roman" w:hAnsi="Times New Roman" w:cs="Times New Roman"/>
          <w:sz w:val="24"/>
          <w:szCs w:val="24"/>
        </w:rPr>
        <w:t>Meijs</w:t>
      </w:r>
      <w:proofErr w:type="spellEnd"/>
      <w:r w:rsidR="00CE617C" w:rsidRPr="00CE617C">
        <w:rPr>
          <w:rFonts w:ascii="Times New Roman" w:hAnsi="Times New Roman" w:cs="Times New Roman"/>
          <w:sz w:val="24"/>
          <w:szCs w:val="24"/>
        </w:rPr>
        <w:t>: s</w:t>
      </w:r>
      <w:r w:rsidR="00CE617C">
        <w:rPr>
          <w:rFonts w:ascii="Times New Roman" w:hAnsi="Times New Roman" w:cs="Times New Roman"/>
          <w:sz w:val="24"/>
          <w:szCs w:val="24"/>
        </w:rPr>
        <w:t>e ha verifica que, con independencia de la severidad de la enfermedad, la obesidad, la terapia administrada y el país del caso, la asociación entre el sexo y el desenlace de la UCI se conserva.</w:t>
      </w:r>
      <w:r w:rsidR="00765669">
        <w:rPr>
          <w:rFonts w:ascii="Times New Roman" w:hAnsi="Times New Roman" w:cs="Times New Roman"/>
          <w:sz w:val="24"/>
          <w:szCs w:val="24"/>
        </w:rPr>
        <w:t xml:space="preserve"> </w:t>
      </w:r>
      <w:r w:rsidR="00765669" w:rsidRPr="00765669">
        <w:rPr>
          <w:rFonts w:ascii="Times New Roman" w:hAnsi="Times New Roman" w:cs="Times New Roman"/>
          <w:sz w:val="24"/>
          <w:szCs w:val="24"/>
          <w:lang w:val="en-US"/>
        </w:rPr>
        <w:t>(</w:t>
      </w:r>
      <w:proofErr w:type="spellStart"/>
      <w:r w:rsidR="00765669" w:rsidRPr="00765669">
        <w:rPr>
          <w:rFonts w:ascii="Times New Roman" w:hAnsi="Times New Roman" w:cs="Times New Roman"/>
          <w:sz w:val="24"/>
          <w:szCs w:val="24"/>
          <w:lang w:val="en-US"/>
        </w:rPr>
        <w:t>Véase</w:t>
      </w:r>
      <w:proofErr w:type="spellEnd"/>
      <w:r w:rsidR="00765669" w:rsidRPr="00765669">
        <w:rPr>
          <w:rFonts w:ascii="Times New Roman" w:hAnsi="Times New Roman" w:cs="Times New Roman"/>
          <w:sz w:val="24"/>
          <w:szCs w:val="24"/>
          <w:lang w:val="en-US"/>
        </w:rPr>
        <w:t xml:space="preserve"> </w:t>
      </w:r>
      <w:proofErr w:type="spellStart"/>
      <w:r w:rsidR="00765669" w:rsidRPr="00765669">
        <w:rPr>
          <w:rFonts w:ascii="Times New Roman" w:hAnsi="Times New Roman" w:cs="Times New Roman"/>
          <w:sz w:val="24"/>
          <w:szCs w:val="24"/>
          <w:lang w:val="en-US"/>
        </w:rPr>
        <w:t>también</w:t>
      </w:r>
      <w:proofErr w:type="spellEnd"/>
      <w:r w:rsidR="00765669" w:rsidRPr="00765669">
        <w:rPr>
          <w:rFonts w:ascii="Times New Roman" w:hAnsi="Times New Roman" w:cs="Times New Roman"/>
          <w:sz w:val="24"/>
          <w:szCs w:val="24"/>
          <w:lang w:val="en-US"/>
        </w:rPr>
        <w:t xml:space="preserve"> </w:t>
      </w:r>
      <w:proofErr w:type="spellStart"/>
      <w:r w:rsidR="00765669" w:rsidRPr="00765669">
        <w:rPr>
          <w:rFonts w:ascii="Times New Roman" w:hAnsi="Times New Roman" w:cs="Times New Roman"/>
          <w:sz w:val="24"/>
          <w:szCs w:val="24"/>
          <w:lang w:val="en-US"/>
        </w:rPr>
        <w:t>esto</w:t>
      </w:r>
      <w:proofErr w:type="spellEnd"/>
      <w:r w:rsidR="00765669" w:rsidRPr="00765669">
        <w:rPr>
          <w:rFonts w:ascii="Times New Roman" w:hAnsi="Times New Roman" w:cs="Times New Roman"/>
          <w:sz w:val="24"/>
          <w:szCs w:val="24"/>
          <w:lang w:val="en-US"/>
        </w:rPr>
        <w:t>: Cai (2020). Sex difference and smoking predisposition i</w:t>
      </w:r>
      <w:r w:rsidR="00765669">
        <w:rPr>
          <w:rFonts w:ascii="Times New Roman" w:hAnsi="Times New Roman" w:cs="Times New Roman"/>
          <w:sz w:val="24"/>
          <w:szCs w:val="24"/>
          <w:lang w:val="en-US"/>
        </w:rPr>
        <w:t>n patients with COVID-19).</w:t>
      </w:r>
    </w:p>
    <w:p w14:paraId="64F8B5F3" w14:textId="77777777" w:rsidR="00547F67" w:rsidRDefault="00547F67" w:rsidP="00547F67">
      <w:pPr>
        <w:pStyle w:val="Prrafodelista"/>
        <w:jc w:val="both"/>
        <w:rPr>
          <w:rFonts w:ascii="Times New Roman" w:hAnsi="Times New Roman" w:cs="Times New Roman"/>
          <w:b/>
          <w:bCs/>
          <w:sz w:val="24"/>
          <w:szCs w:val="24"/>
          <w:lang w:val="en-US"/>
        </w:rPr>
      </w:pPr>
    </w:p>
    <w:p w14:paraId="5D3CE3DC" w14:textId="6C8F61B8" w:rsidR="00547F67" w:rsidRDefault="00D51D4C" w:rsidP="00547F67">
      <w:pPr>
        <w:pStyle w:val="Prrafodelista"/>
        <w:jc w:val="both"/>
        <w:rPr>
          <w:rFonts w:ascii="Times New Roman" w:hAnsi="Times New Roman" w:cs="Times New Roman"/>
          <w:sz w:val="24"/>
          <w:szCs w:val="24"/>
        </w:rPr>
      </w:pPr>
      <w:r w:rsidRPr="00547F67">
        <w:rPr>
          <w:rFonts w:ascii="Times New Roman" w:hAnsi="Times New Roman" w:cs="Times New Roman"/>
          <w:sz w:val="24"/>
          <w:szCs w:val="24"/>
        </w:rPr>
        <w:t>Estudios recientes arguyen en favor de la segunda tesis en la medida en que verifican que, con independencia de las demás variables, el sesgo del sexo se mantiene.</w:t>
      </w:r>
    </w:p>
    <w:p w14:paraId="7391FC54" w14:textId="77777777" w:rsidR="00547F67" w:rsidRPr="00547F67" w:rsidRDefault="00547F67" w:rsidP="00547F67">
      <w:pPr>
        <w:pStyle w:val="Prrafodelista"/>
        <w:jc w:val="both"/>
        <w:rPr>
          <w:rFonts w:ascii="Times New Roman" w:hAnsi="Times New Roman" w:cs="Times New Roman"/>
          <w:sz w:val="24"/>
          <w:szCs w:val="24"/>
        </w:rPr>
      </w:pPr>
    </w:p>
    <w:p w14:paraId="280E6E83" w14:textId="77777777" w:rsidR="00547F67" w:rsidRDefault="002D53B0" w:rsidP="00223BCA">
      <w:pPr>
        <w:pStyle w:val="Prrafodelista"/>
        <w:numPr>
          <w:ilvl w:val="0"/>
          <w:numId w:val="2"/>
        </w:numPr>
        <w:jc w:val="both"/>
        <w:rPr>
          <w:rFonts w:ascii="Times New Roman" w:hAnsi="Times New Roman" w:cs="Times New Roman"/>
          <w:sz w:val="24"/>
          <w:szCs w:val="24"/>
        </w:rPr>
      </w:pPr>
      <w:r w:rsidRPr="00547F67">
        <w:rPr>
          <w:rFonts w:ascii="Times New Roman" w:hAnsi="Times New Roman" w:cs="Times New Roman"/>
          <w:sz w:val="24"/>
          <w:szCs w:val="24"/>
        </w:rPr>
        <w:t>Nuestro estudio muestra, sin embargo, que la diferencia de la tasa de mortalidad en UCI según el sexo no es estadísticamente significativa</w:t>
      </w:r>
      <w:r w:rsidR="00D51D4C" w:rsidRPr="00547F67">
        <w:rPr>
          <w:rFonts w:ascii="Times New Roman" w:hAnsi="Times New Roman" w:cs="Times New Roman"/>
          <w:sz w:val="24"/>
          <w:szCs w:val="24"/>
        </w:rPr>
        <w:t>. La explicación de la diferencia poco significativa es la siguiente:</w:t>
      </w:r>
      <w:r w:rsidR="00072EA0" w:rsidRPr="00547F67">
        <w:rPr>
          <w:rFonts w:ascii="Times New Roman" w:hAnsi="Times New Roman" w:cs="Times New Roman"/>
          <w:sz w:val="24"/>
          <w:szCs w:val="24"/>
        </w:rPr>
        <w:t xml:space="preserve"> </w:t>
      </w:r>
      <w:r w:rsidR="00547F67" w:rsidRPr="00547F67">
        <w:rPr>
          <w:rFonts w:ascii="Times New Roman" w:hAnsi="Times New Roman" w:cs="Times New Roman"/>
          <w:sz w:val="24"/>
          <w:szCs w:val="24"/>
        </w:rPr>
        <w:t>el tamaño de la diferencia podría explicarse en una diferencia significativa de la prevalencia de otros factores de riesgo (tales como X, Y, Z) que, por la limitación de la información, no fueron considerados según el sexo.</w:t>
      </w:r>
    </w:p>
    <w:p w14:paraId="74070285" w14:textId="77777777" w:rsidR="00547F67" w:rsidRDefault="00547F67" w:rsidP="00547F67">
      <w:pPr>
        <w:pStyle w:val="Prrafodelista"/>
        <w:ind w:left="360"/>
        <w:jc w:val="both"/>
        <w:rPr>
          <w:rFonts w:ascii="Times New Roman" w:hAnsi="Times New Roman" w:cs="Times New Roman"/>
          <w:sz w:val="24"/>
          <w:szCs w:val="24"/>
        </w:rPr>
      </w:pPr>
    </w:p>
    <w:p w14:paraId="06142C52" w14:textId="4CB26CDC" w:rsidR="00AF7119" w:rsidRPr="00547F67" w:rsidRDefault="00AF7119" w:rsidP="00547F67">
      <w:pPr>
        <w:pStyle w:val="Prrafodelista"/>
        <w:ind w:left="360"/>
        <w:jc w:val="both"/>
        <w:rPr>
          <w:rFonts w:ascii="Times New Roman" w:hAnsi="Times New Roman" w:cs="Times New Roman"/>
          <w:sz w:val="24"/>
          <w:szCs w:val="24"/>
        </w:rPr>
      </w:pPr>
      <w:r w:rsidRPr="00547F67">
        <w:rPr>
          <w:rFonts w:ascii="Times New Roman" w:hAnsi="Times New Roman" w:cs="Times New Roman"/>
          <w:sz w:val="24"/>
          <w:szCs w:val="24"/>
        </w:rPr>
        <w:lastRenderedPageBreak/>
        <w:t>Nuestro estudio trabaja con las siguientes proporciones: mujeres en UCI (35.89%); hombres en UCI (64.11%). Esta es una distribución comparable con estudios globales --- para mujeres, va desde X% hasta Y%; y, para hombres, desde X% hasta Y%---. (Esto resultados tiene más sentido en términos de razón hombres-mujeres en UCI).</w:t>
      </w:r>
      <w:r w:rsidR="00485E66" w:rsidRPr="00547F67">
        <w:rPr>
          <w:rFonts w:ascii="Times New Roman" w:hAnsi="Times New Roman" w:cs="Times New Roman"/>
          <w:sz w:val="24"/>
          <w:szCs w:val="24"/>
        </w:rPr>
        <w:t xml:space="preserve"> Véase la siguiente tabla</w:t>
      </w:r>
      <w:r w:rsidR="00CE617C" w:rsidRPr="00547F67">
        <w:rPr>
          <w:rFonts w:ascii="Times New Roman" w:hAnsi="Times New Roman" w:cs="Times New Roman"/>
          <w:sz w:val="24"/>
          <w:szCs w:val="24"/>
        </w:rPr>
        <w:t xml:space="preserve"> (nótese que la prevalencia de hombres (o mujeres) es similar)</w:t>
      </w:r>
      <w:r w:rsidR="00485E66" w:rsidRPr="00547F67">
        <w:rPr>
          <w:rFonts w:ascii="Times New Roman" w:hAnsi="Times New Roman" w:cs="Times New Roman"/>
          <w:sz w:val="24"/>
          <w:szCs w:val="24"/>
        </w:rPr>
        <w:t>:</w:t>
      </w:r>
    </w:p>
    <w:p w14:paraId="484D4605" w14:textId="77777777" w:rsidR="00485E66" w:rsidRDefault="00485E66" w:rsidP="00223BCA">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547"/>
        <w:gridCol w:w="850"/>
        <w:gridCol w:w="994"/>
        <w:gridCol w:w="1643"/>
      </w:tblGrid>
      <w:tr w:rsidR="00485E66" w14:paraId="6299AEE6" w14:textId="49B6E67D" w:rsidTr="00547F67">
        <w:trPr>
          <w:jc w:val="center"/>
        </w:trPr>
        <w:tc>
          <w:tcPr>
            <w:tcW w:w="2547" w:type="dxa"/>
          </w:tcPr>
          <w:p w14:paraId="701810F9" w14:textId="5FC393D0" w:rsidR="00485E66" w:rsidRDefault="00485E66" w:rsidP="00223BCA">
            <w:pPr>
              <w:jc w:val="both"/>
              <w:rPr>
                <w:rFonts w:ascii="Times New Roman" w:hAnsi="Times New Roman" w:cs="Times New Roman"/>
                <w:sz w:val="24"/>
                <w:szCs w:val="24"/>
              </w:rPr>
            </w:pPr>
          </w:p>
        </w:tc>
        <w:tc>
          <w:tcPr>
            <w:tcW w:w="850" w:type="dxa"/>
          </w:tcPr>
          <w:p w14:paraId="6650181E" w14:textId="1877CEA3" w:rsidR="00485E66" w:rsidRDefault="00485E66" w:rsidP="00223BCA">
            <w:pPr>
              <w:jc w:val="both"/>
              <w:rPr>
                <w:rFonts w:ascii="Times New Roman" w:hAnsi="Times New Roman" w:cs="Times New Roman"/>
                <w:sz w:val="24"/>
                <w:szCs w:val="24"/>
              </w:rPr>
            </w:pPr>
            <w:r>
              <w:rPr>
                <w:rFonts w:ascii="Times New Roman" w:hAnsi="Times New Roman" w:cs="Times New Roman"/>
                <w:sz w:val="24"/>
                <w:szCs w:val="24"/>
              </w:rPr>
              <w:t>Male</w:t>
            </w:r>
          </w:p>
        </w:tc>
        <w:tc>
          <w:tcPr>
            <w:tcW w:w="994" w:type="dxa"/>
          </w:tcPr>
          <w:p w14:paraId="29BA13E3" w14:textId="7F4C6EE1" w:rsidR="00485E66" w:rsidRDefault="00485E66" w:rsidP="00223BCA">
            <w:pPr>
              <w:jc w:val="both"/>
              <w:rPr>
                <w:rFonts w:ascii="Times New Roman" w:hAnsi="Times New Roman" w:cs="Times New Roman"/>
                <w:sz w:val="24"/>
                <w:szCs w:val="24"/>
              </w:rPr>
            </w:pPr>
            <w:proofErr w:type="spellStart"/>
            <w:r>
              <w:rPr>
                <w:rFonts w:ascii="Times New Roman" w:hAnsi="Times New Roman" w:cs="Times New Roman"/>
                <w:sz w:val="24"/>
                <w:szCs w:val="24"/>
              </w:rPr>
              <w:t>Female</w:t>
            </w:r>
            <w:proofErr w:type="spellEnd"/>
          </w:p>
        </w:tc>
        <w:tc>
          <w:tcPr>
            <w:tcW w:w="1558" w:type="dxa"/>
          </w:tcPr>
          <w:p w14:paraId="08B51FBB" w14:textId="7868CEAB" w:rsidR="00485E66" w:rsidRDefault="00485E66" w:rsidP="00223BCA">
            <w:pPr>
              <w:jc w:val="both"/>
              <w:rPr>
                <w:rFonts w:ascii="Times New Roman" w:hAnsi="Times New Roman" w:cs="Times New Roman"/>
                <w:sz w:val="24"/>
                <w:szCs w:val="24"/>
              </w:rPr>
            </w:pPr>
            <w:r>
              <w:rPr>
                <w:rFonts w:ascii="Times New Roman" w:hAnsi="Times New Roman" w:cs="Times New Roman"/>
                <w:sz w:val="24"/>
                <w:szCs w:val="24"/>
              </w:rPr>
              <w:t>Ratio</w:t>
            </w:r>
            <w:r w:rsidR="00CE617C">
              <w:rPr>
                <w:rFonts w:ascii="Times New Roman" w:hAnsi="Times New Roman" w:cs="Times New Roman"/>
                <w:sz w:val="24"/>
                <w:szCs w:val="24"/>
              </w:rPr>
              <w:t xml:space="preserve"> (Male/</w:t>
            </w:r>
            <w:proofErr w:type="spellStart"/>
            <w:r w:rsidR="00CE617C">
              <w:rPr>
                <w:rFonts w:ascii="Times New Roman" w:hAnsi="Times New Roman" w:cs="Times New Roman"/>
                <w:sz w:val="24"/>
                <w:szCs w:val="24"/>
              </w:rPr>
              <w:t>Female</w:t>
            </w:r>
            <w:proofErr w:type="spellEnd"/>
            <w:r w:rsidR="00CE617C">
              <w:rPr>
                <w:rFonts w:ascii="Times New Roman" w:hAnsi="Times New Roman" w:cs="Times New Roman"/>
                <w:sz w:val="24"/>
                <w:szCs w:val="24"/>
              </w:rPr>
              <w:t>)</w:t>
            </w:r>
          </w:p>
        </w:tc>
      </w:tr>
      <w:tr w:rsidR="00485E66" w14:paraId="61253A0C" w14:textId="278F0601" w:rsidTr="00547F67">
        <w:trPr>
          <w:jc w:val="center"/>
        </w:trPr>
        <w:tc>
          <w:tcPr>
            <w:tcW w:w="2547" w:type="dxa"/>
          </w:tcPr>
          <w:p w14:paraId="3CD799AD" w14:textId="14CDA698" w:rsidR="00485E66" w:rsidRDefault="00CE617C" w:rsidP="00223BCA">
            <w:pPr>
              <w:jc w:val="both"/>
              <w:rPr>
                <w:rFonts w:ascii="Times New Roman" w:hAnsi="Times New Roman" w:cs="Times New Roman"/>
                <w:sz w:val="24"/>
                <w:szCs w:val="24"/>
              </w:rPr>
            </w:pPr>
            <w:proofErr w:type="spellStart"/>
            <w:r w:rsidRPr="001F3C3C">
              <w:rPr>
                <w:rFonts w:ascii="Times New Roman" w:hAnsi="Times New Roman" w:cs="Times New Roman"/>
                <w:sz w:val="24"/>
                <w:szCs w:val="24"/>
                <w:highlight w:val="yellow"/>
              </w:rPr>
              <w:t>Meijs</w:t>
            </w:r>
            <w:proofErr w:type="spellEnd"/>
            <w:r w:rsidRPr="001F3C3C">
              <w:rPr>
                <w:rFonts w:ascii="Times New Roman" w:hAnsi="Times New Roman" w:cs="Times New Roman"/>
                <w:sz w:val="24"/>
                <w:szCs w:val="24"/>
                <w:highlight w:val="yellow"/>
              </w:rPr>
              <w:t xml:space="preserve"> et al. (2022)</w:t>
            </w:r>
          </w:p>
        </w:tc>
        <w:tc>
          <w:tcPr>
            <w:tcW w:w="850" w:type="dxa"/>
          </w:tcPr>
          <w:p w14:paraId="362F5FCF" w14:textId="7F7CC272" w:rsidR="00485E66" w:rsidRDefault="00CE617C" w:rsidP="00223BCA">
            <w:pPr>
              <w:jc w:val="both"/>
              <w:rPr>
                <w:rFonts w:ascii="Times New Roman" w:hAnsi="Times New Roman" w:cs="Times New Roman"/>
                <w:sz w:val="24"/>
                <w:szCs w:val="24"/>
              </w:rPr>
            </w:pPr>
            <w:r>
              <w:rPr>
                <w:rFonts w:ascii="Times New Roman" w:hAnsi="Times New Roman" w:cs="Times New Roman"/>
                <w:sz w:val="24"/>
                <w:szCs w:val="24"/>
              </w:rPr>
              <w:t>398</w:t>
            </w:r>
          </w:p>
        </w:tc>
        <w:tc>
          <w:tcPr>
            <w:tcW w:w="994" w:type="dxa"/>
          </w:tcPr>
          <w:p w14:paraId="527B597F" w14:textId="5A5F2805" w:rsidR="00485E66" w:rsidRDefault="00CE617C" w:rsidP="00223BCA">
            <w:pPr>
              <w:jc w:val="both"/>
              <w:rPr>
                <w:rFonts w:ascii="Times New Roman" w:hAnsi="Times New Roman" w:cs="Times New Roman"/>
                <w:sz w:val="24"/>
                <w:szCs w:val="24"/>
              </w:rPr>
            </w:pPr>
            <w:r>
              <w:rPr>
                <w:rFonts w:ascii="Times New Roman" w:hAnsi="Times New Roman" w:cs="Times New Roman"/>
                <w:sz w:val="24"/>
                <w:szCs w:val="24"/>
              </w:rPr>
              <w:t>159</w:t>
            </w:r>
          </w:p>
        </w:tc>
        <w:tc>
          <w:tcPr>
            <w:tcW w:w="1558" w:type="dxa"/>
          </w:tcPr>
          <w:p w14:paraId="34E60943" w14:textId="518D0D19" w:rsidR="00485E66" w:rsidRDefault="00CE617C" w:rsidP="00223BCA">
            <w:pPr>
              <w:jc w:val="both"/>
              <w:rPr>
                <w:rFonts w:ascii="Times New Roman" w:hAnsi="Times New Roman" w:cs="Times New Roman"/>
                <w:sz w:val="24"/>
                <w:szCs w:val="24"/>
              </w:rPr>
            </w:pPr>
            <w:r>
              <w:rPr>
                <w:rFonts w:ascii="Times New Roman" w:hAnsi="Times New Roman" w:cs="Times New Roman"/>
                <w:sz w:val="24"/>
                <w:szCs w:val="24"/>
              </w:rPr>
              <w:t>2,5031</w:t>
            </w:r>
          </w:p>
        </w:tc>
      </w:tr>
      <w:tr w:rsidR="00485E66" w14:paraId="44DD04AB" w14:textId="77FE3251" w:rsidTr="00547F67">
        <w:trPr>
          <w:jc w:val="center"/>
        </w:trPr>
        <w:tc>
          <w:tcPr>
            <w:tcW w:w="2547" w:type="dxa"/>
          </w:tcPr>
          <w:p w14:paraId="6C30C130" w14:textId="6CF6E85F" w:rsidR="00485E66" w:rsidRDefault="00CE617C" w:rsidP="00223BCA">
            <w:pPr>
              <w:jc w:val="both"/>
              <w:rPr>
                <w:rFonts w:ascii="Times New Roman" w:hAnsi="Times New Roman" w:cs="Times New Roman"/>
                <w:sz w:val="24"/>
                <w:szCs w:val="24"/>
              </w:rPr>
            </w:pPr>
            <w:r>
              <w:rPr>
                <w:rFonts w:ascii="Times New Roman" w:hAnsi="Times New Roman" w:cs="Times New Roman"/>
                <w:sz w:val="24"/>
                <w:szCs w:val="24"/>
              </w:rPr>
              <w:t>Nuestro estudio</w:t>
            </w:r>
          </w:p>
        </w:tc>
        <w:tc>
          <w:tcPr>
            <w:tcW w:w="850" w:type="dxa"/>
          </w:tcPr>
          <w:p w14:paraId="25703EAF" w14:textId="707E1E0C" w:rsidR="00485E66" w:rsidRPr="00CE617C" w:rsidRDefault="00CE617C" w:rsidP="00223BCA">
            <w:pPr>
              <w:jc w:val="both"/>
              <w:rPr>
                <w:rFonts w:ascii="Times New Roman" w:hAnsi="Times New Roman" w:cs="Times New Roman"/>
                <w:sz w:val="24"/>
                <w:szCs w:val="24"/>
              </w:rPr>
            </w:pPr>
            <w:r w:rsidRPr="00CE617C">
              <w:rPr>
                <w:rFonts w:ascii="Times New Roman" w:hAnsi="Times New Roman" w:cs="Times New Roman"/>
                <w:sz w:val="24"/>
                <w:szCs w:val="24"/>
                <w:shd w:val="clear" w:color="auto" w:fill="FFFFFF"/>
              </w:rPr>
              <w:t>1247</w:t>
            </w:r>
          </w:p>
        </w:tc>
        <w:tc>
          <w:tcPr>
            <w:tcW w:w="994" w:type="dxa"/>
          </w:tcPr>
          <w:p w14:paraId="5E2176F2" w14:textId="12CB4409" w:rsidR="00485E66" w:rsidRPr="00CE617C" w:rsidRDefault="00CE617C" w:rsidP="00223BCA">
            <w:pPr>
              <w:jc w:val="both"/>
              <w:rPr>
                <w:rFonts w:ascii="Times New Roman" w:hAnsi="Times New Roman" w:cs="Times New Roman"/>
                <w:sz w:val="24"/>
                <w:szCs w:val="24"/>
              </w:rPr>
            </w:pPr>
            <w:r w:rsidRPr="00CE617C">
              <w:rPr>
                <w:rFonts w:ascii="Times New Roman" w:hAnsi="Times New Roman" w:cs="Times New Roman"/>
                <w:sz w:val="24"/>
                <w:szCs w:val="24"/>
              </w:rPr>
              <w:t>698</w:t>
            </w:r>
          </w:p>
        </w:tc>
        <w:tc>
          <w:tcPr>
            <w:tcW w:w="1558" w:type="dxa"/>
          </w:tcPr>
          <w:p w14:paraId="6DDD4B9A" w14:textId="543789B4" w:rsidR="00485E66" w:rsidRDefault="005E4071" w:rsidP="00223BCA">
            <w:pPr>
              <w:jc w:val="both"/>
              <w:rPr>
                <w:rFonts w:ascii="Times New Roman" w:hAnsi="Times New Roman" w:cs="Times New Roman"/>
                <w:sz w:val="24"/>
                <w:szCs w:val="24"/>
              </w:rPr>
            </w:pPr>
            <w:r w:rsidRPr="008D5E49">
              <w:rPr>
                <w:rFonts w:ascii="Times New Roman" w:hAnsi="Times New Roman" w:cs="Times New Roman"/>
                <w:sz w:val="24"/>
                <w:szCs w:val="24"/>
                <w:highlight w:val="cyan"/>
              </w:rPr>
              <w:t>1.7865</w:t>
            </w:r>
          </w:p>
        </w:tc>
      </w:tr>
      <w:tr w:rsidR="00CE617C" w14:paraId="14D38787" w14:textId="77777777" w:rsidTr="00547F67">
        <w:trPr>
          <w:jc w:val="center"/>
        </w:trPr>
        <w:tc>
          <w:tcPr>
            <w:tcW w:w="2547" w:type="dxa"/>
          </w:tcPr>
          <w:p w14:paraId="425E7DBD" w14:textId="24399D54" w:rsidR="00CE617C" w:rsidRDefault="00CE617C" w:rsidP="00223BCA">
            <w:pPr>
              <w:jc w:val="both"/>
              <w:rPr>
                <w:rFonts w:ascii="Times New Roman" w:hAnsi="Times New Roman" w:cs="Times New Roman"/>
                <w:sz w:val="24"/>
                <w:szCs w:val="24"/>
              </w:rPr>
            </w:pPr>
            <w:proofErr w:type="spellStart"/>
            <w:r>
              <w:rPr>
                <w:rFonts w:ascii="Times New Roman" w:hAnsi="Times New Roman" w:cs="Times New Roman"/>
                <w:sz w:val="24"/>
                <w:szCs w:val="24"/>
              </w:rPr>
              <w:t>Graselli</w:t>
            </w:r>
            <w:proofErr w:type="spellEnd"/>
            <w:r>
              <w:rPr>
                <w:rFonts w:ascii="Times New Roman" w:hAnsi="Times New Roman" w:cs="Times New Roman"/>
                <w:sz w:val="24"/>
                <w:szCs w:val="24"/>
              </w:rPr>
              <w:t xml:space="preserve"> et al. (2020)</w:t>
            </w:r>
          </w:p>
        </w:tc>
        <w:tc>
          <w:tcPr>
            <w:tcW w:w="850" w:type="dxa"/>
          </w:tcPr>
          <w:p w14:paraId="3E0A9B92" w14:textId="0A8807E8" w:rsidR="00CE617C" w:rsidRPr="00CE617C" w:rsidRDefault="00CE617C"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71.9</w:t>
            </w:r>
          </w:p>
        </w:tc>
        <w:tc>
          <w:tcPr>
            <w:tcW w:w="994" w:type="dxa"/>
          </w:tcPr>
          <w:p w14:paraId="37FEF6B2" w14:textId="5E6DDF45" w:rsidR="00CE617C" w:rsidRPr="00CE617C" w:rsidRDefault="00CE617C" w:rsidP="00223BCA">
            <w:pPr>
              <w:jc w:val="both"/>
              <w:rPr>
                <w:rFonts w:ascii="Times New Roman" w:hAnsi="Times New Roman" w:cs="Times New Roman"/>
                <w:sz w:val="24"/>
                <w:szCs w:val="24"/>
              </w:rPr>
            </w:pPr>
            <w:r>
              <w:rPr>
                <w:rFonts w:ascii="Times New Roman" w:hAnsi="Times New Roman" w:cs="Times New Roman"/>
                <w:sz w:val="24"/>
                <w:szCs w:val="24"/>
              </w:rPr>
              <w:t>28.1</w:t>
            </w:r>
          </w:p>
        </w:tc>
        <w:tc>
          <w:tcPr>
            <w:tcW w:w="1558" w:type="dxa"/>
          </w:tcPr>
          <w:p w14:paraId="4B4AEF84" w14:textId="795FE790" w:rsidR="00CE617C" w:rsidRDefault="00CE617C" w:rsidP="00223BCA">
            <w:pPr>
              <w:jc w:val="both"/>
              <w:rPr>
                <w:rFonts w:ascii="Times New Roman" w:hAnsi="Times New Roman" w:cs="Times New Roman"/>
                <w:sz w:val="24"/>
                <w:szCs w:val="24"/>
              </w:rPr>
            </w:pPr>
            <w:r>
              <w:rPr>
                <w:rFonts w:ascii="Times New Roman" w:hAnsi="Times New Roman" w:cs="Times New Roman"/>
                <w:sz w:val="24"/>
                <w:szCs w:val="24"/>
              </w:rPr>
              <w:t>2.5587</w:t>
            </w:r>
          </w:p>
        </w:tc>
      </w:tr>
      <w:tr w:rsidR="00CE617C" w14:paraId="41F66A2B" w14:textId="77777777" w:rsidTr="00547F67">
        <w:trPr>
          <w:jc w:val="center"/>
        </w:trPr>
        <w:tc>
          <w:tcPr>
            <w:tcW w:w="2547" w:type="dxa"/>
          </w:tcPr>
          <w:p w14:paraId="0FBB7FA0" w14:textId="39652CEF" w:rsidR="00CE617C" w:rsidRDefault="005E4071" w:rsidP="00223BCA">
            <w:pPr>
              <w:jc w:val="both"/>
              <w:rPr>
                <w:rFonts w:ascii="Times New Roman" w:hAnsi="Times New Roman" w:cs="Times New Roman"/>
                <w:sz w:val="24"/>
                <w:szCs w:val="24"/>
              </w:rPr>
            </w:pPr>
            <w:r>
              <w:rPr>
                <w:rFonts w:ascii="Times New Roman" w:hAnsi="Times New Roman" w:cs="Times New Roman"/>
                <w:sz w:val="24"/>
                <w:szCs w:val="24"/>
              </w:rPr>
              <w:t>Wang et al. (2020)</w:t>
            </w:r>
          </w:p>
        </w:tc>
        <w:tc>
          <w:tcPr>
            <w:tcW w:w="850" w:type="dxa"/>
          </w:tcPr>
          <w:p w14:paraId="271BE68E" w14:textId="2DC7AEA7" w:rsidR="00CE617C" w:rsidRPr="00CE617C" w:rsidRDefault="005E4071"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61.1</w:t>
            </w:r>
          </w:p>
        </w:tc>
        <w:tc>
          <w:tcPr>
            <w:tcW w:w="994" w:type="dxa"/>
          </w:tcPr>
          <w:p w14:paraId="7468AFB9" w14:textId="1CAE7CF4" w:rsidR="00CE617C" w:rsidRPr="00CE617C" w:rsidRDefault="005E4071" w:rsidP="00223BCA">
            <w:pPr>
              <w:jc w:val="both"/>
              <w:rPr>
                <w:rFonts w:ascii="Times New Roman" w:hAnsi="Times New Roman" w:cs="Times New Roman"/>
                <w:sz w:val="24"/>
                <w:szCs w:val="24"/>
              </w:rPr>
            </w:pPr>
            <w:r>
              <w:rPr>
                <w:rFonts w:ascii="Times New Roman" w:hAnsi="Times New Roman" w:cs="Times New Roman"/>
                <w:sz w:val="24"/>
                <w:szCs w:val="24"/>
              </w:rPr>
              <w:t>38.9</w:t>
            </w:r>
          </w:p>
        </w:tc>
        <w:tc>
          <w:tcPr>
            <w:tcW w:w="1558" w:type="dxa"/>
          </w:tcPr>
          <w:p w14:paraId="6F2A39C0" w14:textId="1D185476" w:rsidR="00CE617C" w:rsidRDefault="005E4071" w:rsidP="00223BCA">
            <w:pPr>
              <w:jc w:val="both"/>
              <w:rPr>
                <w:rFonts w:ascii="Times New Roman" w:hAnsi="Times New Roman" w:cs="Times New Roman"/>
                <w:sz w:val="24"/>
                <w:szCs w:val="24"/>
              </w:rPr>
            </w:pPr>
            <w:r w:rsidRPr="008D5E49">
              <w:rPr>
                <w:rFonts w:ascii="Times New Roman" w:hAnsi="Times New Roman" w:cs="Times New Roman"/>
                <w:sz w:val="24"/>
                <w:szCs w:val="24"/>
                <w:highlight w:val="cyan"/>
              </w:rPr>
              <w:t>1.5707</w:t>
            </w:r>
          </w:p>
        </w:tc>
      </w:tr>
      <w:tr w:rsidR="00CE617C" w14:paraId="3C83675F" w14:textId="77777777" w:rsidTr="00547F67">
        <w:trPr>
          <w:jc w:val="center"/>
        </w:trPr>
        <w:tc>
          <w:tcPr>
            <w:tcW w:w="2547" w:type="dxa"/>
          </w:tcPr>
          <w:p w14:paraId="23D5453A" w14:textId="295A0D3D" w:rsidR="00CE617C" w:rsidRDefault="005E4071" w:rsidP="00223BCA">
            <w:pPr>
              <w:jc w:val="both"/>
              <w:rPr>
                <w:rFonts w:ascii="Times New Roman" w:hAnsi="Times New Roman" w:cs="Times New Roman"/>
                <w:sz w:val="24"/>
                <w:szCs w:val="24"/>
              </w:rPr>
            </w:pPr>
            <w:proofErr w:type="spellStart"/>
            <w:r w:rsidRPr="001F3C3C">
              <w:rPr>
                <w:rFonts w:ascii="Times New Roman" w:hAnsi="Times New Roman" w:cs="Times New Roman"/>
                <w:sz w:val="24"/>
                <w:szCs w:val="24"/>
                <w:highlight w:val="yellow"/>
              </w:rPr>
              <w:t>Zappella</w:t>
            </w:r>
            <w:proofErr w:type="spellEnd"/>
            <w:r w:rsidRPr="001F3C3C">
              <w:rPr>
                <w:rFonts w:ascii="Times New Roman" w:hAnsi="Times New Roman" w:cs="Times New Roman"/>
                <w:sz w:val="24"/>
                <w:szCs w:val="24"/>
                <w:highlight w:val="yellow"/>
              </w:rPr>
              <w:t xml:space="preserve"> et al. (2022)</w:t>
            </w:r>
          </w:p>
        </w:tc>
        <w:tc>
          <w:tcPr>
            <w:tcW w:w="850" w:type="dxa"/>
          </w:tcPr>
          <w:p w14:paraId="47CD8162" w14:textId="150A7FB7" w:rsidR="00CE617C" w:rsidRPr="00CE617C" w:rsidRDefault="005E4071"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69.5</w:t>
            </w:r>
          </w:p>
        </w:tc>
        <w:tc>
          <w:tcPr>
            <w:tcW w:w="994" w:type="dxa"/>
          </w:tcPr>
          <w:p w14:paraId="31E97919" w14:textId="0A78EDA2" w:rsidR="00CE617C" w:rsidRPr="00CE617C" w:rsidRDefault="005E4071" w:rsidP="00223BCA">
            <w:pPr>
              <w:jc w:val="both"/>
              <w:rPr>
                <w:rFonts w:ascii="Times New Roman" w:hAnsi="Times New Roman" w:cs="Times New Roman"/>
                <w:sz w:val="24"/>
                <w:szCs w:val="24"/>
              </w:rPr>
            </w:pPr>
            <w:r>
              <w:rPr>
                <w:rFonts w:ascii="Times New Roman" w:hAnsi="Times New Roman" w:cs="Times New Roman"/>
                <w:sz w:val="24"/>
                <w:szCs w:val="24"/>
              </w:rPr>
              <w:t>30.5</w:t>
            </w:r>
          </w:p>
        </w:tc>
        <w:tc>
          <w:tcPr>
            <w:tcW w:w="1558" w:type="dxa"/>
          </w:tcPr>
          <w:p w14:paraId="64D78E85" w14:textId="06680300" w:rsidR="00CE617C" w:rsidRDefault="005E4071" w:rsidP="00223BCA">
            <w:pPr>
              <w:jc w:val="both"/>
              <w:rPr>
                <w:rFonts w:ascii="Times New Roman" w:hAnsi="Times New Roman" w:cs="Times New Roman"/>
                <w:sz w:val="24"/>
                <w:szCs w:val="24"/>
              </w:rPr>
            </w:pPr>
            <w:r>
              <w:rPr>
                <w:rFonts w:ascii="Times New Roman" w:hAnsi="Times New Roman" w:cs="Times New Roman"/>
                <w:sz w:val="24"/>
                <w:szCs w:val="24"/>
              </w:rPr>
              <w:t>2.2787</w:t>
            </w:r>
          </w:p>
        </w:tc>
      </w:tr>
      <w:tr w:rsidR="00CE617C" w14:paraId="067E4CB0" w14:textId="77777777" w:rsidTr="00547F67">
        <w:trPr>
          <w:jc w:val="center"/>
        </w:trPr>
        <w:tc>
          <w:tcPr>
            <w:tcW w:w="2547" w:type="dxa"/>
          </w:tcPr>
          <w:p w14:paraId="4C71A587" w14:textId="71D9A8E5" w:rsidR="00CE617C" w:rsidRPr="0042492D" w:rsidRDefault="001F3C3C" w:rsidP="00223BCA">
            <w:pPr>
              <w:jc w:val="both"/>
              <w:rPr>
                <w:rFonts w:ascii="Times New Roman" w:hAnsi="Times New Roman" w:cs="Times New Roman"/>
                <w:sz w:val="24"/>
                <w:szCs w:val="24"/>
                <w:highlight w:val="yellow"/>
              </w:rPr>
            </w:pPr>
            <w:r w:rsidRPr="0042492D">
              <w:rPr>
                <w:rFonts w:ascii="Times New Roman" w:hAnsi="Times New Roman" w:cs="Times New Roman"/>
                <w:sz w:val="24"/>
                <w:szCs w:val="24"/>
                <w:highlight w:val="yellow"/>
              </w:rPr>
              <w:t>Haase et al. (2021)</w:t>
            </w:r>
          </w:p>
        </w:tc>
        <w:tc>
          <w:tcPr>
            <w:tcW w:w="850" w:type="dxa"/>
          </w:tcPr>
          <w:p w14:paraId="3EE80D27" w14:textId="59E98C45" w:rsidR="00CE617C" w:rsidRPr="0042492D" w:rsidRDefault="0030725B" w:rsidP="00223BCA">
            <w:pPr>
              <w:jc w:val="both"/>
              <w:rPr>
                <w:rFonts w:ascii="Times New Roman" w:hAnsi="Times New Roman" w:cs="Times New Roman"/>
                <w:sz w:val="24"/>
                <w:szCs w:val="24"/>
                <w:shd w:val="clear" w:color="auto" w:fill="FFFFFF"/>
              </w:rPr>
            </w:pPr>
            <w:r w:rsidRPr="0042492D">
              <w:rPr>
                <w:rFonts w:ascii="Times New Roman" w:hAnsi="Times New Roman" w:cs="Times New Roman"/>
                <w:sz w:val="24"/>
                <w:szCs w:val="24"/>
                <w:shd w:val="clear" w:color="auto" w:fill="FFFFFF"/>
              </w:rPr>
              <w:t>239</w:t>
            </w:r>
          </w:p>
        </w:tc>
        <w:tc>
          <w:tcPr>
            <w:tcW w:w="994" w:type="dxa"/>
          </w:tcPr>
          <w:p w14:paraId="674D543A" w14:textId="0F3A9C41" w:rsidR="00CE617C" w:rsidRPr="0042492D" w:rsidRDefault="0030725B" w:rsidP="00223BCA">
            <w:pPr>
              <w:jc w:val="both"/>
              <w:rPr>
                <w:rFonts w:ascii="Times New Roman" w:hAnsi="Times New Roman" w:cs="Times New Roman"/>
                <w:sz w:val="24"/>
                <w:szCs w:val="24"/>
              </w:rPr>
            </w:pPr>
            <w:r w:rsidRPr="0042492D">
              <w:rPr>
                <w:rFonts w:ascii="Times New Roman" w:hAnsi="Times New Roman" w:cs="Times New Roman"/>
                <w:sz w:val="24"/>
                <w:szCs w:val="24"/>
              </w:rPr>
              <w:t>132</w:t>
            </w:r>
          </w:p>
        </w:tc>
        <w:tc>
          <w:tcPr>
            <w:tcW w:w="1558" w:type="dxa"/>
          </w:tcPr>
          <w:p w14:paraId="1CA524B7" w14:textId="32BE547B" w:rsidR="00CE617C" w:rsidRPr="0042492D" w:rsidRDefault="0030725B" w:rsidP="00223BCA">
            <w:pPr>
              <w:jc w:val="both"/>
              <w:rPr>
                <w:rFonts w:ascii="Times New Roman" w:hAnsi="Times New Roman" w:cs="Times New Roman"/>
                <w:sz w:val="24"/>
                <w:szCs w:val="24"/>
              </w:rPr>
            </w:pPr>
            <w:r w:rsidRPr="008D5E49">
              <w:rPr>
                <w:rFonts w:ascii="Times New Roman" w:hAnsi="Times New Roman" w:cs="Times New Roman"/>
                <w:sz w:val="24"/>
                <w:szCs w:val="24"/>
                <w:highlight w:val="cyan"/>
              </w:rPr>
              <w:t>1.81</w:t>
            </w:r>
          </w:p>
        </w:tc>
      </w:tr>
      <w:tr w:rsidR="00CE617C" w14:paraId="4233C031" w14:textId="77777777" w:rsidTr="00547F67">
        <w:trPr>
          <w:jc w:val="center"/>
        </w:trPr>
        <w:tc>
          <w:tcPr>
            <w:tcW w:w="2547" w:type="dxa"/>
          </w:tcPr>
          <w:p w14:paraId="67B239F2" w14:textId="7F736EC5" w:rsidR="00CE617C" w:rsidRDefault="0030725B" w:rsidP="00223BCA">
            <w:pPr>
              <w:jc w:val="both"/>
              <w:rPr>
                <w:rFonts w:ascii="Times New Roman" w:hAnsi="Times New Roman" w:cs="Times New Roman"/>
                <w:sz w:val="24"/>
                <w:szCs w:val="24"/>
              </w:rPr>
            </w:pPr>
            <w:r w:rsidRPr="005B596C">
              <w:rPr>
                <w:rFonts w:ascii="Times New Roman" w:hAnsi="Times New Roman" w:cs="Times New Roman"/>
                <w:sz w:val="24"/>
                <w:szCs w:val="24"/>
                <w:highlight w:val="yellow"/>
              </w:rPr>
              <w:t>Peñuelas et al. (2021)</w:t>
            </w:r>
          </w:p>
        </w:tc>
        <w:tc>
          <w:tcPr>
            <w:tcW w:w="850" w:type="dxa"/>
          </w:tcPr>
          <w:p w14:paraId="3B65DE25" w14:textId="3C832B9A" w:rsidR="00CE617C" w:rsidRPr="00CE617C" w:rsidRDefault="005B596C"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w:t>
            </w:r>
          </w:p>
        </w:tc>
        <w:tc>
          <w:tcPr>
            <w:tcW w:w="994" w:type="dxa"/>
          </w:tcPr>
          <w:p w14:paraId="4E07F421" w14:textId="4F4F05E1" w:rsidR="00CE617C" w:rsidRPr="00CE617C" w:rsidRDefault="005B596C" w:rsidP="00223BCA">
            <w:pPr>
              <w:jc w:val="both"/>
              <w:rPr>
                <w:rFonts w:ascii="Times New Roman" w:hAnsi="Times New Roman" w:cs="Times New Roman"/>
                <w:sz w:val="24"/>
                <w:szCs w:val="24"/>
              </w:rPr>
            </w:pPr>
            <w:r>
              <w:rPr>
                <w:rFonts w:ascii="Times New Roman" w:hAnsi="Times New Roman" w:cs="Times New Roman"/>
                <w:sz w:val="24"/>
                <w:szCs w:val="24"/>
              </w:rPr>
              <w:t>28</w:t>
            </w:r>
          </w:p>
        </w:tc>
        <w:tc>
          <w:tcPr>
            <w:tcW w:w="1558" w:type="dxa"/>
          </w:tcPr>
          <w:p w14:paraId="222D62CB" w14:textId="27798BB1" w:rsidR="00CE617C" w:rsidRDefault="005B596C" w:rsidP="005B596C">
            <w:pPr>
              <w:ind w:left="708" w:hanging="708"/>
              <w:jc w:val="both"/>
              <w:rPr>
                <w:rFonts w:ascii="Times New Roman" w:hAnsi="Times New Roman" w:cs="Times New Roman"/>
                <w:sz w:val="24"/>
                <w:szCs w:val="24"/>
              </w:rPr>
            </w:pPr>
            <w:r>
              <w:rPr>
                <w:rFonts w:ascii="Times New Roman" w:hAnsi="Times New Roman" w:cs="Times New Roman"/>
                <w:sz w:val="24"/>
                <w:szCs w:val="24"/>
              </w:rPr>
              <w:t>2.57</w:t>
            </w:r>
          </w:p>
        </w:tc>
      </w:tr>
      <w:tr w:rsidR="00CE617C" w14:paraId="043550BB" w14:textId="77777777" w:rsidTr="00547F67">
        <w:trPr>
          <w:jc w:val="center"/>
        </w:trPr>
        <w:tc>
          <w:tcPr>
            <w:tcW w:w="2547" w:type="dxa"/>
          </w:tcPr>
          <w:p w14:paraId="4E289913" w14:textId="0D170FD5" w:rsidR="00CE617C" w:rsidRPr="0042492D" w:rsidRDefault="0042492D" w:rsidP="00223BCA">
            <w:pPr>
              <w:jc w:val="both"/>
              <w:rPr>
                <w:rFonts w:ascii="Times New Roman" w:hAnsi="Times New Roman" w:cs="Times New Roman"/>
                <w:sz w:val="24"/>
                <w:szCs w:val="24"/>
                <w:highlight w:val="yellow"/>
              </w:rPr>
            </w:pPr>
            <w:proofErr w:type="spellStart"/>
            <w:r w:rsidRPr="0042492D">
              <w:rPr>
                <w:rFonts w:ascii="Times New Roman" w:hAnsi="Times New Roman" w:cs="Times New Roman"/>
                <w:sz w:val="24"/>
                <w:szCs w:val="24"/>
                <w:highlight w:val="yellow"/>
              </w:rPr>
              <w:t>Zhan</w:t>
            </w:r>
            <w:proofErr w:type="spellEnd"/>
            <w:r w:rsidRPr="0042492D">
              <w:rPr>
                <w:rFonts w:ascii="Times New Roman" w:hAnsi="Times New Roman" w:cs="Times New Roman"/>
                <w:sz w:val="24"/>
                <w:szCs w:val="24"/>
                <w:highlight w:val="yellow"/>
              </w:rPr>
              <w:t xml:space="preserve"> et al. (2021)</w:t>
            </w:r>
          </w:p>
        </w:tc>
        <w:tc>
          <w:tcPr>
            <w:tcW w:w="850" w:type="dxa"/>
          </w:tcPr>
          <w:p w14:paraId="06853D2F" w14:textId="18F36580" w:rsidR="00CE617C" w:rsidRPr="0042492D" w:rsidRDefault="0042492D" w:rsidP="00223BCA">
            <w:pPr>
              <w:jc w:val="both"/>
              <w:rPr>
                <w:rFonts w:ascii="Times New Roman" w:hAnsi="Times New Roman" w:cs="Times New Roman"/>
                <w:sz w:val="24"/>
                <w:szCs w:val="24"/>
                <w:shd w:val="clear" w:color="auto" w:fill="FFFFFF"/>
              </w:rPr>
            </w:pPr>
            <w:r w:rsidRPr="0042492D">
              <w:rPr>
                <w:rFonts w:ascii="Times New Roman" w:hAnsi="Times New Roman" w:cs="Times New Roman"/>
                <w:sz w:val="24"/>
                <w:szCs w:val="24"/>
                <w:shd w:val="clear" w:color="auto" w:fill="FFFFFF"/>
              </w:rPr>
              <w:t>36</w:t>
            </w:r>
          </w:p>
        </w:tc>
        <w:tc>
          <w:tcPr>
            <w:tcW w:w="994" w:type="dxa"/>
          </w:tcPr>
          <w:p w14:paraId="4088D651" w14:textId="5542ADB5" w:rsidR="00CE617C" w:rsidRPr="0042492D" w:rsidRDefault="0042492D" w:rsidP="00223BCA">
            <w:pPr>
              <w:jc w:val="both"/>
              <w:rPr>
                <w:rFonts w:ascii="Times New Roman" w:hAnsi="Times New Roman" w:cs="Times New Roman"/>
                <w:sz w:val="24"/>
                <w:szCs w:val="24"/>
              </w:rPr>
            </w:pPr>
            <w:r w:rsidRPr="0042492D">
              <w:rPr>
                <w:rFonts w:ascii="Times New Roman" w:hAnsi="Times New Roman" w:cs="Times New Roman"/>
                <w:sz w:val="24"/>
                <w:szCs w:val="24"/>
              </w:rPr>
              <w:t>39</w:t>
            </w:r>
          </w:p>
        </w:tc>
        <w:tc>
          <w:tcPr>
            <w:tcW w:w="1558" w:type="dxa"/>
          </w:tcPr>
          <w:p w14:paraId="5C92BBA3" w14:textId="69F85951" w:rsidR="00CE617C" w:rsidRPr="0042492D" w:rsidRDefault="0042492D" w:rsidP="00223BCA">
            <w:pPr>
              <w:jc w:val="both"/>
              <w:rPr>
                <w:rFonts w:ascii="Times New Roman" w:hAnsi="Times New Roman" w:cs="Times New Roman"/>
                <w:sz w:val="24"/>
                <w:szCs w:val="24"/>
              </w:rPr>
            </w:pPr>
            <w:r w:rsidRPr="0042492D">
              <w:rPr>
                <w:rFonts w:ascii="Times New Roman" w:hAnsi="Times New Roman" w:cs="Times New Roman"/>
                <w:sz w:val="24"/>
                <w:szCs w:val="24"/>
              </w:rPr>
              <w:t>0.9231</w:t>
            </w:r>
          </w:p>
        </w:tc>
      </w:tr>
      <w:tr w:rsidR="00CE617C" w14:paraId="2CF462C2" w14:textId="77777777" w:rsidTr="00547F67">
        <w:trPr>
          <w:jc w:val="center"/>
        </w:trPr>
        <w:tc>
          <w:tcPr>
            <w:tcW w:w="2547" w:type="dxa"/>
          </w:tcPr>
          <w:p w14:paraId="500A52A8" w14:textId="488D54B4" w:rsidR="00CE617C" w:rsidRPr="008D5E49" w:rsidRDefault="0042492D" w:rsidP="00223BCA">
            <w:pPr>
              <w:jc w:val="both"/>
              <w:rPr>
                <w:rFonts w:ascii="Times New Roman" w:hAnsi="Times New Roman" w:cs="Times New Roman"/>
                <w:color w:val="000000" w:themeColor="text1"/>
                <w:sz w:val="24"/>
                <w:szCs w:val="24"/>
              </w:rPr>
            </w:pPr>
            <w:proofErr w:type="spellStart"/>
            <w:r w:rsidRPr="008D5E49">
              <w:rPr>
                <w:rFonts w:ascii="Times New Roman" w:hAnsi="Times New Roman" w:cs="Times New Roman"/>
                <w:color w:val="000000" w:themeColor="text1"/>
                <w:sz w:val="24"/>
                <w:szCs w:val="24"/>
              </w:rPr>
              <w:t>Cour</w:t>
            </w:r>
            <w:proofErr w:type="spellEnd"/>
            <w:r w:rsidRPr="008D5E49">
              <w:rPr>
                <w:rFonts w:ascii="Times New Roman" w:hAnsi="Times New Roman" w:cs="Times New Roman"/>
                <w:color w:val="000000" w:themeColor="text1"/>
                <w:sz w:val="24"/>
                <w:szCs w:val="24"/>
              </w:rPr>
              <w:t xml:space="preserve"> et al. (2021)</w:t>
            </w:r>
          </w:p>
        </w:tc>
        <w:tc>
          <w:tcPr>
            <w:tcW w:w="850" w:type="dxa"/>
          </w:tcPr>
          <w:p w14:paraId="3711E69A" w14:textId="79E1FBF9" w:rsidR="00CE617C" w:rsidRPr="008D5E49" w:rsidRDefault="0042492D" w:rsidP="00223BCA">
            <w:pPr>
              <w:jc w:val="both"/>
              <w:rPr>
                <w:rFonts w:ascii="Times New Roman" w:hAnsi="Times New Roman" w:cs="Times New Roman"/>
                <w:color w:val="000000" w:themeColor="text1"/>
                <w:sz w:val="24"/>
                <w:szCs w:val="24"/>
                <w:shd w:val="clear" w:color="auto" w:fill="FFFFFF"/>
              </w:rPr>
            </w:pPr>
            <w:r w:rsidRPr="008D5E49">
              <w:rPr>
                <w:rFonts w:ascii="Times New Roman" w:hAnsi="Times New Roman" w:cs="Times New Roman"/>
                <w:color w:val="000000" w:themeColor="text1"/>
                <w:sz w:val="24"/>
                <w:szCs w:val="24"/>
                <w:shd w:val="clear" w:color="auto" w:fill="FFFFFF"/>
              </w:rPr>
              <w:t>73.4</w:t>
            </w:r>
          </w:p>
        </w:tc>
        <w:tc>
          <w:tcPr>
            <w:tcW w:w="994" w:type="dxa"/>
          </w:tcPr>
          <w:p w14:paraId="44C8672E" w14:textId="111D1891" w:rsidR="00CE617C" w:rsidRPr="008D5E49" w:rsidRDefault="0042492D" w:rsidP="00223BCA">
            <w:pPr>
              <w:jc w:val="both"/>
              <w:rPr>
                <w:rFonts w:ascii="Times New Roman" w:hAnsi="Times New Roman" w:cs="Times New Roman"/>
                <w:color w:val="000000" w:themeColor="text1"/>
                <w:sz w:val="24"/>
                <w:szCs w:val="24"/>
              </w:rPr>
            </w:pPr>
            <w:r w:rsidRPr="008D5E49">
              <w:rPr>
                <w:rFonts w:ascii="Times New Roman" w:hAnsi="Times New Roman" w:cs="Times New Roman"/>
                <w:color w:val="000000" w:themeColor="text1"/>
                <w:sz w:val="24"/>
                <w:szCs w:val="24"/>
              </w:rPr>
              <w:t>26.6</w:t>
            </w:r>
          </w:p>
        </w:tc>
        <w:tc>
          <w:tcPr>
            <w:tcW w:w="1558" w:type="dxa"/>
          </w:tcPr>
          <w:p w14:paraId="572B2341" w14:textId="0A974D31" w:rsidR="00CE617C" w:rsidRPr="008D5E49" w:rsidRDefault="0042492D" w:rsidP="00223BCA">
            <w:pPr>
              <w:jc w:val="both"/>
              <w:rPr>
                <w:rFonts w:ascii="Times New Roman" w:hAnsi="Times New Roman" w:cs="Times New Roman"/>
                <w:color w:val="000000" w:themeColor="text1"/>
                <w:sz w:val="24"/>
                <w:szCs w:val="24"/>
              </w:rPr>
            </w:pPr>
            <w:r w:rsidRPr="008D5E49">
              <w:rPr>
                <w:rFonts w:ascii="Times New Roman" w:hAnsi="Times New Roman" w:cs="Times New Roman"/>
                <w:color w:val="000000" w:themeColor="text1"/>
                <w:sz w:val="24"/>
                <w:szCs w:val="24"/>
              </w:rPr>
              <w:t>2.7594</w:t>
            </w:r>
          </w:p>
        </w:tc>
      </w:tr>
      <w:tr w:rsidR="00CE617C" w14:paraId="2FA6F827" w14:textId="77777777" w:rsidTr="008D5E49">
        <w:trPr>
          <w:jc w:val="center"/>
        </w:trPr>
        <w:tc>
          <w:tcPr>
            <w:tcW w:w="2547" w:type="dxa"/>
            <w:shd w:val="clear" w:color="auto" w:fill="00B0F0"/>
          </w:tcPr>
          <w:p w14:paraId="503E9A0A" w14:textId="0A1D4A16" w:rsidR="00CE617C" w:rsidRPr="008D5E49" w:rsidRDefault="005E0592" w:rsidP="00223BCA">
            <w:pPr>
              <w:jc w:val="both"/>
              <w:rPr>
                <w:rFonts w:ascii="Times New Roman" w:hAnsi="Times New Roman" w:cs="Times New Roman"/>
                <w:color w:val="000000" w:themeColor="text1"/>
                <w:sz w:val="24"/>
                <w:szCs w:val="24"/>
              </w:rPr>
            </w:pPr>
            <w:proofErr w:type="spellStart"/>
            <w:r w:rsidRPr="008D5E49">
              <w:rPr>
                <w:rFonts w:ascii="Times New Roman" w:hAnsi="Times New Roman" w:cs="Times New Roman"/>
                <w:color w:val="000000" w:themeColor="text1"/>
                <w:sz w:val="24"/>
                <w:szCs w:val="24"/>
              </w:rPr>
              <w:t>Anesi</w:t>
            </w:r>
            <w:proofErr w:type="spellEnd"/>
            <w:r w:rsidRPr="008D5E49">
              <w:rPr>
                <w:rFonts w:ascii="Times New Roman" w:hAnsi="Times New Roman" w:cs="Times New Roman"/>
                <w:color w:val="000000" w:themeColor="text1"/>
                <w:sz w:val="24"/>
                <w:szCs w:val="24"/>
              </w:rPr>
              <w:t xml:space="preserve"> et al. (2021)</w:t>
            </w:r>
          </w:p>
        </w:tc>
        <w:tc>
          <w:tcPr>
            <w:tcW w:w="850" w:type="dxa"/>
            <w:shd w:val="clear" w:color="auto" w:fill="00B0F0"/>
          </w:tcPr>
          <w:p w14:paraId="0CA85B6F" w14:textId="391A5B22" w:rsidR="00CE617C" w:rsidRPr="008D5E49" w:rsidRDefault="005E0592" w:rsidP="00223BCA">
            <w:pPr>
              <w:jc w:val="both"/>
              <w:rPr>
                <w:rFonts w:ascii="Times New Roman" w:hAnsi="Times New Roman" w:cs="Times New Roman"/>
                <w:color w:val="000000" w:themeColor="text1"/>
                <w:sz w:val="24"/>
                <w:szCs w:val="24"/>
                <w:shd w:val="clear" w:color="auto" w:fill="FFFFFF"/>
              </w:rPr>
            </w:pPr>
            <w:r w:rsidRPr="008D5E49">
              <w:rPr>
                <w:rFonts w:ascii="Times New Roman" w:hAnsi="Times New Roman" w:cs="Times New Roman"/>
                <w:color w:val="000000" w:themeColor="text1"/>
                <w:sz w:val="24"/>
                <w:szCs w:val="24"/>
                <w:shd w:val="clear" w:color="auto" w:fill="FFFFFF"/>
              </w:rPr>
              <w:t>57.7</w:t>
            </w:r>
          </w:p>
        </w:tc>
        <w:tc>
          <w:tcPr>
            <w:tcW w:w="994" w:type="dxa"/>
            <w:shd w:val="clear" w:color="auto" w:fill="00B0F0"/>
          </w:tcPr>
          <w:p w14:paraId="31C87715" w14:textId="135059C3" w:rsidR="00CE617C" w:rsidRPr="008D5E49" w:rsidRDefault="005E0592" w:rsidP="00223BCA">
            <w:pPr>
              <w:jc w:val="both"/>
              <w:rPr>
                <w:rFonts w:ascii="Times New Roman" w:hAnsi="Times New Roman" w:cs="Times New Roman"/>
                <w:color w:val="000000" w:themeColor="text1"/>
                <w:sz w:val="24"/>
                <w:szCs w:val="24"/>
              </w:rPr>
            </w:pPr>
            <w:r w:rsidRPr="008D5E49">
              <w:rPr>
                <w:rFonts w:ascii="Times New Roman" w:hAnsi="Times New Roman" w:cs="Times New Roman"/>
                <w:color w:val="000000" w:themeColor="text1"/>
                <w:sz w:val="24"/>
                <w:szCs w:val="24"/>
              </w:rPr>
              <w:t>42.3</w:t>
            </w:r>
          </w:p>
        </w:tc>
        <w:tc>
          <w:tcPr>
            <w:tcW w:w="1558" w:type="dxa"/>
            <w:shd w:val="clear" w:color="auto" w:fill="00B0F0"/>
          </w:tcPr>
          <w:p w14:paraId="728D3E96" w14:textId="3374511E" w:rsidR="00CE617C" w:rsidRPr="008D5E49" w:rsidRDefault="005E0592" w:rsidP="00223BCA">
            <w:pPr>
              <w:jc w:val="both"/>
              <w:rPr>
                <w:rFonts w:ascii="Times New Roman" w:hAnsi="Times New Roman" w:cs="Times New Roman"/>
                <w:color w:val="000000" w:themeColor="text1"/>
                <w:sz w:val="24"/>
                <w:szCs w:val="24"/>
              </w:rPr>
            </w:pPr>
            <w:r w:rsidRPr="008D5E49">
              <w:rPr>
                <w:rFonts w:ascii="Times New Roman" w:hAnsi="Times New Roman" w:cs="Times New Roman"/>
                <w:color w:val="000000" w:themeColor="text1"/>
                <w:sz w:val="24"/>
                <w:szCs w:val="24"/>
              </w:rPr>
              <w:t>1.3641</w:t>
            </w:r>
          </w:p>
        </w:tc>
      </w:tr>
      <w:tr w:rsidR="00CE617C" w14:paraId="331B7619" w14:textId="77777777" w:rsidTr="00547F67">
        <w:trPr>
          <w:jc w:val="center"/>
        </w:trPr>
        <w:tc>
          <w:tcPr>
            <w:tcW w:w="2547" w:type="dxa"/>
          </w:tcPr>
          <w:p w14:paraId="13903DB4" w14:textId="72C353D6" w:rsidR="00CE617C" w:rsidRDefault="00B42152" w:rsidP="00223BCA">
            <w:pPr>
              <w:jc w:val="both"/>
              <w:rPr>
                <w:rFonts w:ascii="Times New Roman" w:hAnsi="Times New Roman" w:cs="Times New Roman"/>
                <w:sz w:val="24"/>
                <w:szCs w:val="24"/>
              </w:rPr>
            </w:pPr>
            <w:proofErr w:type="spellStart"/>
            <w:r>
              <w:rPr>
                <w:rFonts w:ascii="Times New Roman" w:hAnsi="Times New Roman" w:cs="Times New Roman"/>
                <w:sz w:val="24"/>
                <w:szCs w:val="24"/>
              </w:rPr>
              <w:t>Bhatraju</w:t>
            </w:r>
            <w:proofErr w:type="spellEnd"/>
            <w:r>
              <w:rPr>
                <w:rFonts w:ascii="Times New Roman" w:hAnsi="Times New Roman" w:cs="Times New Roman"/>
                <w:sz w:val="24"/>
                <w:szCs w:val="24"/>
              </w:rPr>
              <w:t xml:space="preserve"> et al. (2020)</w:t>
            </w:r>
          </w:p>
        </w:tc>
        <w:tc>
          <w:tcPr>
            <w:tcW w:w="850" w:type="dxa"/>
          </w:tcPr>
          <w:p w14:paraId="1F9BD4D2" w14:textId="68AAE2CC" w:rsidR="00CE617C" w:rsidRPr="00CE617C" w:rsidRDefault="00B42152"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63</w:t>
            </w:r>
          </w:p>
        </w:tc>
        <w:tc>
          <w:tcPr>
            <w:tcW w:w="994" w:type="dxa"/>
          </w:tcPr>
          <w:p w14:paraId="38403922" w14:textId="1374106D" w:rsidR="00CE617C" w:rsidRPr="00CE617C" w:rsidRDefault="00B42152" w:rsidP="00223BCA">
            <w:pPr>
              <w:jc w:val="both"/>
              <w:rPr>
                <w:rFonts w:ascii="Times New Roman" w:hAnsi="Times New Roman" w:cs="Times New Roman"/>
                <w:sz w:val="24"/>
                <w:szCs w:val="24"/>
              </w:rPr>
            </w:pPr>
            <w:r>
              <w:rPr>
                <w:rFonts w:ascii="Times New Roman" w:hAnsi="Times New Roman" w:cs="Times New Roman"/>
                <w:sz w:val="24"/>
                <w:szCs w:val="24"/>
              </w:rPr>
              <w:t>37</w:t>
            </w:r>
          </w:p>
        </w:tc>
        <w:tc>
          <w:tcPr>
            <w:tcW w:w="1558" w:type="dxa"/>
          </w:tcPr>
          <w:p w14:paraId="12DC93B6" w14:textId="0E2C98E9" w:rsidR="00CE617C" w:rsidRPr="008D5E49" w:rsidRDefault="00B42152" w:rsidP="00223BCA">
            <w:pPr>
              <w:jc w:val="both"/>
              <w:rPr>
                <w:rFonts w:ascii="Times New Roman" w:hAnsi="Times New Roman" w:cs="Times New Roman"/>
                <w:sz w:val="24"/>
                <w:szCs w:val="24"/>
                <w:highlight w:val="cyan"/>
              </w:rPr>
            </w:pPr>
            <w:r w:rsidRPr="008D5E49">
              <w:rPr>
                <w:rFonts w:ascii="Times New Roman" w:hAnsi="Times New Roman" w:cs="Times New Roman"/>
                <w:sz w:val="24"/>
                <w:szCs w:val="24"/>
                <w:highlight w:val="cyan"/>
              </w:rPr>
              <w:t>1.7027</w:t>
            </w:r>
          </w:p>
        </w:tc>
      </w:tr>
      <w:tr w:rsidR="00B42152" w14:paraId="4D3674F8" w14:textId="77777777" w:rsidTr="00547F67">
        <w:trPr>
          <w:jc w:val="center"/>
        </w:trPr>
        <w:tc>
          <w:tcPr>
            <w:tcW w:w="2547" w:type="dxa"/>
          </w:tcPr>
          <w:p w14:paraId="34E56CB6" w14:textId="48CD96CB" w:rsidR="00B42152" w:rsidRDefault="005E7571" w:rsidP="005E7571">
            <w:pPr>
              <w:jc w:val="both"/>
              <w:rPr>
                <w:rFonts w:ascii="Times New Roman" w:hAnsi="Times New Roman" w:cs="Times New Roman"/>
                <w:sz w:val="24"/>
                <w:szCs w:val="24"/>
              </w:rPr>
            </w:pPr>
            <w:r w:rsidRPr="005E7571">
              <w:rPr>
                <w:rFonts w:ascii="Times New Roman" w:hAnsi="Times New Roman" w:cs="Times New Roman"/>
                <w:sz w:val="24"/>
                <w:szCs w:val="24"/>
                <w:highlight w:val="yellow"/>
              </w:rPr>
              <w:t>Brasil: Sobral et al. (2022)</w:t>
            </w:r>
          </w:p>
        </w:tc>
        <w:tc>
          <w:tcPr>
            <w:tcW w:w="850" w:type="dxa"/>
          </w:tcPr>
          <w:p w14:paraId="60884075" w14:textId="004666CE" w:rsidR="00B42152" w:rsidRPr="00CE617C" w:rsidRDefault="005E7571" w:rsidP="00223B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58.7</w:t>
            </w:r>
          </w:p>
        </w:tc>
        <w:tc>
          <w:tcPr>
            <w:tcW w:w="994" w:type="dxa"/>
          </w:tcPr>
          <w:p w14:paraId="661DA723" w14:textId="27476592" w:rsidR="00B42152" w:rsidRPr="00CE617C" w:rsidRDefault="005E7571" w:rsidP="00223BCA">
            <w:pPr>
              <w:jc w:val="both"/>
              <w:rPr>
                <w:rFonts w:ascii="Times New Roman" w:hAnsi="Times New Roman" w:cs="Times New Roman"/>
                <w:sz w:val="24"/>
                <w:szCs w:val="24"/>
              </w:rPr>
            </w:pPr>
            <w:r>
              <w:rPr>
                <w:rFonts w:ascii="Times New Roman" w:hAnsi="Times New Roman" w:cs="Times New Roman"/>
                <w:sz w:val="24"/>
                <w:szCs w:val="24"/>
              </w:rPr>
              <w:t>41.9</w:t>
            </w:r>
          </w:p>
        </w:tc>
        <w:tc>
          <w:tcPr>
            <w:tcW w:w="1558" w:type="dxa"/>
          </w:tcPr>
          <w:p w14:paraId="1AA1D35E" w14:textId="134B041D" w:rsidR="00B42152" w:rsidRDefault="005E7571" w:rsidP="00223BCA">
            <w:pPr>
              <w:jc w:val="both"/>
              <w:rPr>
                <w:rFonts w:ascii="Times New Roman" w:hAnsi="Times New Roman" w:cs="Times New Roman"/>
                <w:sz w:val="24"/>
                <w:szCs w:val="24"/>
              </w:rPr>
            </w:pPr>
            <w:r>
              <w:rPr>
                <w:rFonts w:ascii="Times New Roman" w:hAnsi="Times New Roman" w:cs="Times New Roman"/>
                <w:sz w:val="24"/>
                <w:szCs w:val="24"/>
              </w:rPr>
              <w:t>1.4</w:t>
            </w:r>
          </w:p>
        </w:tc>
      </w:tr>
      <w:tr w:rsidR="00B42152" w14:paraId="3CF0E44B" w14:textId="77777777" w:rsidTr="00547F67">
        <w:trPr>
          <w:jc w:val="center"/>
        </w:trPr>
        <w:tc>
          <w:tcPr>
            <w:tcW w:w="2547" w:type="dxa"/>
          </w:tcPr>
          <w:p w14:paraId="19CB0BDE" w14:textId="745F9C08" w:rsidR="00B42152" w:rsidRPr="008D5E49" w:rsidRDefault="005E7571" w:rsidP="00223BCA">
            <w:pPr>
              <w:jc w:val="both"/>
              <w:rPr>
                <w:rFonts w:ascii="Times New Roman" w:hAnsi="Times New Roman" w:cs="Times New Roman"/>
                <w:sz w:val="24"/>
                <w:szCs w:val="24"/>
              </w:rPr>
            </w:pPr>
            <w:r w:rsidRPr="008D5E49">
              <w:rPr>
                <w:rFonts w:ascii="Times New Roman" w:hAnsi="Times New Roman" w:cs="Times New Roman"/>
                <w:sz w:val="24"/>
                <w:szCs w:val="24"/>
              </w:rPr>
              <w:t>Schmidt et al. (2021)</w:t>
            </w:r>
          </w:p>
        </w:tc>
        <w:tc>
          <w:tcPr>
            <w:tcW w:w="850" w:type="dxa"/>
          </w:tcPr>
          <w:p w14:paraId="1D92F900" w14:textId="6D74CBE9" w:rsidR="00B42152" w:rsidRPr="008D5E49" w:rsidRDefault="005E7571" w:rsidP="00223BCA">
            <w:pPr>
              <w:jc w:val="both"/>
              <w:rPr>
                <w:rFonts w:ascii="Times New Roman" w:hAnsi="Times New Roman" w:cs="Times New Roman"/>
                <w:sz w:val="24"/>
                <w:szCs w:val="24"/>
                <w:shd w:val="clear" w:color="auto" w:fill="FFFFFF"/>
              </w:rPr>
            </w:pPr>
            <w:r w:rsidRPr="008D5E49">
              <w:rPr>
                <w:rFonts w:ascii="Times New Roman" w:hAnsi="Times New Roman" w:cs="Times New Roman"/>
                <w:sz w:val="24"/>
                <w:szCs w:val="24"/>
                <w:shd w:val="clear" w:color="auto" w:fill="FFFFFF"/>
              </w:rPr>
              <w:t>74</w:t>
            </w:r>
          </w:p>
        </w:tc>
        <w:tc>
          <w:tcPr>
            <w:tcW w:w="994" w:type="dxa"/>
          </w:tcPr>
          <w:p w14:paraId="2A673511" w14:textId="6117E8CD" w:rsidR="00B42152" w:rsidRPr="008D5E49" w:rsidRDefault="005E7571" w:rsidP="00223BCA">
            <w:pPr>
              <w:jc w:val="both"/>
              <w:rPr>
                <w:rFonts w:ascii="Times New Roman" w:hAnsi="Times New Roman" w:cs="Times New Roman"/>
                <w:sz w:val="24"/>
                <w:szCs w:val="24"/>
              </w:rPr>
            </w:pPr>
            <w:r w:rsidRPr="008D5E49">
              <w:rPr>
                <w:rFonts w:ascii="Times New Roman" w:hAnsi="Times New Roman" w:cs="Times New Roman"/>
                <w:sz w:val="24"/>
                <w:szCs w:val="24"/>
              </w:rPr>
              <w:t>26</w:t>
            </w:r>
          </w:p>
        </w:tc>
        <w:tc>
          <w:tcPr>
            <w:tcW w:w="1558" w:type="dxa"/>
          </w:tcPr>
          <w:p w14:paraId="546B8C44" w14:textId="3E1A735B" w:rsidR="00B42152" w:rsidRPr="008D5E49" w:rsidRDefault="005E7571" w:rsidP="00223BCA">
            <w:pPr>
              <w:jc w:val="both"/>
              <w:rPr>
                <w:rFonts w:ascii="Times New Roman" w:hAnsi="Times New Roman" w:cs="Times New Roman"/>
                <w:sz w:val="24"/>
                <w:szCs w:val="24"/>
              </w:rPr>
            </w:pPr>
            <w:r w:rsidRPr="008D5E49">
              <w:rPr>
                <w:rFonts w:ascii="Times New Roman" w:hAnsi="Times New Roman" w:cs="Times New Roman"/>
                <w:sz w:val="24"/>
                <w:szCs w:val="24"/>
              </w:rPr>
              <w:t>2.8462</w:t>
            </w:r>
          </w:p>
        </w:tc>
      </w:tr>
      <w:tr w:rsidR="005E7571" w14:paraId="4EBF5BA2" w14:textId="77777777" w:rsidTr="00547F67">
        <w:trPr>
          <w:jc w:val="center"/>
        </w:trPr>
        <w:tc>
          <w:tcPr>
            <w:tcW w:w="2547" w:type="dxa"/>
          </w:tcPr>
          <w:p w14:paraId="601212B0" w14:textId="001CA9FF" w:rsidR="005E7571" w:rsidRDefault="005E7571" w:rsidP="005E7571">
            <w:pPr>
              <w:jc w:val="both"/>
              <w:rPr>
                <w:rFonts w:ascii="Times New Roman" w:hAnsi="Times New Roman" w:cs="Times New Roman"/>
                <w:sz w:val="24"/>
                <w:szCs w:val="24"/>
              </w:rPr>
            </w:pPr>
            <w:proofErr w:type="spellStart"/>
            <w:r>
              <w:rPr>
                <w:rFonts w:ascii="Times New Roman" w:hAnsi="Times New Roman" w:cs="Times New Roman"/>
                <w:sz w:val="24"/>
                <w:szCs w:val="24"/>
              </w:rPr>
              <w:t>Seid</w:t>
            </w:r>
            <w:proofErr w:type="spellEnd"/>
            <w:r>
              <w:rPr>
                <w:rFonts w:ascii="Times New Roman" w:hAnsi="Times New Roman" w:cs="Times New Roman"/>
                <w:sz w:val="24"/>
                <w:szCs w:val="24"/>
              </w:rPr>
              <w:t xml:space="preserve"> et al. (2022)</w:t>
            </w:r>
          </w:p>
        </w:tc>
        <w:tc>
          <w:tcPr>
            <w:tcW w:w="850" w:type="dxa"/>
          </w:tcPr>
          <w:p w14:paraId="3063DD54" w14:textId="632FCA95" w:rsidR="005E7571" w:rsidRPr="00CE617C" w:rsidRDefault="005E7571" w:rsidP="005E757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58</w:t>
            </w:r>
          </w:p>
        </w:tc>
        <w:tc>
          <w:tcPr>
            <w:tcW w:w="994" w:type="dxa"/>
          </w:tcPr>
          <w:p w14:paraId="022EAEDE" w14:textId="1373738A" w:rsidR="005E7571" w:rsidRPr="00CE617C" w:rsidRDefault="005E7571" w:rsidP="005E7571">
            <w:pPr>
              <w:jc w:val="both"/>
              <w:rPr>
                <w:rFonts w:ascii="Times New Roman" w:hAnsi="Times New Roman" w:cs="Times New Roman"/>
                <w:sz w:val="24"/>
                <w:szCs w:val="24"/>
              </w:rPr>
            </w:pPr>
            <w:r>
              <w:rPr>
                <w:rFonts w:ascii="Times New Roman" w:hAnsi="Times New Roman" w:cs="Times New Roman"/>
                <w:sz w:val="24"/>
                <w:szCs w:val="24"/>
              </w:rPr>
              <w:t>42</w:t>
            </w:r>
          </w:p>
        </w:tc>
        <w:tc>
          <w:tcPr>
            <w:tcW w:w="1558" w:type="dxa"/>
          </w:tcPr>
          <w:p w14:paraId="53F73BD6" w14:textId="674BCC1C" w:rsidR="005E7571" w:rsidRDefault="00D45A8B" w:rsidP="005E7571">
            <w:pPr>
              <w:jc w:val="both"/>
              <w:rPr>
                <w:rFonts w:ascii="Times New Roman" w:hAnsi="Times New Roman" w:cs="Times New Roman"/>
                <w:sz w:val="24"/>
                <w:szCs w:val="24"/>
              </w:rPr>
            </w:pPr>
            <w:r w:rsidRPr="008D5E49">
              <w:rPr>
                <w:rFonts w:ascii="Times New Roman" w:hAnsi="Times New Roman" w:cs="Times New Roman"/>
                <w:sz w:val="24"/>
                <w:szCs w:val="24"/>
                <w:highlight w:val="cyan"/>
              </w:rPr>
              <w:t>1.38095</w:t>
            </w:r>
          </w:p>
        </w:tc>
      </w:tr>
      <w:tr w:rsidR="00D45A8B" w14:paraId="6808887A" w14:textId="77777777" w:rsidTr="00547F67">
        <w:trPr>
          <w:jc w:val="center"/>
        </w:trPr>
        <w:tc>
          <w:tcPr>
            <w:tcW w:w="2547" w:type="dxa"/>
          </w:tcPr>
          <w:p w14:paraId="287E6B7A" w14:textId="00056806" w:rsidR="00D45A8B" w:rsidRDefault="00D45A8B" w:rsidP="005E7571">
            <w:pPr>
              <w:jc w:val="both"/>
              <w:rPr>
                <w:rFonts w:ascii="Times New Roman" w:hAnsi="Times New Roman" w:cs="Times New Roman"/>
                <w:sz w:val="24"/>
                <w:szCs w:val="24"/>
              </w:rPr>
            </w:pPr>
            <w:r>
              <w:t xml:space="preserve">Han et al. (2023) </w:t>
            </w:r>
          </w:p>
        </w:tc>
        <w:tc>
          <w:tcPr>
            <w:tcW w:w="850" w:type="dxa"/>
          </w:tcPr>
          <w:p w14:paraId="14EDDD59" w14:textId="5F1E5E34" w:rsidR="00D45A8B" w:rsidRDefault="00D45A8B" w:rsidP="005E757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54</w:t>
            </w:r>
          </w:p>
        </w:tc>
        <w:tc>
          <w:tcPr>
            <w:tcW w:w="994" w:type="dxa"/>
          </w:tcPr>
          <w:p w14:paraId="04515163" w14:textId="411B38A1" w:rsidR="00D45A8B" w:rsidRDefault="00D45A8B" w:rsidP="005E7571">
            <w:pPr>
              <w:jc w:val="both"/>
              <w:rPr>
                <w:rFonts w:ascii="Times New Roman" w:hAnsi="Times New Roman" w:cs="Times New Roman"/>
                <w:sz w:val="24"/>
                <w:szCs w:val="24"/>
              </w:rPr>
            </w:pPr>
            <w:r>
              <w:rPr>
                <w:rFonts w:ascii="Times New Roman" w:hAnsi="Times New Roman" w:cs="Times New Roman"/>
                <w:sz w:val="24"/>
                <w:szCs w:val="24"/>
              </w:rPr>
              <w:t>42</w:t>
            </w:r>
          </w:p>
        </w:tc>
        <w:tc>
          <w:tcPr>
            <w:tcW w:w="1558" w:type="dxa"/>
          </w:tcPr>
          <w:p w14:paraId="3EAC0354" w14:textId="028A9713" w:rsidR="00D45A8B" w:rsidRDefault="00D45A8B" w:rsidP="005E7571">
            <w:pPr>
              <w:jc w:val="both"/>
              <w:rPr>
                <w:rFonts w:ascii="Times New Roman" w:hAnsi="Times New Roman" w:cs="Times New Roman"/>
                <w:sz w:val="24"/>
                <w:szCs w:val="24"/>
              </w:rPr>
            </w:pPr>
            <w:r w:rsidRPr="008D5E49">
              <w:rPr>
                <w:rFonts w:ascii="Times New Roman" w:hAnsi="Times New Roman" w:cs="Times New Roman"/>
                <w:sz w:val="24"/>
                <w:szCs w:val="24"/>
                <w:highlight w:val="cyan"/>
              </w:rPr>
              <w:t>1.2857</w:t>
            </w:r>
          </w:p>
        </w:tc>
      </w:tr>
      <w:tr w:rsidR="00D45A8B" w14:paraId="35A2BD6E" w14:textId="77777777" w:rsidTr="00547F67">
        <w:trPr>
          <w:jc w:val="center"/>
        </w:trPr>
        <w:tc>
          <w:tcPr>
            <w:tcW w:w="2547" w:type="dxa"/>
          </w:tcPr>
          <w:p w14:paraId="116AF211" w14:textId="69F03426" w:rsidR="00D45A8B" w:rsidRDefault="00D45A8B" w:rsidP="005E7571">
            <w:pPr>
              <w:jc w:val="both"/>
            </w:pPr>
            <w:r w:rsidRPr="00D45A8B">
              <w:rPr>
                <w:highlight w:val="yellow"/>
              </w:rPr>
              <w:t>Islam et al. (2021)</w:t>
            </w:r>
          </w:p>
        </w:tc>
        <w:tc>
          <w:tcPr>
            <w:tcW w:w="850" w:type="dxa"/>
          </w:tcPr>
          <w:p w14:paraId="4ED53903" w14:textId="6CEBBD32" w:rsidR="00D45A8B" w:rsidRDefault="00D45A8B" w:rsidP="005E757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74.1</w:t>
            </w:r>
          </w:p>
        </w:tc>
        <w:tc>
          <w:tcPr>
            <w:tcW w:w="994" w:type="dxa"/>
          </w:tcPr>
          <w:p w14:paraId="64F902D3" w14:textId="4975A507" w:rsidR="00D45A8B" w:rsidRDefault="00D45A8B" w:rsidP="005E7571">
            <w:pPr>
              <w:jc w:val="both"/>
              <w:rPr>
                <w:rFonts w:ascii="Times New Roman" w:hAnsi="Times New Roman" w:cs="Times New Roman"/>
                <w:sz w:val="24"/>
                <w:szCs w:val="24"/>
              </w:rPr>
            </w:pPr>
            <w:r>
              <w:rPr>
                <w:rFonts w:ascii="Times New Roman" w:hAnsi="Times New Roman" w:cs="Times New Roman"/>
                <w:sz w:val="24"/>
                <w:szCs w:val="24"/>
              </w:rPr>
              <w:t>25.9</w:t>
            </w:r>
          </w:p>
        </w:tc>
        <w:tc>
          <w:tcPr>
            <w:tcW w:w="1558" w:type="dxa"/>
          </w:tcPr>
          <w:p w14:paraId="3FEE5795" w14:textId="324078ED" w:rsidR="00D45A8B" w:rsidRDefault="00D45A8B" w:rsidP="005E7571">
            <w:pPr>
              <w:jc w:val="both"/>
              <w:rPr>
                <w:rFonts w:ascii="Times New Roman" w:hAnsi="Times New Roman" w:cs="Times New Roman"/>
                <w:sz w:val="24"/>
                <w:szCs w:val="24"/>
              </w:rPr>
            </w:pPr>
            <w:r>
              <w:rPr>
                <w:rFonts w:ascii="Times New Roman" w:hAnsi="Times New Roman" w:cs="Times New Roman"/>
                <w:sz w:val="24"/>
                <w:szCs w:val="24"/>
              </w:rPr>
              <w:t>2.8910</w:t>
            </w:r>
          </w:p>
        </w:tc>
      </w:tr>
      <w:tr w:rsidR="00D45A8B" w14:paraId="161F760D" w14:textId="77777777" w:rsidTr="00547F67">
        <w:trPr>
          <w:jc w:val="center"/>
        </w:trPr>
        <w:tc>
          <w:tcPr>
            <w:tcW w:w="2547" w:type="dxa"/>
          </w:tcPr>
          <w:p w14:paraId="14A38BF8" w14:textId="42B68767" w:rsidR="00D45A8B" w:rsidRPr="00D45A8B" w:rsidRDefault="00D45A8B" w:rsidP="005E7571">
            <w:pPr>
              <w:jc w:val="both"/>
              <w:rPr>
                <w:highlight w:val="yellow"/>
              </w:rPr>
            </w:pPr>
            <w:proofErr w:type="spellStart"/>
            <w:r>
              <w:rPr>
                <w:highlight w:val="yellow"/>
              </w:rPr>
              <w:t>Lapidus</w:t>
            </w:r>
            <w:proofErr w:type="spellEnd"/>
            <w:r>
              <w:rPr>
                <w:highlight w:val="yellow"/>
              </w:rPr>
              <w:t xml:space="preserve"> et al. (2020)</w:t>
            </w:r>
          </w:p>
        </w:tc>
        <w:tc>
          <w:tcPr>
            <w:tcW w:w="850" w:type="dxa"/>
          </w:tcPr>
          <w:p w14:paraId="613D6CAD" w14:textId="77777777" w:rsidR="00D45A8B" w:rsidRDefault="00D45A8B" w:rsidP="005E7571">
            <w:pPr>
              <w:jc w:val="both"/>
              <w:rPr>
                <w:rFonts w:ascii="Times New Roman" w:hAnsi="Times New Roman" w:cs="Times New Roman"/>
                <w:sz w:val="24"/>
                <w:szCs w:val="24"/>
                <w:shd w:val="clear" w:color="auto" w:fill="FFFFFF"/>
              </w:rPr>
            </w:pPr>
          </w:p>
        </w:tc>
        <w:tc>
          <w:tcPr>
            <w:tcW w:w="994" w:type="dxa"/>
          </w:tcPr>
          <w:p w14:paraId="0C7F22E9" w14:textId="77777777" w:rsidR="00D45A8B" w:rsidRDefault="00D45A8B" w:rsidP="005E7571">
            <w:pPr>
              <w:jc w:val="both"/>
              <w:rPr>
                <w:rFonts w:ascii="Times New Roman" w:hAnsi="Times New Roman" w:cs="Times New Roman"/>
                <w:sz w:val="24"/>
                <w:szCs w:val="24"/>
              </w:rPr>
            </w:pPr>
          </w:p>
        </w:tc>
        <w:tc>
          <w:tcPr>
            <w:tcW w:w="1558" w:type="dxa"/>
          </w:tcPr>
          <w:p w14:paraId="046AF401" w14:textId="77777777" w:rsidR="00D45A8B" w:rsidRDefault="00D45A8B" w:rsidP="005E7571">
            <w:pPr>
              <w:jc w:val="both"/>
              <w:rPr>
                <w:rFonts w:ascii="Times New Roman" w:hAnsi="Times New Roman" w:cs="Times New Roman"/>
                <w:sz w:val="24"/>
                <w:szCs w:val="24"/>
              </w:rPr>
            </w:pPr>
          </w:p>
        </w:tc>
      </w:tr>
      <w:tr w:rsidR="00D51D4C" w14:paraId="0B327E62" w14:textId="77777777" w:rsidTr="00547F67">
        <w:trPr>
          <w:jc w:val="center"/>
        </w:trPr>
        <w:tc>
          <w:tcPr>
            <w:tcW w:w="2547" w:type="dxa"/>
          </w:tcPr>
          <w:p w14:paraId="00E21C1A" w14:textId="778A519E" w:rsidR="00D51D4C" w:rsidRDefault="00D51D4C" w:rsidP="005E7571">
            <w:pPr>
              <w:jc w:val="both"/>
              <w:rPr>
                <w:highlight w:val="yellow"/>
              </w:rPr>
            </w:pPr>
            <w:proofErr w:type="spellStart"/>
            <w:r>
              <w:rPr>
                <w:highlight w:val="yellow"/>
              </w:rPr>
              <w:t>Sun</w:t>
            </w:r>
            <w:proofErr w:type="spellEnd"/>
            <w:r>
              <w:rPr>
                <w:highlight w:val="yellow"/>
              </w:rPr>
              <w:t xml:space="preserve"> et al. (2022)</w:t>
            </w:r>
          </w:p>
        </w:tc>
        <w:tc>
          <w:tcPr>
            <w:tcW w:w="850" w:type="dxa"/>
          </w:tcPr>
          <w:p w14:paraId="7D5CD002" w14:textId="30DAC97D" w:rsidR="00D51D4C" w:rsidRDefault="00D51D4C" w:rsidP="005E757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76.7</w:t>
            </w:r>
          </w:p>
        </w:tc>
        <w:tc>
          <w:tcPr>
            <w:tcW w:w="994" w:type="dxa"/>
          </w:tcPr>
          <w:p w14:paraId="6CA4D044" w14:textId="500A03C6" w:rsidR="00D51D4C" w:rsidRDefault="00D51D4C" w:rsidP="005E7571">
            <w:pPr>
              <w:jc w:val="both"/>
              <w:rPr>
                <w:rFonts w:ascii="Times New Roman" w:hAnsi="Times New Roman" w:cs="Times New Roman"/>
                <w:sz w:val="24"/>
                <w:szCs w:val="24"/>
              </w:rPr>
            </w:pPr>
            <w:r>
              <w:rPr>
                <w:rFonts w:ascii="Times New Roman" w:hAnsi="Times New Roman" w:cs="Times New Roman"/>
                <w:sz w:val="24"/>
                <w:szCs w:val="24"/>
              </w:rPr>
              <w:t>23.3</w:t>
            </w:r>
          </w:p>
        </w:tc>
        <w:tc>
          <w:tcPr>
            <w:tcW w:w="1558" w:type="dxa"/>
          </w:tcPr>
          <w:p w14:paraId="09D6A988" w14:textId="540FD1DB" w:rsidR="00D51D4C" w:rsidRDefault="00D51D4C" w:rsidP="005E7571">
            <w:pPr>
              <w:jc w:val="both"/>
              <w:rPr>
                <w:rFonts w:ascii="Times New Roman" w:hAnsi="Times New Roman" w:cs="Times New Roman"/>
                <w:sz w:val="24"/>
                <w:szCs w:val="24"/>
              </w:rPr>
            </w:pPr>
            <w:r>
              <w:rPr>
                <w:rFonts w:ascii="Times New Roman" w:hAnsi="Times New Roman" w:cs="Times New Roman"/>
                <w:sz w:val="24"/>
                <w:szCs w:val="24"/>
              </w:rPr>
              <w:t>3.2918</w:t>
            </w:r>
          </w:p>
        </w:tc>
      </w:tr>
    </w:tbl>
    <w:p w14:paraId="7CB6C5C3" w14:textId="1AC008C7" w:rsidR="00485E66" w:rsidRDefault="001F3C3C" w:rsidP="00547F67">
      <w:pPr>
        <w:ind w:left="993" w:right="849"/>
        <w:jc w:val="both"/>
        <w:rPr>
          <w:rFonts w:ascii="Times New Roman" w:hAnsi="Times New Roman" w:cs="Times New Roman"/>
          <w:sz w:val="24"/>
          <w:szCs w:val="24"/>
        </w:rPr>
      </w:pPr>
      <w:r>
        <w:rPr>
          <w:rFonts w:ascii="Times New Roman" w:hAnsi="Times New Roman" w:cs="Times New Roman"/>
          <w:sz w:val="24"/>
          <w:szCs w:val="24"/>
        </w:rPr>
        <w:t xml:space="preserve">(Nota: los artículos resaltados en amarillo corresponden a los artículos que, seguramente, reportan información sobre tasas de mortalidad en UCI diferenciadas según sexo y edad. Los artículos son insumos para las tablas posteriores. </w:t>
      </w:r>
      <w:r>
        <w:rPr>
          <w:rFonts w:ascii="Times New Roman" w:hAnsi="Times New Roman" w:cs="Times New Roman"/>
          <w:b/>
          <w:bCs/>
          <w:sz w:val="24"/>
          <w:szCs w:val="24"/>
        </w:rPr>
        <w:t>ESTO NO ES UNA REVISIÓN SISTEMÁTICA</w:t>
      </w:r>
      <w:r>
        <w:rPr>
          <w:rFonts w:ascii="Times New Roman" w:hAnsi="Times New Roman" w:cs="Times New Roman"/>
          <w:sz w:val="24"/>
          <w:szCs w:val="24"/>
        </w:rPr>
        <w:t>)</w:t>
      </w:r>
    </w:p>
    <w:p w14:paraId="72EBE093" w14:textId="77777777" w:rsidR="00AF7119" w:rsidRDefault="00AF7119" w:rsidP="00223BCA">
      <w:pPr>
        <w:jc w:val="both"/>
        <w:rPr>
          <w:rFonts w:ascii="Times New Roman" w:hAnsi="Times New Roman" w:cs="Times New Roman"/>
          <w:sz w:val="24"/>
          <w:szCs w:val="24"/>
        </w:rPr>
      </w:pPr>
    </w:p>
    <w:p w14:paraId="2A326EC8" w14:textId="45619C1E" w:rsidR="00AF7119" w:rsidRPr="008D5E49" w:rsidRDefault="00AF7119" w:rsidP="00547F67">
      <w:pPr>
        <w:ind w:left="708"/>
        <w:jc w:val="both"/>
        <w:rPr>
          <w:rFonts w:ascii="Times New Roman" w:hAnsi="Times New Roman" w:cs="Times New Roman"/>
          <w:sz w:val="24"/>
          <w:szCs w:val="24"/>
          <w:lang w:val="en-US"/>
        </w:rPr>
      </w:pPr>
      <w:r>
        <w:rPr>
          <w:rFonts w:ascii="Times New Roman" w:hAnsi="Times New Roman" w:cs="Times New Roman"/>
          <w:sz w:val="24"/>
          <w:szCs w:val="24"/>
        </w:rPr>
        <w:t>Nuestro estudio estima las siguiente</w:t>
      </w:r>
      <w:r w:rsidR="00485E66">
        <w:rPr>
          <w:rFonts w:ascii="Times New Roman" w:hAnsi="Times New Roman" w:cs="Times New Roman"/>
          <w:sz w:val="24"/>
          <w:szCs w:val="24"/>
        </w:rPr>
        <w:t>s</w:t>
      </w:r>
      <w:r>
        <w:rPr>
          <w:rFonts w:ascii="Times New Roman" w:hAnsi="Times New Roman" w:cs="Times New Roman"/>
          <w:sz w:val="24"/>
          <w:szCs w:val="24"/>
        </w:rPr>
        <w:t xml:space="preserve"> tasas de mortalidad a 30 días: </w:t>
      </w:r>
      <w:r w:rsidR="00CE617C">
        <w:rPr>
          <w:rFonts w:ascii="Times New Roman" w:hAnsi="Times New Roman" w:cs="Times New Roman"/>
          <w:sz w:val="24"/>
          <w:szCs w:val="24"/>
        </w:rPr>
        <w:t>muestran una diferencia del 40% en la tasa de mortalidad (</w:t>
      </w:r>
      <w:proofErr w:type="spellStart"/>
      <w:r w:rsidR="00CE617C">
        <w:rPr>
          <w:rFonts w:ascii="Times New Roman" w:hAnsi="Times New Roman" w:cs="Times New Roman"/>
          <w:sz w:val="24"/>
          <w:szCs w:val="24"/>
        </w:rPr>
        <w:t>Gebhard</w:t>
      </w:r>
      <w:proofErr w:type="spellEnd"/>
      <w:r w:rsidR="00CE617C">
        <w:rPr>
          <w:rFonts w:ascii="Times New Roman" w:hAnsi="Times New Roman" w:cs="Times New Roman"/>
          <w:sz w:val="24"/>
          <w:szCs w:val="24"/>
        </w:rPr>
        <w:t xml:space="preserve"> et al., 2020). </w:t>
      </w:r>
      <w:r w:rsidR="00CE617C" w:rsidRPr="00CE617C">
        <w:rPr>
          <w:rFonts w:ascii="Times New Roman" w:hAnsi="Times New Roman" w:cs="Times New Roman"/>
          <w:sz w:val="24"/>
          <w:szCs w:val="24"/>
          <w:lang w:val="en-US"/>
        </w:rPr>
        <w:t>“The ICU mortality rate was 12% lower in females t</w:t>
      </w:r>
      <w:r w:rsidR="008E04E5">
        <w:rPr>
          <w:rFonts w:ascii="Times New Roman" w:hAnsi="Times New Roman" w:cs="Times New Roman"/>
          <w:sz w:val="24"/>
          <w:szCs w:val="24"/>
          <w:lang w:val="en-US"/>
        </w:rPr>
        <w:t>ha</w:t>
      </w:r>
      <w:r w:rsidR="00CE617C" w:rsidRPr="00CE617C">
        <w:rPr>
          <w:rFonts w:ascii="Times New Roman" w:hAnsi="Times New Roman" w:cs="Times New Roman"/>
          <w:sz w:val="24"/>
          <w:szCs w:val="24"/>
          <w:lang w:val="en-US"/>
        </w:rPr>
        <w:t>n m</w:t>
      </w:r>
      <w:r w:rsidR="00CE617C">
        <w:rPr>
          <w:rFonts w:ascii="Times New Roman" w:hAnsi="Times New Roman" w:cs="Times New Roman"/>
          <w:sz w:val="24"/>
          <w:szCs w:val="24"/>
          <w:lang w:val="en-US"/>
        </w:rPr>
        <w:t>ales (27% vs 39%)</w:t>
      </w:r>
      <w:r w:rsidR="008E04E5">
        <w:rPr>
          <w:rFonts w:ascii="Times New Roman" w:hAnsi="Times New Roman" w:cs="Times New Roman"/>
          <w:sz w:val="24"/>
          <w:szCs w:val="24"/>
          <w:lang w:val="en-US"/>
        </w:rPr>
        <w:t xml:space="preserve"> (</w:t>
      </w:r>
      <w:proofErr w:type="spellStart"/>
      <w:r w:rsidR="008E04E5">
        <w:rPr>
          <w:rFonts w:ascii="Times New Roman" w:hAnsi="Times New Roman" w:cs="Times New Roman"/>
          <w:sz w:val="24"/>
          <w:szCs w:val="24"/>
          <w:lang w:val="en-US"/>
        </w:rPr>
        <w:t>Meijs</w:t>
      </w:r>
      <w:proofErr w:type="spellEnd"/>
      <w:r w:rsidR="008E04E5">
        <w:rPr>
          <w:rFonts w:ascii="Times New Roman" w:hAnsi="Times New Roman" w:cs="Times New Roman"/>
          <w:sz w:val="24"/>
          <w:szCs w:val="24"/>
          <w:lang w:val="en-US"/>
        </w:rPr>
        <w:t xml:space="preserve">, 2022). </w:t>
      </w:r>
    </w:p>
    <w:p w14:paraId="42E48084" w14:textId="70770009" w:rsidR="008E04E5" w:rsidRPr="00547F67" w:rsidRDefault="00547F67" w:rsidP="00547F67">
      <w:pPr>
        <w:ind w:left="1985"/>
        <w:jc w:val="both"/>
        <w:rPr>
          <w:rFonts w:ascii="Times New Roman" w:hAnsi="Times New Roman" w:cs="Times New Roman"/>
          <w:b/>
          <w:bCs/>
          <w:sz w:val="24"/>
          <w:szCs w:val="24"/>
        </w:rPr>
      </w:pPr>
      <w:r w:rsidRPr="00547F67">
        <w:rPr>
          <w:rFonts w:ascii="Times New Roman" w:hAnsi="Times New Roman" w:cs="Times New Roman"/>
          <w:b/>
          <w:bCs/>
          <w:sz w:val="24"/>
          <w:szCs w:val="24"/>
        </w:rPr>
        <w:t>Estudios globales</w:t>
      </w:r>
    </w:p>
    <w:tbl>
      <w:tblPr>
        <w:tblStyle w:val="Tablaconcuadrcula"/>
        <w:tblW w:w="0" w:type="auto"/>
        <w:jc w:val="center"/>
        <w:tblLook w:val="04A0" w:firstRow="1" w:lastRow="0" w:firstColumn="1" w:lastColumn="0" w:noHBand="0" w:noVBand="1"/>
      </w:tblPr>
      <w:tblGrid>
        <w:gridCol w:w="2547"/>
        <w:gridCol w:w="1006"/>
        <w:gridCol w:w="994"/>
      </w:tblGrid>
      <w:tr w:rsidR="00765669" w14:paraId="1CACBCDD" w14:textId="77777777" w:rsidTr="00547F67">
        <w:trPr>
          <w:jc w:val="center"/>
        </w:trPr>
        <w:tc>
          <w:tcPr>
            <w:tcW w:w="2547" w:type="dxa"/>
          </w:tcPr>
          <w:p w14:paraId="25853103" w14:textId="69DA4A60" w:rsidR="00765669" w:rsidRDefault="00765669" w:rsidP="00A60F04">
            <w:pPr>
              <w:jc w:val="both"/>
              <w:rPr>
                <w:rFonts w:ascii="Times New Roman" w:hAnsi="Times New Roman" w:cs="Times New Roman"/>
                <w:sz w:val="24"/>
                <w:szCs w:val="24"/>
              </w:rPr>
            </w:pPr>
            <w:r>
              <w:rPr>
                <w:rFonts w:ascii="Times New Roman" w:hAnsi="Times New Roman" w:cs="Times New Roman"/>
                <w:sz w:val="24"/>
                <w:szCs w:val="24"/>
              </w:rPr>
              <w:t>Mortalidad según sexo</w:t>
            </w:r>
          </w:p>
        </w:tc>
        <w:tc>
          <w:tcPr>
            <w:tcW w:w="1006" w:type="dxa"/>
          </w:tcPr>
          <w:p w14:paraId="01B5F9A4" w14:textId="77777777" w:rsidR="00765669" w:rsidRDefault="00765669" w:rsidP="00A60F04">
            <w:pPr>
              <w:jc w:val="both"/>
              <w:rPr>
                <w:rFonts w:ascii="Times New Roman" w:hAnsi="Times New Roman" w:cs="Times New Roman"/>
                <w:sz w:val="24"/>
                <w:szCs w:val="24"/>
              </w:rPr>
            </w:pPr>
            <w:r>
              <w:rPr>
                <w:rFonts w:ascii="Times New Roman" w:hAnsi="Times New Roman" w:cs="Times New Roman"/>
                <w:sz w:val="24"/>
                <w:szCs w:val="24"/>
              </w:rPr>
              <w:t>Male</w:t>
            </w:r>
          </w:p>
        </w:tc>
        <w:tc>
          <w:tcPr>
            <w:tcW w:w="994" w:type="dxa"/>
          </w:tcPr>
          <w:p w14:paraId="3D36A8DF" w14:textId="77777777" w:rsidR="00765669" w:rsidRDefault="00765669"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Female</w:t>
            </w:r>
            <w:proofErr w:type="spellEnd"/>
          </w:p>
        </w:tc>
      </w:tr>
      <w:tr w:rsidR="00765669" w14:paraId="4B6B3C84" w14:textId="77777777" w:rsidTr="00547F67">
        <w:trPr>
          <w:jc w:val="center"/>
        </w:trPr>
        <w:tc>
          <w:tcPr>
            <w:tcW w:w="2547" w:type="dxa"/>
          </w:tcPr>
          <w:p w14:paraId="29D61C44" w14:textId="77777777" w:rsidR="00765669" w:rsidRDefault="00765669" w:rsidP="00765669">
            <w:pPr>
              <w:jc w:val="both"/>
              <w:rPr>
                <w:rFonts w:ascii="Times New Roman" w:hAnsi="Times New Roman" w:cs="Times New Roman"/>
                <w:sz w:val="24"/>
                <w:szCs w:val="24"/>
              </w:rPr>
            </w:pPr>
            <w:proofErr w:type="spellStart"/>
            <w:r w:rsidRPr="001F3C3C">
              <w:rPr>
                <w:rFonts w:ascii="Times New Roman" w:hAnsi="Times New Roman" w:cs="Times New Roman"/>
                <w:sz w:val="24"/>
                <w:szCs w:val="24"/>
                <w:highlight w:val="yellow"/>
              </w:rPr>
              <w:t>Meijs</w:t>
            </w:r>
            <w:proofErr w:type="spellEnd"/>
            <w:r w:rsidRPr="001F3C3C">
              <w:rPr>
                <w:rFonts w:ascii="Times New Roman" w:hAnsi="Times New Roman" w:cs="Times New Roman"/>
                <w:sz w:val="24"/>
                <w:szCs w:val="24"/>
                <w:highlight w:val="yellow"/>
              </w:rPr>
              <w:t xml:space="preserve"> et al. (2022)</w:t>
            </w:r>
          </w:p>
        </w:tc>
        <w:tc>
          <w:tcPr>
            <w:tcW w:w="1006" w:type="dxa"/>
          </w:tcPr>
          <w:p w14:paraId="1607161A" w14:textId="42396094" w:rsidR="00765669" w:rsidRDefault="00765669" w:rsidP="00765669">
            <w:pPr>
              <w:jc w:val="both"/>
              <w:rPr>
                <w:rFonts w:ascii="Times New Roman" w:hAnsi="Times New Roman" w:cs="Times New Roman"/>
                <w:sz w:val="24"/>
                <w:szCs w:val="24"/>
              </w:rPr>
            </w:pPr>
            <w:r>
              <w:rPr>
                <w:rFonts w:ascii="Times New Roman" w:hAnsi="Times New Roman" w:cs="Times New Roman"/>
                <w:sz w:val="24"/>
                <w:szCs w:val="24"/>
              </w:rPr>
              <w:t>39%</w:t>
            </w:r>
          </w:p>
        </w:tc>
        <w:tc>
          <w:tcPr>
            <w:tcW w:w="994" w:type="dxa"/>
          </w:tcPr>
          <w:p w14:paraId="28E79C2B" w14:textId="3431116F" w:rsidR="00765669" w:rsidRDefault="00765669" w:rsidP="00765669">
            <w:pPr>
              <w:jc w:val="both"/>
              <w:rPr>
                <w:rFonts w:ascii="Times New Roman" w:hAnsi="Times New Roman" w:cs="Times New Roman"/>
                <w:sz w:val="24"/>
                <w:szCs w:val="24"/>
              </w:rPr>
            </w:pPr>
            <w:r>
              <w:rPr>
                <w:rFonts w:ascii="Times New Roman" w:hAnsi="Times New Roman" w:cs="Times New Roman"/>
                <w:sz w:val="24"/>
                <w:szCs w:val="24"/>
              </w:rPr>
              <w:t>27%</w:t>
            </w:r>
          </w:p>
        </w:tc>
      </w:tr>
      <w:tr w:rsidR="00765669" w14:paraId="6314F524" w14:textId="77777777" w:rsidTr="00547F67">
        <w:trPr>
          <w:jc w:val="center"/>
        </w:trPr>
        <w:tc>
          <w:tcPr>
            <w:tcW w:w="2547" w:type="dxa"/>
          </w:tcPr>
          <w:p w14:paraId="6BFD7C67" w14:textId="77777777" w:rsidR="00765669" w:rsidRDefault="00765669" w:rsidP="00765669">
            <w:pPr>
              <w:jc w:val="both"/>
              <w:rPr>
                <w:rFonts w:ascii="Times New Roman" w:hAnsi="Times New Roman" w:cs="Times New Roman"/>
                <w:sz w:val="24"/>
                <w:szCs w:val="24"/>
              </w:rPr>
            </w:pPr>
            <w:r>
              <w:rPr>
                <w:rFonts w:ascii="Times New Roman" w:hAnsi="Times New Roman" w:cs="Times New Roman"/>
                <w:sz w:val="24"/>
                <w:szCs w:val="24"/>
              </w:rPr>
              <w:t>Nuestro estudio</w:t>
            </w:r>
          </w:p>
        </w:tc>
        <w:tc>
          <w:tcPr>
            <w:tcW w:w="1006" w:type="dxa"/>
          </w:tcPr>
          <w:p w14:paraId="769A5D32" w14:textId="632E91D7"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shd w:val="clear" w:color="auto" w:fill="FFFFFF"/>
              </w:rPr>
              <w:t>48.93%</w:t>
            </w:r>
          </w:p>
        </w:tc>
        <w:tc>
          <w:tcPr>
            <w:tcW w:w="994" w:type="dxa"/>
          </w:tcPr>
          <w:p w14:paraId="1AF64904" w14:textId="1D0EC06E"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45.95%</w:t>
            </w:r>
          </w:p>
        </w:tc>
      </w:tr>
      <w:tr w:rsidR="00765669" w14:paraId="3B97A695" w14:textId="77777777" w:rsidTr="00547F67">
        <w:trPr>
          <w:jc w:val="center"/>
        </w:trPr>
        <w:tc>
          <w:tcPr>
            <w:tcW w:w="2547" w:type="dxa"/>
          </w:tcPr>
          <w:p w14:paraId="360D5ECA" w14:textId="77777777" w:rsidR="00765669" w:rsidRPr="00765669" w:rsidRDefault="00765669" w:rsidP="00765669">
            <w:pPr>
              <w:jc w:val="both"/>
              <w:rPr>
                <w:rFonts w:ascii="Times New Roman" w:hAnsi="Times New Roman" w:cs="Times New Roman"/>
                <w:sz w:val="24"/>
                <w:szCs w:val="24"/>
                <w:highlight w:val="yellow"/>
              </w:rPr>
            </w:pPr>
            <w:proofErr w:type="spellStart"/>
            <w:r w:rsidRPr="00765669">
              <w:rPr>
                <w:rFonts w:ascii="Times New Roman" w:hAnsi="Times New Roman" w:cs="Times New Roman"/>
                <w:sz w:val="24"/>
                <w:szCs w:val="24"/>
                <w:highlight w:val="yellow"/>
              </w:rPr>
              <w:t>Graselli</w:t>
            </w:r>
            <w:proofErr w:type="spellEnd"/>
            <w:r w:rsidRPr="00765669">
              <w:rPr>
                <w:rFonts w:ascii="Times New Roman" w:hAnsi="Times New Roman" w:cs="Times New Roman"/>
                <w:sz w:val="24"/>
                <w:szCs w:val="24"/>
                <w:highlight w:val="yellow"/>
              </w:rPr>
              <w:t xml:space="preserve"> et al. (2020)</w:t>
            </w:r>
          </w:p>
        </w:tc>
        <w:tc>
          <w:tcPr>
            <w:tcW w:w="1006" w:type="dxa"/>
          </w:tcPr>
          <w:p w14:paraId="39FA36C3" w14:textId="407ED0E8" w:rsidR="00765669" w:rsidRPr="00CE617C"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71.9</w:t>
            </w:r>
          </w:p>
        </w:tc>
        <w:tc>
          <w:tcPr>
            <w:tcW w:w="994" w:type="dxa"/>
          </w:tcPr>
          <w:p w14:paraId="4F13A657" w14:textId="01FE5566"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28.1</w:t>
            </w:r>
          </w:p>
        </w:tc>
      </w:tr>
      <w:tr w:rsidR="00765669" w14:paraId="595FB111" w14:textId="77777777" w:rsidTr="00547F67">
        <w:trPr>
          <w:jc w:val="center"/>
        </w:trPr>
        <w:tc>
          <w:tcPr>
            <w:tcW w:w="2547" w:type="dxa"/>
          </w:tcPr>
          <w:p w14:paraId="22E9D1E8" w14:textId="77777777" w:rsidR="00765669" w:rsidRDefault="00765669" w:rsidP="00765669">
            <w:pPr>
              <w:jc w:val="both"/>
              <w:rPr>
                <w:rFonts w:ascii="Times New Roman" w:hAnsi="Times New Roman" w:cs="Times New Roman"/>
                <w:sz w:val="24"/>
                <w:szCs w:val="24"/>
              </w:rPr>
            </w:pPr>
            <w:proofErr w:type="spellStart"/>
            <w:r w:rsidRPr="001F3C3C">
              <w:rPr>
                <w:rFonts w:ascii="Times New Roman" w:hAnsi="Times New Roman" w:cs="Times New Roman"/>
                <w:sz w:val="24"/>
                <w:szCs w:val="24"/>
                <w:highlight w:val="yellow"/>
              </w:rPr>
              <w:t>Zappella</w:t>
            </w:r>
            <w:proofErr w:type="spellEnd"/>
            <w:r w:rsidRPr="001F3C3C">
              <w:rPr>
                <w:rFonts w:ascii="Times New Roman" w:hAnsi="Times New Roman" w:cs="Times New Roman"/>
                <w:sz w:val="24"/>
                <w:szCs w:val="24"/>
                <w:highlight w:val="yellow"/>
              </w:rPr>
              <w:t xml:space="preserve"> et al. (2022)</w:t>
            </w:r>
          </w:p>
        </w:tc>
        <w:tc>
          <w:tcPr>
            <w:tcW w:w="1006" w:type="dxa"/>
          </w:tcPr>
          <w:p w14:paraId="7F266FC5" w14:textId="77777777" w:rsidR="00765669" w:rsidRPr="00CE617C"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69.5</w:t>
            </w:r>
          </w:p>
        </w:tc>
        <w:tc>
          <w:tcPr>
            <w:tcW w:w="994" w:type="dxa"/>
          </w:tcPr>
          <w:p w14:paraId="009AC524" w14:textId="77777777"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30.5</w:t>
            </w:r>
          </w:p>
        </w:tc>
      </w:tr>
      <w:tr w:rsidR="00765669" w14:paraId="3E333E53" w14:textId="77777777" w:rsidTr="00547F67">
        <w:trPr>
          <w:jc w:val="center"/>
        </w:trPr>
        <w:tc>
          <w:tcPr>
            <w:tcW w:w="2547" w:type="dxa"/>
          </w:tcPr>
          <w:p w14:paraId="4718BFAD" w14:textId="77777777" w:rsidR="00765669" w:rsidRPr="0042492D" w:rsidRDefault="00765669" w:rsidP="00765669">
            <w:pPr>
              <w:jc w:val="both"/>
              <w:rPr>
                <w:rFonts w:ascii="Times New Roman" w:hAnsi="Times New Roman" w:cs="Times New Roman"/>
                <w:sz w:val="24"/>
                <w:szCs w:val="24"/>
                <w:highlight w:val="yellow"/>
              </w:rPr>
            </w:pPr>
            <w:r w:rsidRPr="0042492D">
              <w:rPr>
                <w:rFonts w:ascii="Times New Roman" w:hAnsi="Times New Roman" w:cs="Times New Roman"/>
                <w:sz w:val="24"/>
                <w:szCs w:val="24"/>
                <w:highlight w:val="yellow"/>
              </w:rPr>
              <w:t>Haase et al. (2021)</w:t>
            </w:r>
          </w:p>
        </w:tc>
        <w:tc>
          <w:tcPr>
            <w:tcW w:w="1006" w:type="dxa"/>
          </w:tcPr>
          <w:p w14:paraId="1B7E3C45" w14:textId="77777777" w:rsidR="00765669" w:rsidRPr="0042492D" w:rsidRDefault="00765669" w:rsidP="00765669">
            <w:pPr>
              <w:jc w:val="both"/>
              <w:rPr>
                <w:rFonts w:ascii="Times New Roman" w:hAnsi="Times New Roman" w:cs="Times New Roman"/>
                <w:sz w:val="24"/>
                <w:szCs w:val="24"/>
                <w:shd w:val="clear" w:color="auto" w:fill="FFFFFF"/>
              </w:rPr>
            </w:pPr>
            <w:r w:rsidRPr="0042492D">
              <w:rPr>
                <w:rFonts w:ascii="Times New Roman" w:hAnsi="Times New Roman" w:cs="Times New Roman"/>
                <w:sz w:val="24"/>
                <w:szCs w:val="24"/>
                <w:shd w:val="clear" w:color="auto" w:fill="FFFFFF"/>
              </w:rPr>
              <w:t>239</w:t>
            </w:r>
          </w:p>
        </w:tc>
        <w:tc>
          <w:tcPr>
            <w:tcW w:w="994" w:type="dxa"/>
          </w:tcPr>
          <w:p w14:paraId="54DAF689" w14:textId="77777777" w:rsidR="00765669" w:rsidRPr="0042492D" w:rsidRDefault="00765669" w:rsidP="00765669">
            <w:pPr>
              <w:jc w:val="both"/>
              <w:rPr>
                <w:rFonts w:ascii="Times New Roman" w:hAnsi="Times New Roman" w:cs="Times New Roman"/>
                <w:sz w:val="24"/>
                <w:szCs w:val="24"/>
              </w:rPr>
            </w:pPr>
            <w:r w:rsidRPr="0042492D">
              <w:rPr>
                <w:rFonts w:ascii="Times New Roman" w:hAnsi="Times New Roman" w:cs="Times New Roman"/>
                <w:sz w:val="24"/>
                <w:szCs w:val="24"/>
              </w:rPr>
              <w:t>132</w:t>
            </w:r>
          </w:p>
        </w:tc>
      </w:tr>
      <w:tr w:rsidR="00765669" w14:paraId="13BE19FA" w14:textId="77777777" w:rsidTr="00547F67">
        <w:trPr>
          <w:jc w:val="center"/>
        </w:trPr>
        <w:tc>
          <w:tcPr>
            <w:tcW w:w="2547" w:type="dxa"/>
          </w:tcPr>
          <w:p w14:paraId="4EEACAE5" w14:textId="77777777" w:rsidR="00765669" w:rsidRDefault="00765669" w:rsidP="00765669">
            <w:pPr>
              <w:jc w:val="both"/>
              <w:rPr>
                <w:rFonts w:ascii="Times New Roman" w:hAnsi="Times New Roman" w:cs="Times New Roman"/>
                <w:sz w:val="24"/>
                <w:szCs w:val="24"/>
              </w:rPr>
            </w:pPr>
            <w:r w:rsidRPr="005B596C">
              <w:rPr>
                <w:rFonts w:ascii="Times New Roman" w:hAnsi="Times New Roman" w:cs="Times New Roman"/>
                <w:sz w:val="24"/>
                <w:szCs w:val="24"/>
                <w:highlight w:val="yellow"/>
              </w:rPr>
              <w:t>Peñuelas et al. (2021)</w:t>
            </w:r>
          </w:p>
        </w:tc>
        <w:tc>
          <w:tcPr>
            <w:tcW w:w="1006" w:type="dxa"/>
          </w:tcPr>
          <w:p w14:paraId="20769DBE" w14:textId="77777777" w:rsidR="00765669" w:rsidRPr="00CE617C"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w:t>
            </w:r>
          </w:p>
        </w:tc>
        <w:tc>
          <w:tcPr>
            <w:tcW w:w="994" w:type="dxa"/>
          </w:tcPr>
          <w:p w14:paraId="018E40BE" w14:textId="77777777"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28</w:t>
            </w:r>
          </w:p>
        </w:tc>
      </w:tr>
      <w:tr w:rsidR="00765669" w14:paraId="6AFCCE8D" w14:textId="77777777" w:rsidTr="00547F67">
        <w:trPr>
          <w:jc w:val="center"/>
        </w:trPr>
        <w:tc>
          <w:tcPr>
            <w:tcW w:w="2547" w:type="dxa"/>
          </w:tcPr>
          <w:p w14:paraId="7EF750FA" w14:textId="77777777" w:rsidR="00765669" w:rsidRPr="0042492D" w:rsidRDefault="00765669" w:rsidP="00765669">
            <w:pPr>
              <w:jc w:val="both"/>
              <w:rPr>
                <w:rFonts w:ascii="Times New Roman" w:hAnsi="Times New Roman" w:cs="Times New Roman"/>
                <w:sz w:val="24"/>
                <w:szCs w:val="24"/>
                <w:highlight w:val="yellow"/>
              </w:rPr>
            </w:pPr>
            <w:proofErr w:type="spellStart"/>
            <w:r w:rsidRPr="0042492D">
              <w:rPr>
                <w:rFonts w:ascii="Times New Roman" w:hAnsi="Times New Roman" w:cs="Times New Roman"/>
                <w:sz w:val="24"/>
                <w:szCs w:val="24"/>
                <w:highlight w:val="yellow"/>
              </w:rPr>
              <w:lastRenderedPageBreak/>
              <w:t>Zhan</w:t>
            </w:r>
            <w:proofErr w:type="spellEnd"/>
            <w:r w:rsidRPr="0042492D">
              <w:rPr>
                <w:rFonts w:ascii="Times New Roman" w:hAnsi="Times New Roman" w:cs="Times New Roman"/>
                <w:sz w:val="24"/>
                <w:szCs w:val="24"/>
                <w:highlight w:val="yellow"/>
              </w:rPr>
              <w:t xml:space="preserve"> et al. (2021)</w:t>
            </w:r>
          </w:p>
        </w:tc>
        <w:tc>
          <w:tcPr>
            <w:tcW w:w="1006" w:type="dxa"/>
          </w:tcPr>
          <w:p w14:paraId="70EA79C2" w14:textId="77777777" w:rsidR="00765669" w:rsidRPr="0042492D" w:rsidRDefault="00765669" w:rsidP="00765669">
            <w:pPr>
              <w:jc w:val="both"/>
              <w:rPr>
                <w:rFonts w:ascii="Times New Roman" w:hAnsi="Times New Roman" w:cs="Times New Roman"/>
                <w:sz w:val="24"/>
                <w:szCs w:val="24"/>
                <w:shd w:val="clear" w:color="auto" w:fill="FFFFFF"/>
              </w:rPr>
            </w:pPr>
            <w:r w:rsidRPr="0042492D">
              <w:rPr>
                <w:rFonts w:ascii="Times New Roman" w:hAnsi="Times New Roman" w:cs="Times New Roman"/>
                <w:sz w:val="24"/>
                <w:szCs w:val="24"/>
                <w:shd w:val="clear" w:color="auto" w:fill="FFFFFF"/>
              </w:rPr>
              <w:t>36</w:t>
            </w:r>
          </w:p>
        </w:tc>
        <w:tc>
          <w:tcPr>
            <w:tcW w:w="994" w:type="dxa"/>
          </w:tcPr>
          <w:p w14:paraId="6E4DF9E4" w14:textId="77777777" w:rsidR="00765669" w:rsidRPr="0042492D" w:rsidRDefault="00765669" w:rsidP="00765669">
            <w:pPr>
              <w:jc w:val="both"/>
              <w:rPr>
                <w:rFonts w:ascii="Times New Roman" w:hAnsi="Times New Roman" w:cs="Times New Roman"/>
                <w:sz w:val="24"/>
                <w:szCs w:val="24"/>
              </w:rPr>
            </w:pPr>
            <w:r w:rsidRPr="0042492D">
              <w:rPr>
                <w:rFonts w:ascii="Times New Roman" w:hAnsi="Times New Roman" w:cs="Times New Roman"/>
                <w:sz w:val="24"/>
                <w:szCs w:val="24"/>
              </w:rPr>
              <w:t>39</w:t>
            </w:r>
          </w:p>
        </w:tc>
      </w:tr>
      <w:tr w:rsidR="00765669" w14:paraId="74CB442F" w14:textId="77777777" w:rsidTr="00547F67">
        <w:trPr>
          <w:jc w:val="center"/>
        </w:trPr>
        <w:tc>
          <w:tcPr>
            <w:tcW w:w="2547" w:type="dxa"/>
          </w:tcPr>
          <w:p w14:paraId="7F8CF673" w14:textId="77777777" w:rsidR="00765669" w:rsidRPr="0042492D" w:rsidRDefault="00765669" w:rsidP="00765669">
            <w:pPr>
              <w:jc w:val="both"/>
              <w:rPr>
                <w:rFonts w:ascii="Times New Roman" w:hAnsi="Times New Roman" w:cs="Times New Roman"/>
                <w:sz w:val="24"/>
                <w:szCs w:val="24"/>
                <w:highlight w:val="yellow"/>
              </w:rPr>
            </w:pPr>
            <w:proofErr w:type="spellStart"/>
            <w:r w:rsidRPr="0042492D">
              <w:rPr>
                <w:rFonts w:ascii="Times New Roman" w:hAnsi="Times New Roman" w:cs="Times New Roman"/>
                <w:sz w:val="24"/>
                <w:szCs w:val="24"/>
                <w:highlight w:val="yellow"/>
              </w:rPr>
              <w:t>Cour</w:t>
            </w:r>
            <w:proofErr w:type="spellEnd"/>
            <w:r w:rsidRPr="0042492D">
              <w:rPr>
                <w:rFonts w:ascii="Times New Roman" w:hAnsi="Times New Roman" w:cs="Times New Roman"/>
                <w:sz w:val="24"/>
                <w:szCs w:val="24"/>
                <w:highlight w:val="yellow"/>
              </w:rPr>
              <w:t xml:space="preserve"> et al. (2021)</w:t>
            </w:r>
          </w:p>
        </w:tc>
        <w:tc>
          <w:tcPr>
            <w:tcW w:w="1006" w:type="dxa"/>
          </w:tcPr>
          <w:p w14:paraId="5DD78419" w14:textId="77777777" w:rsidR="00765669" w:rsidRPr="00CE617C"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73.4</w:t>
            </w:r>
          </w:p>
        </w:tc>
        <w:tc>
          <w:tcPr>
            <w:tcW w:w="994" w:type="dxa"/>
          </w:tcPr>
          <w:p w14:paraId="2FF3A9B2" w14:textId="77777777"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26.6</w:t>
            </w:r>
          </w:p>
        </w:tc>
      </w:tr>
      <w:tr w:rsidR="00765669" w14:paraId="6F25C125" w14:textId="77777777" w:rsidTr="00547F67">
        <w:trPr>
          <w:jc w:val="center"/>
        </w:trPr>
        <w:tc>
          <w:tcPr>
            <w:tcW w:w="2547" w:type="dxa"/>
          </w:tcPr>
          <w:p w14:paraId="6A270764" w14:textId="77777777" w:rsidR="00765669" w:rsidRPr="005E7571" w:rsidRDefault="00765669" w:rsidP="00765669">
            <w:pPr>
              <w:jc w:val="both"/>
              <w:rPr>
                <w:rFonts w:ascii="Times New Roman" w:hAnsi="Times New Roman" w:cs="Times New Roman"/>
                <w:sz w:val="24"/>
                <w:szCs w:val="24"/>
                <w:highlight w:val="yellow"/>
              </w:rPr>
            </w:pPr>
            <w:r w:rsidRPr="005E7571">
              <w:rPr>
                <w:rFonts w:ascii="Times New Roman" w:hAnsi="Times New Roman" w:cs="Times New Roman"/>
                <w:sz w:val="24"/>
                <w:szCs w:val="24"/>
                <w:highlight w:val="yellow"/>
              </w:rPr>
              <w:t>Schmidt et al. (2021)</w:t>
            </w:r>
          </w:p>
        </w:tc>
        <w:tc>
          <w:tcPr>
            <w:tcW w:w="1006" w:type="dxa"/>
          </w:tcPr>
          <w:p w14:paraId="765375C5" w14:textId="77777777" w:rsidR="00765669" w:rsidRPr="00CE617C"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w:t>
            </w:r>
          </w:p>
        </w:tc>
        <w:tc>
          <w:tcPr>
            <w:tcW w:w="994" w:type="dxa"/>
          </w:tcPr>
          <w:p w14:paraId="7AD9FCBA" w14:textId="77777777" w:rsidR="00765669" w:rsidRPr="00CE617C" w:rsidRDefault="00765669" w:rsidP="00765669">
            <w:pPr>
              <w:jc w:val="both"/>
              <w:rPr>
                <w:rFonts w:ascii="Times New Roman" w:hAnsi="Times New Roman" w:cs="Times New Roman"/>
                <w:sz w:val="24"/>
                <w:szCs w:val="24"/>
              </w:rPr>
            </w:pPr>
            <w:r>
              <w:rPr>
                <w:rFonts w:ascii="Times New Roman" w:hAnsi="Times New Roman" w:cs="Times New Roman"/>
                <w:sz w:val="24"/>
                <w:szCs w:val="24"/>
              </w:rPr>
              <w:t>26</w:t>
            </w:r>
          </w:p>
        </w:tc>
      </w:tr>
      <w:tr w:rsidR="00765669" w14:paraId="4465DC10" w14:textId="77777777" w:rsidTr="00547F67">
        <w:trPr>
          <w:jc w:val="center"/>
        </w:trPr>
        <w:tc>
          <w:tcPr>
            <w:tcW w:w="2547" w:type="dxa"/>
          </w:tcPr>
          <w:p w14:paraId="016838FB" w14:textId="77777777" w:rsidR="00765669" w:rsidRDefault="00765669" w:rsidP="00765669">
            <w:pPr>
              <w:jc w:val="both"/>
            </w:pPr>
            <w:r w:rsidRPr="00D45A8B">
              <w:rPr>
                <w:highlight w:val="yellow"/>
              </w:rPr>
              <w:t>Islam et al. (2021)</w:t>
            </w:r>
          </w:p>
        </w:tc>
        <w:tc>
          <w:tcPr>
            <w:tcW w:w="1006" w:type="dxa"/>
          </w:tcPr>
          <w:p w14:paraId="165EB4E0" w14:textId="77777777" w:rsidR="00765669"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74.1</w:t>
            </w:r>
          </w:p>
        </w:tc>
        <w:tc>
          <w:tcPr>
            <w:tcW w:w="994" w:type="dxa"/>
          </w:tcPr>
          <w:p w14:paraId="4A4DB7FD" w14:textId="77777777" w:rsidR="00765669" w:rsidRDefault="00765669" w:rsidP="00765669">
            <w:pPr>
              <w:jc w:val="both"/>
              <w:rPr>
                <w:rFonts w:ascii="Times New Roman" w:hAnsi="Times New Roman" w:cs="Times New Roman"/>
                <w:sz w:val="24"/>
                <w:szCs w:val="24"/>
              </w:rPr>
            </w:pPr>
            <w:r>
              <w:rPr>
                <w:rFonts w:ascii="Times New Roman" w:hAnsi="Times New Roman" w:cs="Times New Roman"/>
                <w:sz w:val="24"/>
                <w:szCs w:val="24"/>
              </w:rPr>
              <w:t>25.9</w:t>
            </w:r>
          </w:p>
        </w:tc>
      </w:tr>
      <w:tr w:rsidR="00765669" w14:paraId="2386D603" w14:textId="77777777" w:rsidTr="00547F67">
        <w:trPr>
          <w:jc w:val="center"/>
        </w:trPr>
        <w:tc>
          <w:tcPr>
            <w:tcW w:w="2547" w:type="dxa"/>
          </w:tcPr>
          <w:p w14:paraId="12B82F1A" w14:textId="77777777" w:rsidR="00765669" w:rsidRPr="00D45A8B" w:rsidRDefault="00765669" w:rsidP="00765669">
            <w:pPr>
              <w:jc w:val="both"/>
              <w:rPr>
                <w:highlight w:val="yellow"/>
              </w:rPr>
            </w:pPr>
            <w:proofErr w:type="spellStart"/>
            <w:r>
              <w:rPr>
                <w:highlight w:val="yellow"/>
              </w:rPr>
              <w:t>Lapidus</w:t>
            </w:r>
            <w:proofErr w:type="spellEnd"/>
            <w:r>
              <w:rPr>
                <w:highlight w:val="yellow"/>
              </w:rPr>
              <w:t xml:space="preserve"> et al. (2020)</w:t>
            </w:r>
          </w:p>
        </w:tc>
        <w:tc>
          <w:tcPr>
            <w:tcW w:w="1006" w:type="dxa"/>
          </w:tcPr>
          <w:p w14:paraId="3EF3B164" w14:textId="77777777" w:rsidR="00765669" w:rsidRDefault="00765669" w:rsidP="00765669">
            <w:pPr>
              <w:jc w:val="both"/>
              <w:rPr>
                <w:rFonts w:ascii="Times New Roman" w:hAnsi="Times New Roman" w:cs="Times New Roman"/>
                <w:sz w:val="24"/>
                <w:szCs w:val="24"/>
                <w:shd w:val="clear" w:color="auto" w:fill="FFFFFF"/>
              </w:rPr>
            </w:pPr>
          </w:p>
        </w:tc>
        <w:tc>
          <w:tcPr>
            <w:tcW w:w="994" w:type="dxa"/>
          </w:tcPr>
          <w:p w14:paraId="25E924F8" w14:textId="77777777" w:rsidR="00765669" w:rsidRDefault="00765669" w:rsidP="00765669">
            <w:pPr>
              <w:jc w:val="both"/>
              <w:rPr>
                <w:rFonts w:ascii="Times New Roman" w:hAnsi="Times New Roman" w:cs="Times New Roman"/>
                <w:sz w:val="24"/>
                <w:szCs w:val="24"/>
              </w:rPr>
            </w:pPr>
          </w:p>
        </w:tc>
      </w:tr>
      <w:tr w:rsidR="00765669" w14:paraId="70837975" w14:textId="77777777" w:rsidTr="00547F67">
        <w:trPr>
          <w:jc w:val="center"/>
        </w:trPr>
        <w:tc>
          <w:tcPr>
            <w:tcW w:w="2547" w:type="dxa"/>
          </w:tcPr>
          <w:p w14:paraId="06CD0863" w14:textId="77777777" w:rsidR="00765669" w:rsidRDefault="00765669" w:rsidP="00765669">
            <w:pPr>
              <w:jc w:val="both"/>
              <w:rPr>
                <w:highlight w:val="yellow"/>
              </w:rPr>
            </w:pPr>
            <w:proofErr w:type="spellStart"/>
            <w:r>
              <w:rPr>
                <w:highlight w:val="yellow"/>
              </w:rPr>
              <w:t>Sun</w:t>
            </w:r>
            <w:proofErr w:type="spellEnd"/>
            <w:r>
              <w:rPr>
                <w:highlight w:val="yellow"/>
              </w:rPr>
              <w:t xml:space="preserve"> et al. (2022)</w:t>
            </w:r>
          </w:p>
        </w:tc>
        <w:tc>
          <w:tcPr>
            <w:tcW w:w="1006" w:type="dxa"/>
          </w:tcPr>
          <w:p w14:paraId="02C76289" w14:textId="77777777" w:rsidR="00765669" w:rsidRDefault="00765669" w:rsidP="0076566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76.7</w:t>
            </w:r>
          </w:p>
        </w:tc>
        <w:tc>
          <w:tcPr>
            <w:tcW w:w="994" w:type="dxa"/>
          </w:tcPr>
          <w:p w14:paraId="361BC776" w14:textId="77777777" w:rsidR="00765669" w:rsidRDefault="00765669" w:rsidP="00765669">
            <w:pPr>
              <w:jc w:val="both"/>
              <w:rPr>
                <w:rFonts w:ascii="Times New Roman" w:hAnsi="Times New Roman" w:cs="Times New Roman"/>
                <w:sz w:val="24"/>
                <w:szCs w:val="24"/>
              </w:rPr>
            </w:pPr>
            <w:r>
              <w:rPr>
                <w:rFonts w:ascii="Times New Roman" w:hAnsi="Times New Roman" w:cs="Times New Roman"/>
                <w:sz w:val="24"/>
                <w:szCs w:val="24"/>
              </w:rPr>
              <w:t>23.3</w:t>
            </w:r>
          </w:p>
        </w:tc>
      </w:tr>
    </w:tbl>
    <w:p w14:paraId="5426A889" w14:textId="77777777" w:rsidR="00547F67" w:rsidRDefault="00547F67" w:rsidP="00547F67">
      <w:pPr>
        <w:ind w:left="1985"/>
        <w:jc w:val="both"/>
        <w:rPr>
          <w:rFonts w:ascii="Times New Roman" w:hAnsi="Times New Roman" w:cs="Times New Roman"/>
          <w:sz w:val="24"/>
          <w:szCs w:val="24"/>
        </w:rPr>
      </w:pPr>
    </w:p>
    <w:p w14:paraId="4CCCBCB9" w14:textId="3ABF64AD" w:rsidR="00AF7119" w:rsidRPr="00547F67" w:rsidRDefault="00547F67" w:rsidP="00547F67">
      <w:pPr>
        <w:ind w:left="1985"/>
        <w:jc w:val="both"/>
        <w:rPr>
          <w:rFonts w:ascii="Times New Roman" w:hAnsi="Times New Roman" w:cs="Times New Roman"/>
          <w:b/>
          <w:bCs/>
          <w:sz w:val="24"/>
          <w:szCs w:val="24"/>
        </w:rPr>
      </w:pPr>
      <w:r w:rsidRPr="00547F67">
        <w:rPr>
          <w:rFonts w:ascii="Times New Roman" w:hAnsi="Times New Roman" w:cs="Times New Roman"/>
          <w:b/>
          <w:bCs/>
          <w:sz w:val="24"/>
          <w:szCs w:val="24"/>
        </w:rPr>
        <w:t>Estudios de la región</w:t>
      </w:r>
      <w:r w:rsidR="00C73754">
        <w:rPr>
          <w:rFonts w:ascii="Times New Roman" w:hAnsi="Times New Roman" w:cs="Times New Roman"/>
          <w:b/>
          <w:bCs/>
          <w:sz w:val="24"/>
          <w:szCs w:val="24"/>
        </w:rPr>
        <w:t xml:space="preserve"> (riesgo relativo)</w:t>
      </w:r>
    </w:p>
    <w:tbl>
      <w:tblPr>
        <w:tblStyle w:val="Tablaconcuadrcula"/>
        <w:tblW w:w="0" w:type="auto"/>
        <w:jc w:val="center"/>
        <w:tblLook w:val="04A0" w:firstRow="1" w:lastRow="0" w:firstColumn="1" w:lastColumn="0" w:noHBand="0" w:noVBand="1"/>
      </w:tblPr>
      <w:tblGrid>
        <w:gridCol w:w="2263"/>
        <w:gridCol w:w="993"/>
        <w:gridCol w:w="993"/>
        <w:gridCol w:w="1134"/>
      </w:tblGrid>
      <w:tr w:rsidR="00C73754" w14:paraId="5BBFB9A2" w14:textId="77777777" w:rsidTr="00733102">
        <w:trPr>
          <w:jc w:val="center"/>
        </w:trPr>
        <w:tc>
          <w:tcPr>
            <w:tcW w:w="2263" w:type="dxa"/>
          </w:tcPr>
          <w:p w14:paraId="68D23093" w14:textId="05F8C3BC" w:rsidR="00C73754" w:rsidRDefault="00C73754" w:rsidP="00A60F04">
            <w:pPr>
              <w:jc w:val="both"/>
              <w:rPr>
                <w:rFonts w:ascii="Times New Roman" w:hAnsi="Times New Roman" w:cs="Times New Roman"/>
                <w:sz w:val="24"/>
                <w:szCs w:val="24"/>
              </w:rPr>
            </w:pPr>
            <w:r>
              <w:rPr>
                <w:rFonts w:ascii="Times New Roman" w:hAnsi="Times New Roman" w:cs="Times New Roman"/>
                <w:sz w:val="24"/>
                <w:szCs w:val="24"/>
              </w:rPr>
              <w:t>HR por sexo</w:t>
            </w:r>
          </w:p>
        </w:tc>
        <w:tc>
          <w:tcPr>
            <w:tcW w:w="993" w:type="dxa"/>
          </w:tcPr>
          <w:p w14:paraId="75D134F2" w14:textId="63E063EB" w:rsidR="00C73754" w:rsidRDefault="00C73754" w:rsidP="00A60F04">
            <w:pPr>
              <w:jc w:val="both"/>
              <w:rPr>
                <w:rFonts w:ascii="Times New Roman" w:hAnsi="Times New Roman" w:cs="Times New Roman"/>
                <w:sz w:val="24"/>
                <w:szCs w:val="24"/>
              </w:rPr>
            </w:pPr>
            <w:r>
              <w:rPr>
                <w:rFonts w:ascii="Times New Roman" w:hAnsi="Times New Roman" w:cs="Times New Roman"/>
                <w:sz w:val="24"/>
                <w:szCs w:val="24"/>
              </w:rPr>
              <w:t>País</w:t>
            </w:r>
          </w:p>
        </w:tc>
        <w:tc>
          <w:tcPr>
            <w:tcW w:w="993" w:type="dxa"/>
          </w:tcPr>
          <w:p w14:paraId="629E549D" w14:textId="6648116B" w:rsidR="00C73754" w:rsidRDefault="00C73754" w:rsidP="00A60F04">
            <w:pPr>
              <w:jc w:val="both"/>
              <w:rPr>
                <w:rFonts w:ascii="Times New Roman" w:hAnsi="Times New Roman" w:cs="Times New Roman"/>
                <w:sz w:val="24"/>
                <w:szCs w:val="24"/>
              </w:rPr>
            </w:pPr>
            <w:r>
              <w:rPr>
                <w:rFonts w:ascii="Times New Roman" w:hAnsi="Times New Roman" w:cs="Times New Roman"/>
                <w:sz w:val="24"/>
                <w:szCs w:val="24"/>
              </w:rPr>
              <w:t>HR</w:t>
            </w:r>
          </w:p>
        </w:tc>
        <w:tc>
          <w:tcPr>
            <w:tcW w:w="1134" w:type="dxa"/>
          </w:tcPr>
          <w:p w14:paraId="6F20E360" w14:textId="0B98EB38" w:rsidR="00C73754" w:rsidRDefault="00C73754" w:rsidP="00A60F04">
            <w:pPr>
              <w:jc w:val="both"/>
              <w:rPr>
                <w:rFonts w:ascii="Times New Roman" w:hAnsi="Times New Roman" w:cs="Times New Roman"/>
                <w:sz w:val="24"/>
                <w:szCs w:val="24"/>
              </w:rPr>
            </w:pPr>
            <w:r>
              <w:rPr>
                <w:rFonts w:ascii="Times New Roman" w:hAnsi="Times New Roman" w:cs="Times New Roman"/>
                <w:sz w:val="24"/>
                <w:szCs w:val="24"/>
              </w:rPr>
              <w:t>IC</w:t>
            </w:r>
          </w:p>
        </w:tc>
      </w:tr>
      <w:tr w:rsidR="00C73754" w14:paraId="255E1C64" w14:textId="77777777" w:rsidTr="00733102">
        <w:trPr>
          <w:jc w:val="center"/>
        </w:trPr>
        <w:tc>
          <w:tcPr>
            <w:tcW w:w="2263" w:type="dxa"/>
          </w:tcPr>
          <w:p w14:paraId="6112CA3E" w14:textId="04846750" w:rsidR="00C73754" w:rsidRDefault="00C73754" w:rsidP="00A60F04">
            <w:pPr>
              <w:jc w:val="both"/>
              <w:rPr>
                <w:rFonts w:ascii="Times New Roman" w:hAnsi="Times New Roman" w:cs="Times New Roman"/>
                <w:sz w:val="24"/>
                <w:szCs w:val="24"/>
              </w:rPr>
            </w:pPr>
          </w:p>
        </w:tc>
        <w:tc>
          <w:tcPr>
            <w:tcW w:w="993" w:type="dxa"/>
          </w:tcPr>
          <w:p w14:paraId="0D10D483"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28E59B45" w14:textId="75E92A83"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0B826B61" w14:textId="77777777" w:rsidR="00C73754" w:rsidRPr="00CE617C" w:rsidRDefault="00C73754" w:rsidP="00A60F04">
            <w:pPr>
              <w:jc w:val="both"/>
              <w:rPr>
                <w:rFonts w:ascii="Times New Roman" w:hAnsi="Times New Roman" w:cs="Times New Roman"/>
                <w:sz w:val="24"/>
                <w:szCs w:val="24"/>
              </w:rPr>
            </w:pPr>
          </w:p>
        </w:tc>
      </w:tr>
      <w:tr w:rsidR="00C73754" w14:paraId="3557226C" w14:textId="77777777" w:rsidTr="00733102">
        <w:trPr>
          <w:jc w:val="center"/>
        </w:trPr>
        <w:tc>
          <w:tcPr>
            <w:tcW w:w="2263" w:type="dxa"/>
          </w:tcPr>
          <w:p w14:paraId="2673EBFE" w14:textId="77777777" w:rsidR="00C73754" w:rsidRDefault="00C73754" w:rsidP="00A60F04">
            <w:pPr>
              <w:jc w:val="both"/>
              <w:rPr>
                <w:rFonts w:ascii="Times New Roman" w:hAnsi="Times New Roman" w:cs="Times New Roman"/>
                <w:sz w:val="24"/>
                <w:szCs w:val="24"/>
              </w:rPr>
            </w:pPr>
          </w:p>
        </w:tc>
        <w:tc>
          <w:tcPr>
            <w:tcW w:w="993" w:type="dxa"/>
          </w:tcPr>
          <w:p w14:paraId="1B9FC470"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48312393" w14:textId="59B54EE0"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202E9000" w14:textId="77777777" w:rsidR="00C73754" w:rsidRPr="00CE617C" w:rsidRDefault="00C73754" w:rsidP="00A60F04">
            <w:pPr>
              <w:jc w:val="both"/>
              <w:rPr>
                <w:rFonts w:ascii="Times New Roman" w:hAnsi="Times New Roman" w:cs="Times New Roman"/>
                <w:sz w:val="24"/>
                <w:szCs w:val="24"/>
              </w:rPr>
            </w:pPr>
          </w:p>
        </w:tc>
      </w:tr>
      <w:tr w:rsidR="00C73754" w14:paraId="7C856E6F" w14:textId="77777777" w:rsidTr="00733102">
        <w:trPr>
          <w:jc w:val="center"/>
        </w:trPr>
        <w:tc>
          <w:tcPr>
            <w:tcW w:w="2263" w:type="dxa"/>
          </w:tcPr>
          <w:p w14:paraId="6AD05B94" w14:textId="77777777" w:rsidR="00C73754" w:rsidRDefault="00C73754" w:rsidP="00A60F04">
            <w:pPr>
              <w:jc w:val="both"/>
              <w:rPr>
                <w:rFonts w:ascii="Times New Roman" w:hAnsi="Times New Roman" w:cs="Times New Roman"/>
                <w:sz w:val="24"/>
                <w:szCs w:val="24"/>
              </w:rPr>
            </w:pPr>
          </w:p>
        </w:tc>
        <w:tc>
          <w:tcPr>
            <w:tcW w:w="993" w:type="dxa"/>
          </w:tcPr>
          <w:p w14:paraId="38C5A55B"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56562E81" w14:textId="5B3FC717"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434300E0" w14:textId="77777777" w:rsidR="00C73754" w:rsidRPr="00CE617C" w:rsidRDefault="00C73754" w:rsidP="00A60F04">
            <w:pPr>
              <w:jc w:val="both"/>
              <w:rPr>
                <w:rFonts w:ascii="Times New Roman" w:hAnsi="Times New Roman" w:cs="Times New Roman"/>
                <w:sz w:val="24"/>
                <w:szCs w:val="24"/>
              </w:rPr>
            </w:pPr>
          </w:p>
        </w:tc>
      </w:tr>
      <w:tr w:rsidR="00C73754" w14:paraId="2D0E8E5C" w14:textId="77777777" w:rsidTr="00733102">
        <w:trPr>
          <w:jc w:val="center"/>
        </w:trPr>
        <w:tc>
          <w:tcPr>
            <w:tcW w:w="2263" w:type="dxa"/>
          </w:tcPr>
          <w:p w14:paraId="25EA8918" w14:textId="77777777" w:rsidR="00C73754" w:rsidRDefault="00C73754" w:rsidP="00A60F04">
            <w:pPr>
              <w:jc w:val="both"/>
              <w:rPr>
                <w:rFonts w:ascii="Times New Roman" w:hAnsi="Times New Roman" w:cs="Times New Roman"/>
                <w:sz w:val="24"/>
                <w:szCs w:val="24"/>
              </w:rPr>
            </w:pPr>
          </w:p>
        </w:tc>
        <w:tc>
          <w:tcPr>
            <w:tcW w:w="993" w:type="dxa"/>
          </w:tcPr>
          <w:p w14:paraId="7BE25A77"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319A1F6F" w14:textId="11657265"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00B4A445" w14:textId="77777777" w:rsidR="00C73754" w:rsidRPr="00CE617C" w:rsidRDefault="00C73754" w:rsidP="00A60F04">
            <w:pPr>
              <w:jc w:val="both"/>
              <w:rPr>
                <w:rFonts w:ascii="Times New Roman" w:hAnsi="Times New Roman" w:cs="Times New Roman"/>
                <w:sz w:val="24"/>
                <w:szCs w:val="24"/>
              </w:rPr>
            </w:pPr>
          </w:p>
        </w:tc>
      </w:tr>
      <w:tr w:rsidR="00C73754" w14:paraId="717071BA" w14:textId="77777777" w:rsidTr="00733102">
        <w:trPr>
          <w:jc w:val="center"/>
        </w:trPr>
        <w:tc>
          <w:tcPr>
            <w:tcW w:w="2263" w:type="dxa"/>
          </w:tcPr>
          <w:p w14:paraId="2278281B" w14:textId="77777777" w:rsidR="00C73754" w:rsidRDefault="00C73754" w:rsidP="00A60F04">
            <w:pPr>
              <w:jc w:val="both"/>
              <w:rPr>
                <w:rFonts w:ascii="Times New Roman" w:hAnsi="Times New Roman" w:cs="Times New Roman"/>
                <w:sz w:val="24"/>
                <w:szCs w:val="24"/>
              </w:rPr>
            </w:pPr>
          </w:p>
        </w:tc>
        <w:tc>
          <w:tcPr>
            <w:tcW w:w="993" w:type="dxa"/>
          </w:tcPr>
          <w:p w14:paraId="0D78DD56"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76A75A20" w14:textId="35B575E7"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0D397CAB" w14:textId="77777777" w:rsidR="00C73754" w:rsidRPr="00CE617C" w:rsidRDefault="00C73754" w:rsidP="00A60F04">
            <w:pPr>
              <w:jc w:val="both"/>
              <w:rPr>
                <w:rFonts w:ascii="Times New Roman" w:hAnsi="Times New Roman" w:cs="Times New Roman"/>
                <w:sz w:val="24"/>
                <w:szCs w:val="24"/>
              </w:rPr>
            </w:pPr>
          </w:p>
        </w:tc>
      </w:tr>
      <w:tr w:rsidR="00C73754" w14:paraId="4F3497FB" w14:textId="77777777" w:rsidTr="00733102">
        <w:trPr>
          <w:jc w:val="center"/>
        </w:trPr>
        <w:tc>
          <w:tcPr>
            <w:tcW w:w="2263" w:type="dxa"/>
          </w:tcPr>
          <w:p w14:paraId="01C7E2F6" w14:textId="77777777" w:rsidR="00C73754" w:rsidRDefault="00C73754" w:rsidP="00A60F04">
            <w:pPr>
              <w:jc w:val="both"/>
              <w:rPr>
                <w:rFonts w:ascii="Times New Roman" w:hAnsi="Times New Roman" w:cs="Times New Roman"/>
                <w:sz w:val="24"/>
                <w:szCs w:val="24"/>
              </w:rPr>
            </w:pPr>
          </w:p>
        </w:tc>
        <w:tc>
          <w:tcPr>
            <w:tcW w:w="993" w:type="dxa"/>
          </w:tcPr>
          <w:p w14:paraId="7389B335"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6C5AAA8A" w14:textId="70CFEB7B"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6D4D72A8" w14:textId="77777777" w:rsidR="00C73754" w:rsidRPr="00CE617C" w:rsidRDefault="00C73754" w:rsidP="00A60F04">
            <w:pPr>
              <w:jc w:val="both"/>
              <w:rPr>
                <w:rFonts w:ascii="Times New Roman" w:hAnsi="Times New Roman" w:cs="Times New Roman"/>
                <w:sz w:val="24"/>
                <w:szCs w:val="24"/>
              </w:rPr>
            </w:pPr>
          </w:p>
        </w:tc>
      </w:tr>
      <w:tr w:rsidR="00C73754" w14:paraId="5E31A493" w14:textId="77777777" w:rsidTr="00733102">
        <w:trPr>
          <w:jc w:val="center"/>
        </w:trPr>
        <w:tc>
          <w:tcPr>
            <w:tcW w:w="2263" w:type="dxa"/>
          </w:tcPr>
          <w:p w14:paraId="2FB76940" w14:textId="77777777" w:rsidR="00C73754" w:rsidRDefault="00C73754" w:rsidP="00A60F04">
            <w:pPr>
              <w:jc w:val="both"/>
              <w:rPr>
                <w:rFonts w:ascii="Times New Roman" w:hAnsi="Times New Roman" w:cs="Times New Roman"/>
                <w:sz w:val="24"/>
                <w:szCs w:val="24"/>
              </w:rPr>
            </w:pPr>
          </w:p>
        </w:tc>
        <w:tc>
          <w:tcPr>
            <w:tcW w:w="993" w:type="dxa"/>
          </w:tcPr>
          <w:p w14:paraId="7B7C69F8"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2A4D99C3" w14:textId="04ACFD41"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7E109BB0" w14:textId="77777777" w:rsidR="00C73754" w:rsidRPr="00CE617C" w:rsidRDefault="00C73754" w:rsidP="00A60F04">
            <w:pPr>
              <w:jc w:val="both"/>
              <w:rPr>
                <w:rFonts w:ascii="Times New Roman" w:hAnsi="Times New Roman" w:cs="Times New Roman"/>
                <w:sz w:val="24"/>
                <w:szCs w:val="24"/>
              </w:rPr>
            </w:pPr>
          </w:p>
        </w:tc>
      </w:tr>
      <w:tr w:rsidR="00C73754" w14:paraId="3ADDC877" w14:textId="77777777" w:rsidTr="00733102">
        <w:trPr>
          <w:jc w:val="center"/>
        </w:trPr>
        <w:tc>
          <w:tcPr>
            <w:tcW w:w="2263" w:type="dxa"/>
          </w:tcPr>
          <w:p w14:paraId="31837C23" w14:textId="77777777" w:rsidR="00C73754" w:rsidRDefault="00C73754" w:rsidP="00A60F04">
            <w:pPr>
              <w:jc w:val="both"/>
              <w:rPr>
                <w:rFonts w:ascii="Times New Roman" w:hAnsi="Times New Roman" w:cs="Times New Roman"/>
                <w:sz w:val="24"/>
                <w:szCs w:val="24"/>
              </w:rPr>
            </w:pPr>
          </w:p>
        </w:tc>
        <w:tc>
          <w:tcPr>
            <w:tcW w:w="993" w:type="dxa"/>
          </w:tcPr>
          <w:p w14:paraId="1572F4E8" w14:textId="77777777" w:rsidR="00C73754" w:rsidRPr="00CE617C" w:rsidRDefault="00C73754" w:rsidP="00A60F04">
            <w:pPr>
              <w:jc w:val="both"/>
              <w:rPr>
                <w:rFonts w:ascii="Times New Roman" w:hAnsi="Times New Roman" w:cs="Times New Roman"/>
                <w:sz w:val="24"/>
                <w:szCs w:val="24"/>
                <w:shd w:val="clear" w:color="auto" w:fill="FFFFFF"/>
              </w:rPr>
            </w:pPr>
          </w:p>
        </w:tc>
        <w:tc>
          <w:tcPr>
            <w:tcW w:w="993" w:type="dxa"/>
          </w:tcPr>
          <w:p w14:paraId="1C3E114D" w14:textId="6EFA5A9C" w:rsidR="00C73754" w:rsidRPr="00CE617C" w:rsidRDefault="00C73754" w:rsidP="00A60F04">
            <w:pPr>
              <w:jc w:val="both"/>
              <w:rPr>
                <w:rFonts w:ascii="Times New Roman" w:hAnsi="Times New Roman" w:cs="Times New Roman"/>
                <w:sz w:val="24"/>
                <w:szCs w:val="24"/>
                <w:shd w:val="clear" w:color="auto" w:fill="FFFFFF"/>
              </w:rPr>
            </w:pPr>
          </w:p>
        </w:tc>
        <w:tc>
          <w:tcPr>
            <w:tcW w:w="1134" w:type="dxa"/>
          </w:tcPr>
          <w:p w14:paraId="142A6E7F" w14:textId="77777777" w:rsidR="00C73754" w:rsidRPr="00CE617C" w:rsidRDefault="00C73754" w:rsidP="00A60F04">
            <w:pPr>
              <w:jc w:val="both"/>
              <w:rPr>
                <w:rFonts w:ascii="Times New Roman" w:hAnsi="Times New Roman" w:cs="Times New Roman"/>
                <w:sz w:val="24"/>
                <w:szCs w:val="24"/>
              </w:rPr>
            </w:pPr>
          </w:p>
        </w:tc>
      </w:tr>
    </w:tbl>
    <w:p w14:paraId="20333DAF" w14:textId="77777777" w:rsidR="00D51D4C" w:rsidRPr="008E04E5" w:rsidRDefault="00D51D4C" w:rsidP="00223BCA">
      <w:pPr>
        <w:jc w:val="both"/>
        <w:rPr>
          <w:rFonts w:ascii="Times New Roman" w:hAnsi="Times New Roman" w:cs="Times New Roman"/>
          <w:sz w:val="24"/>
          <w:szCs w:val="24"/>
        </w:rPr>
      </w:pPr>
    </w:p>
    <w:p w14:paraId="38E7017A" w14:textId="704081EE" w:rsidR="00AF7119" w:rsidRDefault="00AF7119" w:rsidP="00223BCA">
      <w:pPr>
        <w:jc w:val="both"/>
        <w:rPr>
          <w:rFonts w:ascii="Times New Roman" w:hAnsi="Times New Roman" w:cs="Times New Roman"/>
          <w:sz w:val="24"/>
          <w:szCs w:val="24"/>
        </w:rPr>
      </w:pPr>
      <w:r>
        <w:rPr>
          <w:rFonts w:ascii="Times New Roman" w:hAnsi="Times New Roman" w:cs="Times New Roman"/>
          <w:sz w:val="24"/>
          <w:szCs w:val="24"/>
        </w:rPr>
        <w:t>Nuestra explicación es la siguiente: (Esta es la explicación a la pregunta sobre por qué la diferencia no es estadísticamente significativa)</w:t>
      </w:r>
    </w:p>
    <w:p w14:paraId="3969D0DE" w14:textId="77777777" w:rsidR="002D53B0" w:rsidRPr="00E7019A" w:rsidRDefault="002D53B0" w:rsidP="00223BCA">
      <w:pPr>
        <w:jc w:val="both"/>
        <w:rPr>
          <w:rFonts w:ascii="Times New Roman" w:hAnsi="Times New Roman" w:cs="Times New Roman"/>
          <w:sz w:val="24"/>
          <w:szCs w:val="24"/>
        </w:rPr>
      </w:pPr>
    </w:p>
    <w:p w14:paraId="0A7CFE1F" w14:textId="2A212773" w:rsidR="00A80E0A" w:rsidRDefault="00A80E0A" w:rsidP="00223BCA">
      <w:pPr>
        <w:jc w:val="both"/>
        <w:rPr>
          <w:rFonts w:ascii="Times New Roman" w:hAnsi="Times New Roman" w:cs="Times New Roman"/>
          <w:b/>
          <w:bCs/>
          <w:sz w:val="24"/>
          <w:szCs w:val="24"/>
        </w:rPr>
      </w:pPr>
      <w:r>
        <w:rPr>
          <w:rFonts w:ascii="Times New Roman" w:hAnsi="Times New Roman" w:cs="Times New Roman"/>
          <w:b/>
          <w:bCs/>
          <w:sz w:val="24"/>
          <w:szCs w:val="24"/>
        </w:rPr>
        <w:t>Tercera observación</w:t>
      </w:r>
      <w:r w:rsidR="00E7019A">
        <w:rPr>
          <w:rFonts w:ascii="Times New Roman" w:hAnsi="Times New Roman" w:cs="Times New Roman"/>
          <w:b/>
          <w:bCs/>
          <w:sz w:val="24"/>
          <w:szCs w:val="24"/>
        </w:rPr>
        <w:t xml:space="preserve"> [La edad es factor de riesgo]</w:t>
      </w:r>
      <w:r>
        <w:rPr>
          <w:rFonts w:ascii="Times New Roman" w:hAnsi="Times New Roman" w:cs="Times New Roman"/>
          <w:b/>
          <w:bCs/>
          <w:sz w:val="24"/>
          <w:szCs w:val="24"/>
        </w:rPr>
        <w:t>:</w:t>
      </w:r>
    </w:p>
    <w:tbl>
      <w:tblPr>
        <w:tblStyle w:val="Tablaconcuadrcula"/>
        <w:tblW w:w="0" w:type="auto"/>
        <w:jc w:val="center"/>
        <w:tblLook w:val="04A0" w:firstRow="1" w:lastRow="0" w:firstColumn="1" w:lastColumn="0" w:noHBand="0" w:noVBand="1"/>
      </w:tblPr>
      <w:tblGrid>
        <w:gridCol w:w="2263"/>
        <w:gridCol w:w="1843"/>
        <w:gridCol w:w="2193"/>
      </w:tblGrid>
      <w:tr w:rsidR="005E4071" w14:paraId="1A7DAB7F" w14:textId="77777777" w:rsidTr="001F3C3C">
        <w:trPr>
          <w:jc w:val="center"/>
        </w:trPr>
        <w:tc>
          <w:tcPr>
            <w:tcW w:w="2263" w:type="dxa"/>
          </w:tcPr>
          <w:p w14:paraId="1B86B403" w14:textId="2217DDD9" w:rsidR="005E4071" w:rsidRPr="005E4071" w:rsidRDefault="005E4071" w:rsidP="005E4071">
            <w:pPr>
              <w:rPr>
                <w:rFonts w:ascii="Times New Roman" w:hAnsi="Times New Roman" w:cs="Times New Roman"/>
                <w:b/>
                <w:bCs/>
                <w:sz w:val="24"/>
                <w:szCs w:val="24"/>
              </w:rPr>
            </w:pPr>
            <w:r w:rsidRPr="005E4071">
              <w:rPr>
                <w:rFonts w:ascii="Times New Roman" w:hAnsi="Times New Roman" w:cs="Times New Roman"/>
                <w:b/>
                <w:bCs/>
                <w:sz w:val="24"/>
                <w:szCs w:val="24"/>
              </w:rPr>
              <w:t>Distribución por edad</w:t>
            </w:r>
          </w:p>
        </w:tc>
        <w:tc>
          <w:tcPr>
            <w:tcW w:w="1843" w:type="dxa"/>
          </w:tcPr>
          <w:p w14:paraId="19B4919D" w14:textId="07E9D07D" w:rsidR="005E4071" w:rsidRPr="005E4071" w:rsidRDefault="005E4071" w:rsidP="005E4071">
            <w:pPr>
              <w:rPr>
                <w:rFonts w:ascii="Times New Roman" w:hAnsi="Times New Roman" w:cs="Times New Roman"/>
                <w:b/>
                <w:bCs/>
                <w:sz w:val="24"/>
                <w:szCs w:val="24"/>
              </w:rPr>
            </w:pPr>
            <w:r w:rsidRPr="005E4071">
              <w:rPr>
                <w:rFonts w:ascii="Times New Roman" w:hAnsi="Times New Roman" w:cs="Times New Roman"/>
                <w:b/>
                <w:bCs/>
                <w:sz w:val="24"/>
                <w:szCs w:val="24"/>
              </w:rPr>
              <w:t>Mediana</w:t>
            </w:r>
          </w:p>
        </w:tc>
        <w:tc>
          <w:tcPr>
            <w:tcW w:w="2193" w:type="dxa"/>
          </w:tcPr>
          <w:p w14:paraId="3F42E231" w14:textId="1CF1ACDF" w:rsidR="005E4071" w:rsidRPr="005E4071" w:rsidRDefault="005E4071" w:rsidP="005E4071">
            <w:pPr>
              <w:rPr>
                <w:rFonts w:ascii="Times New Roman" w:hAnsi="Times New Roman" w:cs="Times New Roman"/>
                <w:b/>
                <w:bCs/>
                <w:sz w:val="24"/>
                <w:szCs w:val="24"/>
              </w:rPr>
            </w:pPr>
            <w:r w:rsidRPr="005E4071">
              <w:rPr>
                <w:rFonts w:ascii="Times New Roman" w:hAnsi="Times New Roman" w:cs="Times New Roman"/>
                <w:b/>
                <w:bCs/>
                <w:sz w:val="24"/>
                <w:szCs w:val="24"/>
              </w:rPr>
              <w:t>IQR</w:t>
            </w:r>
          </w:p>
        </w:tc>
      </w:tr>
      <w:tr w:rsidR="005E4071" w14:paraId="1B05A29D" w14:textId="77777777" w:rsidTr="001F3C3C">
        <w:trPr>
          <w:jc w:val="center"/>
        </w:trPr>
        <w:tc>
          <w:tcPr>
            <w:tcW w:w="2263" w:type="dxa"/>
          </w:tcPr>
          <w:p w14:paraId="6228DAC3" w14:textId="77777777" w:rsidR="005E4071" w:rsidRDefault="005E4071"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Meijs</w:t>
            </w:r>
            <w:proofErr w:type="spellEnd"/>
            <w:r>
              <w:rPr>
                <w:rFonts w:ascii="Times New Roman" w:hAnsi="Times New Roman" w:cs="Times New Roman"/>
                <w:sz w:val="24"/>
                <w:szCs w:val="24"/>
              </w:rPr>
              <w:t xml:space="preserve"> et al. (2022)</w:t>
            </w:r>
          </w:p>
        </w:tc>
        <w:tc>
          <w:tcPr>
            <w:tcW w:w="1843" w:type="dxa"/>
          </w:tcPr>
          <w:p w14:paraId="545D4A73" w14:textId="093F6DA9" w:rsidR="005E4071" w:rsidRDefault="001F3C3C" w:rsidP="00A60F04">
            <w:pPr>
              <w:jc w:val="both"/>
              <w:rPr>
                <w:rFonts w:ascii="Times New Roman" w:hAnsi="Times New Roman" w:cs="Times New Roman"/>
                <w:sz w:val="24"/>
                <w:szCs w:val="24"/>
              </w:rPr>
            </w:pPr>
            <w:r>
              <w:rPr>
                <w:rFonts w:ascii="Times New Roman" w:hAnsi="Times New Roman" w:cs="Times New Roman"/>
                <w:sz w:val="24"/>
                <w:szCs w:val="24"/>
              </w:rPr>
              <w:t>F: 64.1; M: 66</w:t>
            </w:r>
          </w:p>
        </w:tc>
        <w:tc>
          <w:tcPr>
            <w:tcW w:w="2193" w:type="dxa"/>
          </w:tcPr>
          <w:p w14:paraId="35710762" w14:textId="77777777" w:rsidR="001F3C3C" w:rsidRDefault="001F3C3C" w:rsidP="001F3C3C">
            <w:pPr>
              <w:jc w:val="both"/>
              <w:rPr>
                <w:rFonts w:ascii="Times New Roman" w:hAnsi="Times New Roman" w:cs="Times New Roman"/>
                <w:sz w:val="24"/>
                <w:szCs w:val="24"/>
              </w:rPr>
            </w:pPr>
            <w:r>
              <w:rPr>
                <w:rFonts w:ascii="Times New Roman" w:hAnsi="Times New Roman" w:cs="Times New Roman"/>
                <w:sz w:val="24"/>
                <w:szCs w:val="24"/>
              </w:rPr>
              <w:t>F: +/- 12.6:</w:t>
            </w:r>
          </w:p>
          <w:p w14:paraId="19FDEEED" w14:textId="4C350754" w:rsidR="005E4071" w:rsidRDefault="001F3C3C" w:rsidP="001F3C3C">
            <w:pPr>
              <w:jc w:val="both"/>
              <w:rPr>
                <w:rFonts w:ascii="Times New Roman" w:hAnsi="Times New Roman" w:cs="Times New Roman"/>
                <w:sz w:val="24"/>
                <w:szCs w:val="24"/>
              </w:rPr>
            </w:pPr>
            <w:r>
              <w:rPr>
                <w:rFonts w:ascii="Times New Roman" w:hAnsi="Times New Roman" w:cs="Times New Roman"/>
                <w:sz w:val="24"/>
                <w:szCs w:val="24"/>
              </w:rPr>
              <w:t>M +/- 10.5</w:t>
            </w:r>
          </w:p>
        </w:tc>
      </w:tr>
      <w:tr w:rsidR="005E4071" w14:paraId="7514E449" w14:textId="77777777" w:rsidTr="001F3C3C">
        <w:trPr>
          <w:jc w:val="center"/>
        </w:trPr>
        <w:tc>
          <w:tcPr>
            <w:tcW w:w="2263" w:type="dxa"/>
          </w:tcPr>
          <w:p w14:paraId="423C2A2A" w14:textId="77777777" w:rsidR="005E4071" w:rsidRPr="001F3C3C" w:rsidRDefault="005E4071" w:rsidP="00A60F04">
            <w:pPr>
              <w:jc w:val="both"/>
              <w:rPr>
                <w:rFonts w:ascii="Times New Roman" w:hAnsi="Times New Roman" w:cs="Times New Roman"/>
                <w:sz w:val="24"/>
                <w:szCs w:val="24"/>
              </w:rPr>
            </w:pPr>
            <w:r w:rsidRPr="001F3C3C">
              <w:rPr>
                <w:rFonts w:ascii="Times New Roman" w:hAnsi="Times New Roman" w:cs="Times New Roman"/>
                <w:sz w:val="24"/>
                <w:szCs w:val="24"/>
              </w:rPr>
              <w:t>Nuestro estudio</w:t>
            </w:r>
          </w:p>
        </w:tc>
        <w:tc>
          <w:tcPr>
            <w:tcW w:w="1843" w:type="dxa"/>
          </w:tcPr>
          <w:p w14:paraId="192A71E4" w14:textId="373DF964" w:rsidR="005E4071" w:rsidRPr="001F3C3C" w:rsidRDefault="001F3C3C" w:rsidP="00A60F04">
            <w:pPr>
              <w:jc w:val="both"/>
              <w:rPr>
                <w:rFonts w:ascii="Times New Roman" w:hAnsi="Times New Roman" w:cs="Times New Roman"/>
                <w:sz w:val="24"/>
                <w:szCs w:val="24"/>
              </w:rPr>
            </w:pPr>
            <w:r w:rsidRPr="001F3C3C">
              <w:rPr>
                <w:rFonts w:ascii="Times New Roman" w:hAnsi="Times New Roman" w:cs="Times New Roman"/>
                <w:sz w:val="24"/>
                <w:szCs w:val="24"/>
                <w:shd w:val="clear" w:color="auto" w:fill="FFFFFF"/>
              </w:rPr>
              <w:t xml:space="preserve">64 </w:t>
            </w:r>
          </w:p>
        </w:tc>
        <w:tc>
          <w:tcPr>
            <w:tcW w:w="2193" w:type="dxa"/>
          </w:tcPr>
          <w:p w14:paraId="0C5FE922" w14:textId="1F29F72D" w:rsidR="001F3C3C" w:rsidRPr="001F3C3C" w:rsidRDefault="001F3C3C" w:rsidP="00A60F04">
            <w:pPr>
              <w:jc w:val="both"/>
              <w:rPr>
                <w:rFonts w:ascii="Times New Roman" w:hAnsi="Times New Roman" w:cs="Times New Roman"/>
                <w:sz w:val="24"/>
                <w:szCs w:val="24"/>
              </w:rPr>
            </w:pPr>
            <w:r w:rsidRPr="001F3C3C">
              <w:rPr>
                <w:rFonts w:ascii="Times New Roman" w:hAnsi="Times New Roman" w:cs="Times New Roman"/>
                <w:sz w:val="24"/>
                <w:szCs w:val="24"/>
                <w:shd w:val="clear" w:color="auto" w:fill="FFFFFF"/>
              </w:rPr>
              <w:t>53</w:t>
            </w:r>
            <w:r w:rsidR="00B42152">
              <w:rPr>
                <w:rFonts w:ascii="Times New Roman" w:hAnsi="Times New Roman" w:cs="Times New Roman"/>
                <w:sz w:val="24"/>
                <w:szCs w:val="24"/>
                <w:shd w:val="clear" w:color="auto" w:fill="FFFFFF"/>
              </w:rPr>
              <w:t xml:space="preserve"> – </w:t>
            </w:r>
            <w:r w:rsidRPr="001F3C3C">
              <w:rPr>
                <w:rFonts w:ascii="Times New Roman" w:hAnsi="Times New Roman" w:cs="Times New Roman"/>
                <w:sz w:val="24"/>
                <w:szCs w:val="24"/>
                <w:shd w:val="clear" w:color="auto" w:fill="FFFFFF"/>
              </w:rPr>
              <w:t>74</w:t>
            </w:r>
            <w:r w:rsidR="00B42152">
              <w:rPr>
                <w:rFonts w:ascii="Times New Roman" w:hAnsi="Times New Roman" w:cs="Times New Roman"/>
                <w:sz w:val="24"/>
                <w:szCs w:val="24"/>
                <w:shd w:val="clear" w:color="auto" w:fill="FFFFFF"/>
              </w:rPr>
              <w:t xml:space="preserve"> </w:t>
            </w:r>
          </w:p>
        </w:tc>
      </w:tr>
      <w:tr w:rsidR="005E4071" w14:paraId="1EF705FB" w14:textId="77777777" w:rsidTr="001F3C3C">
        <w:trPr>
          <w:jc w:val="center"/>
        </w:trPr>
        <w:tc>
          <w:tcPr>
            <w:tcW w:w="2263" w:type="dxa"/>
          </w:tcPr>
          <w:p w14:paraId="3D86AE3E" w14:textId="230D36E0" w:rsidR="005E4071" w:rsidRPr="001F3C3C" w:rsidRDefault="005E4071" w:rsidP="00A60F04">
            <w:pPr>
              <w:jc w:val="both"/>
              <w:rPr>
                <w:rFonts w:ascii="Times New Roman" w:hAnsi="Times New Roman" w:cs="Times New Roman"/>
                <w:sz w:val="24"/>
                <w:szCs w:val="24"/>
              </w:rPr>
            </w:pPr>
            <w:proofErr w:type="spellStart"/>
            <w:r w:rsidRPr="001F3C3C">
              <w:rPr>
                <w:rFonts w:ascii="Times New Roman" w:hAnsi="Times New Roman" w:cs="Times New Roman"/>
                <w:sz w:val="24"/>
                <w:szCs w:val="24"/>
              </w:rPr>
              <w:t>Zappella</w:t>
            </w:r>
            <w:proofErr w:type="spellEnd"/>
            <w:r w:rsidRPr="001F3C3C">
              <w:rPr>
                <w:rFonts w:ascii="Times New Roman" w:hAnsi="Times New Roman" w:cs="Times New Roman"/>
                <w:sz w:val="24"/>
                <w:szCs w:val="24"/>
              </w:rPr>
              <w:t xml:space="preserve"> et al. (2022)</w:t>
            </w:r>
          </w:p>
        </w:tc>
        <w:tc>
          <w:tcPr>
            <w:tcW w:w="1843" w:type="dxa"/>
          </w:tcPr>
          <w:p w14:paraId="72D765C0" w14:textId="0926E630" w:rsidR="005E4071" w:rsidRPr="001F3C3C" w:rsidRDefault="001F3C3C" w:rsidP="00A60F04">
            <w:pPr>
              <w:jc w:val="both"/>
              <w:rPr>
                <w:rFonts w:ascii="Times New Roman" w:hAnsi="Times New Roman" w:cs="Times New Roman"/>
                <w:sz w:val="24"/>
                <w:szCs w:val="24"/>
                <w:shd w:val="clear" w:color="auto" w:fill="FFFFFF"/>
              </w:rPr>
            </w:pPr>
            <w:r w:rsidRPr="001F3C3C">
              <w:rPr>
                <w:rFonts w:ascii="Times New Roman" w:hAnsi="Times New Roman" w:cs="Times New Roman"/>
                <w:sz w:val="24"/>
                <w:szCs w:val="24"/>
              </w:rPr>
              <w:t>56</w:t>
            </w:r>
          </w:p>
        </w:tc>
        <w:tc>
          <w:tcPr>
            <w:tcW w:w="2193" w:type="dxa"/>
          </w:tcPr>
          <w:p w14:paraId="4C675FCD" w14:textId="7E4F4AFF" w:rsidR="005E4071" w:rsidRPr="001F3C3C" w:rsidRDefault="001F3C3C" w:rsidP="00A60F04">
            <w:pPr>
              <w:jc w:val="both"/>
              <w:rPr>
                <w:rFonts w:ascii="Times New Roman" w:hAnsi="Times New Roman" w:cs="Times New Roman"/>
                <w:sz w:val="24"/>
                <w:szCs w:val="24"/>
              </w:rPr>
            </w:pPr>
            <w:r w:rsidRPr="001F3C3C">
              <w:rPr>
                <w:rFonts w:ascii="Times New Roman" w:hAnsi="Times New Roman" w:cs="Times New Roman"/>
                <w:sz w:val="24"/>
                <w:szCs w:val="24"/>
              </w:rPr>
              <w:t>48 – 63.5</w:t>
            </w:r>
          </w:p>
        </w:tc>
      </w:tr>
      <w:tr w:rsidR="005E4071" w14:paraId="7660027D" w14:textId="77777777" w:rsidTr="001F3C3C">
        <w:trPr>
          <w:jc w:val="center"/>
        </w:trPr>
        <w:tc>
          <w:tcPr>
            <w:tcW w:w="2263" w:type="dxa"/>
          </w:tcPr>
          <w:p w14:paraId="05AD337F" w14:textId="6BA35152" w:rsidR="005E4071" w:rsidRDefault="0030725B" w:rsidP="00A60F04">
            <w:pPr>
              <w:jc w:val="both"/>
              <w:rPr>
                <w:rFonts w:ascii="Times New Roman" w:hAnsi="Times New Roman" w:cs="Times New Roman"/>
                <w:sz w:val="24"/>
                <w:szCs w:val="24"/>
              </w:rPr>
            </w:pPr>
            <w:r>
              <w:rPr>
                <w:rFonts w:ascii="Times New Roman" w:hAnsi="Times New Roman" w:cs="Times New Roman"/>
                <w:sz w:val="24"/>
                <w:szCs w:val="24"/>
              </w:rPr>
              <w:t>Haase et al. (2021)</w:t>
            </w:r>
          </w:p>
        </w:tc>
        <w:tc>
          <w:tcPr>
            <w:tcW w:w="1843" w:type="dxa"/>
          </w:tcPr>
          <w:p w14:paraId="609D4349" w14:textId="37B071EC" w:rsidR="005E4071" w:rsidRPr="00CE617C" w:rsidRDefault="0030725B"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68</w:t>
            </w:r>
          </w:p>
        </w:tc>
        <w:tc>
          <w:tcPr>
            <w:tcW w:w="2193" w:type="dxa"/>
          </w:tcPr>
          <w:p w14:paraId="0C2B318C" w14:textId="3EBBDE84" w:rsidR="005E4071" w:rsidRPr="00CE617C" w:rsidRDefault="0030725B" w:rsidP="00A60F04">
            <w:pPr>
              <w:jc w:val="both"/>
              <w:rPr>
                <w:rFonts w:ascii="Times New Roman" w:hAnsi="Times New Roman" w:cs="Times New Roman"/>
                <w:sz w:val="24"/>
                <w:szCs w:val="24"/>
              </w:rPr>
            </w:pPr>
            <w:r>
              <w:rPr>
                <w:rFonts w:ascii="Times New Roman" w:hAnsi="Times New Roman" w:cs="Times New Roman"/>
                <w:sz w:val="24"/>
                <w:szCs w:val="24"/>
              </w:rPr>
              <w:t>59 - 75</w:t>
            </w:r>
          </w:p>
        </w:tc>
      </w:tr>
      <w:tr w:rsidR="005E4071" w14:paraId="71EC5CE9" w14:textId="77777777" w:rsidTr="001F3C3C">
        <w:trPr>
          <w:jc w:val="center"/>
        </w:trPr>
        <w:tc>
          <w:tcPr>
            <w:tcW w:w="2263" w:type="dxa"/>
          </w:tcPr>
          <w:p w14:paraId="5C4C6E45" w14:textId="6010CD99" w:rsidR="005E4071" w:rsidRDefault="0042492D"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Zhan</w:t>
            </w:r>
            <w:proofErr w:type="spellEnd"/>
            <w:r>
              <w:rPr>
                <w:rFonts w:ascii="Times New Roman" w:hAnsi="Times New Roman" w:cs="Times New Roman"/>
                <w:sz w:val="24"/>
                <w:szCs w:val="24"/>
              </w:rPr>
              <w:t xml:space="preserve"> et al. (2021)</w:t>
            </w:r>
          </w:p>
        </w:tc>
        <w:tc>
          <w:tcPr>
            <w:tcW w:w="1843" w:type="dxa"/>
          </w:tcPr>
          <w:p w14:paraId="7B2F2674" w14:textId="0F1A4D03" w:rsidR="005E4071" w:rsidRPr="00CE617C" w:rsidRDefault="0042492D"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57</w:t>
            </w:r>
          </w:p>
        </w:tc>
        <w:tc>
          <w:tcPr>
            <w:tcW w:w="2193" w:type="dxa"/>
          </w:tcPr>
          <w:p w14:paraId="5AE324BA" w14:textId="4033027A" w:rsidR="005E4071" w:rsidRPr="00CE617C" w:rsidRDefault="0042492D" w:rsidP="00A60F04">
            <w:pPr>
              <w:jc w:val="both"/>
              <w:rPr>
                <w:rFonts w:ascii="Times New Roman" w:hAnsi="Times New Roman" w:cs="Times New Roman"/>
                <w:sz w:val="24"/>
                <w:szCs w:val="24"/>
              </w:rPr>
            </w:pPr>
            <w:r>
              <w:rPr>
                <w:rFonts w:ascii="Times New Roman" w:hAnsi="Times New Roman" w:cs="Times New Roman"/>
                <w:sz w:val="24"/>
                <w:szCs w:val="24"/>
              </w:rPr>
              <w:t xml:space="preserve">25 – 75 </w:t>
            </w:r>
          </w:p>
        </w:tc>
      </w:tr>
      <w:tr w:rsidR="005E4071" w14:paraId="3F4CE9BF" w14:textId="77777777" w:rsidTr="001F3C3C">
        <w:trPr>
          <w:jc w:val="center"/>
        </w:trPr>
        <w:tc>
          <w:tcPr>
            <w:tcW w:w="2263" w:type="dxa"/>
          </w:tcPr>
          <w:p w14:paraId="13B55DE5" w14:textId="1899F667" w:rsidR="005E4071" w:rsidRDefault="0042492D"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Cour</w:t>
            </w:r>
            <w:proofErr w:type="spellEnd"/>
            <w:r>
              <w:rPr>
                <w:rFonts w:ascii="Times New Roman" w:hAnsi="Times New Roman" w:cs="Times New Roman"/>
                <w:sz w:val="24"/>
                <w:szCs w:val="24"/>
              </w:rPr>
              <w:t xml:space="preserve"> et al. (2021)</w:t>
            </w:r>
          </w:p>
        </w:tc>
        <w:tc>
          <w:tcPr>
            <w:tcW w:w="1843" w:type="dxa"/>
          </w:tcPr>
          <w:p w14:paraId="2FDFC86C" w14:textId="2B37F1B9" w:rsidR="005E4071" w:rsidRPr="00CE617C" w:rsidRDefault="0042492D"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64</w:t>
            </w:r>
          </w:p>
        </w:tc>
        <w:tc>
          <w:tcPr>
            <w:tcW w:w="2193" w:type="dxa"/>
          </w:tcPr>
          <w:p w14:paraId="3718B3D9" w14:textId="0EB3D803" w:rsidR="005E4071" w:rsidRPr="00CE617C" w:rsidRDefault="0042492D" w:rsidP="00A60F04">
            <w:pPr>
              <w:jc w:val="both"/>
              <w:rPr>
                <w:rFonts w:ascii="Times New Roman" w:hAnsi="Times New Roman" w:cs="Times New Roman"/>
                <w:sz w:val="24"/>
                <w:szCs w:val="24"/>
              </w:rPr>
            </w:pPr>
            <w:r>
              <w:rPr>
                <w:rFonts w:ascii="Times New Roman" w:hAnsi="Times New Roman" w:cs="Times New Roman"/>
                <w:sz w:val="24"/>
                <w:szCs w:val="24"/>
              </w:rPr>
              <w:t xml:space="preserve">53 – 70 </w:t>
            </w:r>
          </w:p>
        </w:tc>
      </w:tr>
      <w:tr w:rsidR="005E4071" w14:paraId="6B626EFD" w14:textId="77777777" w:rsidTr="001F3C3C">
        <w:trPr>
          <w:jc w:val="center"/>
        </w:trPr>
        <w:tc>
          <w:tcPr>
            <w:tcW w:w="2263" w:type="dxa"/>
          </w:tcPr>
          <w:p w14:paraId="04B0207A" w14:textId="69CF5D41" w:rsidR="005E4071" w:rsidRDefault="0042492D"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Graselli</w:t>
            </w:r>
            <w:proofErr w:type="spellEnd"/>
            <w:r>
              <w:rPr>
                <w:rFonts w:ascii="Times New Roman" w:hAnsi="Times New Roman" w:cs="Times New Roman"/>
                <w:sz w:val="24"/>
                <w:szCs w:val="24"/>
              </w:rPr>
              <w:t xml:space="preserve"> et al. (2020)</w:t>
            </w:r>
          </w:p>
        </w:tc>
        <w:tc>
          <w:tcPr>
            <w:tcW w:w="1843" w:type="dxa"/>
          </w:tcPr>
          <w:p w14:paraId="73DAA4DC" w14:textId="5FE4BDE2" w:rsidR="005E4071" w:rsidRPr="00CE617C" w:rsidRDefault="0042492D"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63</w:t>
            </w:r>
          </w:p>
        </w:tc>
        <w:tc>
          <w:tcPr>
            <w:tcW w:w="2193" w:type="dxa"/>
          </w:tcPr>
          <w:p w14:paraId="25F38322" w14:textId="3F501E32" w:rsidR="005E4071" w:rsidRPr="00CE617C" w:rsidRDefault="0042492D" w:rsidP="00A60F04">
            <w:pPr>
              <w:jc w:val="both"/>
              <w:rPr>
                <w:rFonts w:ascii="Times New Roman" w:hAnsi="Times New Roman" w:cs="Times New Roman"/>
                <w:sz w:val="24"/>
                <w:szCs w:val="24"/>
              </w:rPr>
            </w:pPr>
            <w:r>
              <w:rPr>
                <w:rFonts w:ascii="Times New Roman" w:hAnsi="Times New Roman" w:cs="Times New Roman"/>
                <w:sz w:val="24"/>
                <w:szCs w:val="24"/>
              </w:rPr>
              <w:t xml:space="preserve">56 – 70 </w:t>
            </w:r>
          </w:p>
        </w:tc>
      </w:tr>
      <w:tr w:rsidR="005E0592" w14:paraId="1E308D9E" w14:textId="77777777" w:rsidTr="001F3C3C">
        <w:trPr>
          <w:jc w:val="center"/>
        </w:trPr>
        <w:tc>
          <w:tcPr>
            <w:tcW w:w="2263" w:type="dxa"/>
          </w:tcPr>
          <w:p w14:paraId="3A48C9C9" w14:textId="3DCABBEC" w:rsidR="005E0592" w:rsidRDefault="005E0592" w:rsidP="005E0592">
            <w:pPr>
              <w:jc w:val="both"/>
              <w:rPr>
                <w:rFonts w:ascii="Times New Roman" w:hAnsi="Times New Roman" w:cs="Times New Roman"/>
                <w:sz w:val="24"/>
                <w:szCs w:val="24"/>
              </w:rPr>
            </w:pPr>
            <w:proofErr w:type="spellStart"/>
            <w:r w:rsidRPr="005E0592">
              <w:rPr>
                <w:rFonts w:ascii="Times New Roman" w:hAnsi="Times New Roman" w:cs="Times New Roman"/>
                <w:sz w:val="24"/>
                <w:szCs w:val="24"/>
              </w:rPr>
              <w:t>Anesi</w:t>
            </w:r>
            <w:proofErr w:type="spellEnd"/>
            <w:r w:rsidRPr="005E0592">
              <w:rPr>
                <w:rFonts w:ascii="Times New Roman" w:hAnsi="Times New Roman" w:cs="Times New Roman"/>
                <w:sz w:val="24"/>
                <w:szCs w:val="24"/>
              </w:rPr>
              <w:t xml:space="preserve"> et al. (2021)</w:t>
            </w:r>
          </w:p>
        </w:tc>
        <w:tc>
          <w:tcPr>
            <w:tcW w:w="1843" w:type="dxa"/>
          </w:tcPr>
          <w:p w14:paraId="1571F0D3" w14:textId="57605A58" w:rsidR="005E0592" w:rsidRPr="00CE617C" w:rsidRDefault="005E0592"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65</w:t>
            </w:r>
          </w:p>
        </w:tc>
        <w:tc>
          <w:tcPr>
            <w:tcW w:w="2193" w:type="dxa"/>
          </w:tcPr>
          <w:p w14:paraId="4F308919" w14:textId="3ED96650" w:rsidR="005E0592" w:rsidRPr="00CE617C" w:rsidRDefault="005E0592" w:rsidP="005E0592">
            <w:pPr>
              <w:jc w:val="both"/>
              <w:rPr>
                <w:rFonts w:ascii="Times New Roman" w:hAnsi="Times New Roman" w:cs="Times New Roman"/>
                <w:sz w:val="24"/>
                <w:szCs w:val="24"/>
              </w:rPr>
            </w:pPr>
            <w:r>
              <w:rPr>
                <w:rFonts w:ascii="Times New Roman" w:hAnsi="Times New Roman" w:cs="Times New Roman"/>
                <w:sz w:val="24"/>
                <w:szCs w:val="24"/>
              </w:rPr>
              <w:t xml:space="preserve">54 – 74 </w:t>
            </w:r>
          </w:p>
        </w:tc>
      </w:tr>
      <w:tr w:rsidR="005E0592" w14:paraId="6F44DB1C" w14:textId="77777777" w:rsidTr="001F3C3C">
        <w:trPr>
          <w:jc w:val="center"/>
        </w:trPr>
        <w:tc>
          <w:tcPr>
            <w:tcW w:w="2263" w:type="dxa"/>
          </w:tcPr>
          <w:p w14:paraId="47B5B11A" w14:textId="4335375C" w:rsidR="005E0592" w:rsidRDefault="00B42152" w:rsidP="005E0592">
            <w:pPr>
              <w:jc w:val="both"/>
              <w:rPr>
                <w:rFonts w:ascii="Times New Roman" w:hAnsi="Times New Roman" w:cs="Times New Roman"/>
                <w:sz w:val="24"/>
                <w:szCs w:val="24"/>
              </w:rPr>
            </w:pPr>
            <w:proofErr w:type="spellStart"/>
            <w:r>
              <w:rPr>
                <w:rFonts w:ascii="Times New Roman" w:hAnsi="Times New Roman" w:cs="Times New Roman"/>
                <w:sz w:val="24"/>
                <w:szCs w:val="24"/>
              </w:rPr>
              <w:t>Bhatraju</w:t>
            </w:r>
            <w:proofErr w:type="spellEnd"/>
            <w:r>
              <w:rPr>
                <w:rFonts w:ascii="Times New Roman" w:hAnsi="Times New Roman" w:cs="Times New Roman"/>
                <w:sz w:val="24"/>
                <w:szCs w:val="24"/>
              </w:rPr>
              <w:t xml:space="preserve"> et al. (2020)</w:t>
            </w:r>
          </w:p>
        </w:tc>
        <w:tc>
          <w:tcPr>
            <w:tcW w:w="1843" w:type="dxa"/>
          </w:tcPr>
          <w:p w14:paraId="20580FF5" w14:textId="7DB5ABE5" w:rsidR="005E0592" w:rsidRPr="00CE617C" w:rsidRDefault="00B42152"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64</w:t>
            </w:r>
          </w:p>
        </w:tc>
        <w:tc>
          <w:tcPr>
            <w:tcW w:w="2193" w:type="dxa"/>
          </w:tcPr>
          <w:p w14:paraId="6D68F7DA" w14:textId="39600BA7" w:rsidR="005E0592" w:rsidRPr="00CE617C" w:rsidRDefault="00B42152" w:rsidP="005E0592">
            <w:pPr>
              <w:jc w:val="both"/>
              <w:rPr>
                <w:rFonts w:ascii="Times New Roman" w:hAnsi="Times New Roman" w:cs="Times New Roman"/>
                <w:sz w:val="24"/>
                <w:szCs w:val="24"/>
              </w:rPr>
            </w:pPr>
            <w:r>
              <w:rPr>
                <w:rFonts w:ascii="Times New Roman" w:hAnsi="Times New Roman" w:cs="Times New Roman"/>
                <w:sz w:val="24"/>
                <w:szCs w:val="24"/>
              </w:rPr>
              <w:t xml:space="preserve">46 – 82 </w:t>
            </w:r>
          </w:p>
        </w:tc>
      </w:tr>
      <w:tr w:rsidR="005E0592" w14:paraId="70AABFE3" w14:textId="77777777" w:rsidTr="001F3C3C">
        <w:trPr>
          <w:jc w:val="center"/>
        </w:trPr>
        <w:tc>
          <w:tcPr>
            <w:tcW w:w="2263" w:type="dxa"/>
          </w:tcPr>
          <w:p w14:paraId="3F96AE31" w14:textId="23CB5CEE" w:rsidR="005E0592" w:rsidRDefault="005E7571" w:rsidP="005E0592">
            <w:pPr>
              <w:jc w:val="both"/>
              <w:rPr>
                <w:rFonts w:ascii="Times New Roman" w:hAnsi="Times New Roman" w:cs="Times New Roman"/>
                <w:sz w:val="24"/>
                <w:szCs w:val="24"/>
              </w:rPr>
            </w:pPr>
            <w:bookmarkStart w:id="2" w:name="_Hlk135831231"/>
            <w:r w:rsidRPr="005E7571">
              <w:rPr>
                <w:rFonts w:ascii="Times New Roman" w:hAnsi="Times New Roman" w:cs="Times New Roman"/>
                <w:sz w:val="24"/>
                <w:szCs w:val="24"/>
              </w:rPr>
              <w:t>Schmidt et al. (2021)</w:t>
            </w:r>
          </w:p>
        </w:tc>
        <w:tc>
          <w:tcPr>
            <w:tcW w:w="1843" w:type="dxa"/>
          </w:tcPr>
          <w:p w14:paraId="12A572BB" w14:textId="79FD89D9" w:rsidR="005E0592" w:rsidRPr="00CE617C" w:rsidRDefault="005E7571"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63</w:t>
            </w:r>
          </w:p>
        </w:tc>
        <w:tc>
          <w:tcPr>
            <w:tcW w:w="2193" w:type="dxa"/>
          </w:tcPr>
          <w:p w14:paraId="702F3D1B" w14:textId="4C9D53AD" w:rsidR="005E0592" w:rsidRPr="00CE617C" w:rsidRDefault="005E7571" w:rsidP="005E0592">
            <w:pPr>
              <w:jc w:val="both"/>
              <w:rPr>
                <w:rFonts w:ascii="Times New Roman" w:hAnsi="Times New Roman" w:cs="Times New Roman"/>
                <w:sz w:val="24"/>
                <w:szCs w:val="24"/>
              </w:rPr>
            </w:pPr>
            <w:r>
              <w:rPr>
                <w:rFonts w:ascii="Times New Roman" w:hAnsi="Times New Roman" w:cs="Times New Roman"/>
                <w:sz w:val="24"/>
                <w:szCs w:val="24"/>
              </w:rPr>
              <w:t xml:space="preserve">54 – 71 </w:t>
            </w:r>
          </w:p>
        </w:tc>
      </w:tr>
      <w:bookmarkEnd w:id="2"/>
      <w:tr w:rsidR="005E0592" w14:paraId="79A82F4A" w14:textId="77777777" w:rsidTr="001F3C3C">
        <w:trPr>
          <w:jc w:val="center"/>
        </w:trPr>
        <w:tc>
          <w:tcPr>
            <w:tcW w:w="2263" w:type="dxa"/>
          </w:tcPr>
          <w:p w14:paraId="61904A12" w14:textId="2B2C597D" w:rsidR="005E0592" w:rsidRDefault="005E7571" w:rsidP="005E0592">
            <w:pPr>
              <w:jc w:val="both"/>
              <w:rPr>
                <w:rFonts w:ascii="Times New Roman" w:hAnsi="Times New Roman" w:cs="Times New Roman"/>
                <w:sz w:val="24"/>
                <w:szCs w:val="24"/>
              </w:rPr>
            </w:pPr>
            <w:proofErr w:type="spellStart"/>
            <w:r>
              <w:rPr>
                <w:rFonts w:ascii="Times New Roman" w:hAnsi="Times New Roman" w:cs="Times New Roman"/>
                <w:sz w:val="24"/>
                <w:szCs w:val="24"/>
              </w:rPr>
              <w:t>Seid</w:t>
            </w:r>
            <w:proofErr w:type="spellEnd"/>
            <w:r>
              <w:rPr>
                <w:rFonts w:ascii="Times New Roman" w:hAnsi="Times New Roman" w:cs="Times New Roman"/>
                <w:sz w:val="24"/>
                <w:szCs w:val="24"/>
              </w:rPr>
              <w:t xml:space="preserve"> et al. (2022)</w:t>
            </w:r>
          </w:p>
        </w:tc>
        <w:tc>
          <w:tcPr>
            <w:tcW w:w="1843" w:type="dxa"/>
          </w:tcPr>
          <w:p w14:paraId="77766FE0" w14:textId="2DCA66BA" w:rsidR="005E0592" w:rsidRPr="00CE617C" w:rsidRDefault="005E7571"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60</w:t>
            </w:r>
          </w:p>
        </w:tc>
        <w:tc>
          <w:tcPr>
            <w:tcW w:w="2193" w:type="dxa"/>
          </w:tcPr>
          <w:p w14:paraId="15AECE54" w14:textId="7BCEF45B" w:rsidR="005E0592" w:rsidRPr="00CE617C" w:rsidRDefault="005E7571" w:rsidP="005E0592">
            <w:pPr>
              <w:jc w:val="both"/>
              <w:rPr>
                <w:rFonts w:ascii="Times New Roman" w:hAnsi="Times New Roman" w:cs="Times New Roman"/>
                <w:sz w:val="24"/>
                <w:szCs w:val="24"/>
              </w:rPr>
            </w:pPr>
            <w:r>
              <w:rPr>
                <w:rFonts w:ascii="Times New Roman" w:hAnsi="Times New Roman" w:cs="Times New Roman"/>
                <w:sz w:val="24"/>
                <w:szCs w:val="24"/>
              </w:rPr>
              <w:t>+/- 34.6</w:t>
            </w:r>
          </w:p>
        </w:tc>
      </w:tr>
      <w:tr w:rsidR="00D45A8B" w14:paraId="1E686C9B" w14:textId="77777777" w:rsidTr="001F3C3C">
        <w:trPr>
          <w:jc w:val="center"/>
        </w:trPr>
        <w:tc>
          <w:tcPr>
            <w:tcW w:w="2263" w:type="dxa"/>
          </w:tcPr>
          <w:p w14:paraId="2B3AF05E" w14:textId="5C4FA527" w:rsidR="00D45A8B" w:rsidRDefault="00D45A8B" w:rsidP="005E0592">
            <w:pPr>
              <w:jc w:val="both"/>
              <w:rPr>
                <w:rFonts w:ascii="Times New Roman" w:hAnsi="Times New Roman" w:cs="Times New Roman"/>
                <w:sz w:val="24"/>
                <w:szCs w:val="24"/>
              </w:rPr>
            </w:pPr>
            <w:r>
              <w:rPr>
                <w:rFonts w:ascii="Times New Roman" w:hAnsi="Times New Roman" w:cs="Times New Roman"/>
                <w:sz w:val="24"/>
                <w:szCs w:val="24"/>
              </w:rPr>
              <w:t>Islam et al. (2021)</w:t>
            </w:r>
          </w:p>
        </w:tc>
        <w:tc>
          <w:tcPr>
            <w:tcW w:w="1843" w:type="dxa"/>
          </w:tcPr>
          <w:p w14:paraId="0F240C0F" w14:textId="1D324C25" w:rsidR="00D45A8B" w:rsidRDefault="00D45A8B"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65</w:t>
            </w:r>
          </w:p>
        </w:tc>
        <w:tc>
          <w:tcPr>
            <w:tcW w:w="2193" w:type="dxa"/>
          </w:tcPr>
          <w:p w14:paraId="74EF60FB" w14:textId="41797923" w:rsidR="00D45A8B" w:rsidRDefault="00D45A8B" w:rsidP="005E0592">
            <w:pPr>
              <w:jc w:val="both"/>
              <w:rPr>
                <w:rFonts w:ascii="Times New Roman" w:hAnsi="Times New Roman" w:cs="Times New Roman"/>
                <w:sz w:val="24"/>
                <w:szCs w:val="24"/>
              </w:rPr>
            </w:pPr>
            <w:r>
              <w:rPr>
                <w:rFonts w:ascii="Times New Roman" w:hAnsi="Times New Roman" w:cs="Times New Roman"/>
                <w:sz w:val="24"/>
                <w:szCs w:val="24"/>
              </w:rPr>
              <w:t>57 – 70</w:t>
            </w:r>
          </w:p>
        </w:tc>
      </w:tr>
      <w:tr w:rsidR="00D45A8B" w14:paraId="507B5C1F" w14:textId="77777777" w:rsidTr="001F3C3C">
        <w:trPr>
          <w:jc w:val="center"/>
        </w:trPr>
        <w:tc>
          <w:tcPr>
            <w:tcW w:w="2263" w:type="dxa"/>
          </w:tcPr>
          <w:p w14:paraId="69583C77" w14:textId="12C16B3E" w:rsidR="00D45A8B" w:rsidRDefault="00D45A8B" w:rsidP="005E0592">
            <w:pPr>
              <w:jc w:val="both"/>
              <w:rPr>
                <w:rFonts w:ascii="Times New Roman" w:hAnsi="Times New Roman" w:cs="Times New Roman"/>
                <w:sz w:val="24"/>
                <w:szCs w:val="24"/>
              </w:rPr>
            </w:pPr>
            <w:proofErr w:type="spellStart"/>
            <w:r>
              <w:rPr>
                <w:rFonts w:ascii="Times New Roman" w:hAnsi="Times New Roman" w:cs="Times New Roman"/>
                <w:sz w:val="24"/>
                <w:szCs w:val="24"/>
              </w:rPr>
              <w:t>Lapidus</w:t>
            </w:r>
            <w:proofErr w:type="spellEnd"/>
            <w:r>
              <w:rPr>
                <w:rFonts w:ascii="Times New Roman" w:hAnsi="Times New Roman" w:cs="Times New Roman"/>
                <w:sz w:val="24"/>
                <w:szCs w:val="24"/>
              </w:rPr>
              <w:t xml:space="preserve"> et al. (2020)</w:t>
            </w:r>
          </w:p>
        </w:tc>
        <w:tc>
          <w:tcPr>
            <w:tcW w:w="1843" w:type="dxa"/>
          </w:tcPr>
          <w:p w14:paraId="791484EA" w14:textId="13577B1F" w:rsidR="00D45A8B" w:rsidRDefault="00D45A8B"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62</w:t>
            </w:r>
          </w:p>
        </w:tc>
        <w:tc>
          <w:tcPr>
            <w:tcW w:w="2193" w:type="dxa"/>
          </w:tcPr>
          <w:p w14:paraId="233C043D" w14:textId="2DE745C4" w:rsidR="00D45A8B" w:rsidRDefault="00D45A8B" w:rsidP="005E0592">
            <w:pPr>
              <w:jc w:val="both"/>
              <w:rPr>
                <w:rFonts w:ascii="Times New Roman" w:hAnsi="Times New Roman" w:cs="Times New Roman"/>
                <w:sz w:val="24"/>
                <w:szCs w:val="24"/>
              </w:rPr>
            </w:pPr>
            <w:r>
              <w:rPr>
                <w:rFonts w:ascii="Times New Roman" w:hAnsi="Times New Roman" w:cs="Times New Roman"/>
                <w:sz w:val="24"/>
                <w:szCs w:val="24"/>
              </w:rPr>
              <w:t xml:space="preserve">52 – 70 </w:t>
            </w:r>
          </w:p>
        </w:tc>
      </w:tr>
      <w:tr w:rsidR="00D51D4C" w14:paraId="27F0CD2A" w14:textId="77777777" w:rsidTr="001F3C3C">
        <w:trPr>
          <w:jc w:val="center"/>
        </w:trPr>
        <w:tc>
          <w:tcPr>
            <w:tcW w:w="2263" w:type="dxa"/>
          </w:tcPr>
          <w:p w14:paraId="588EBEF4" w14:textId="5BFB939B" w:rsidR="00D51D4C" w:rsidRDefault="00D51D4C" w:rsidP="005E0592">
            <w:pPr>
              <w:jc w:val="both"/>
              <w:rPr>
                <w:rFonts w:ascii="Times New Roman" w:hAnsi="Times New Roman" w:cs="Times New Roman"/>
                <w:sz w:val="24"/>
                <w:szCs w:val="24"/>
              </w:rPr>
            </w:pPr>
            <w:proofErr w:type="spellStart"/>
            <w:r>
              <w:rPr>
                <w:rFonts w:ascii="Times New Roman" w:hAnsi="Times New Roman" w:cs="Times New Roman"/>
                <w:sz w:val="24"/>
                <w:szCs w:val="24"/>
              </w:rPr>
              <w:t>Sun</w:t>
            </w:r>
            <w:proofErr w:type="spellEnd"/>
            <w:r>
              <w:rPr>
                <w:rFonts w:ascii="Times New Roman" w:hAnsi="Times New Roman" w:cs="Times New Roman"/>
                <w:sz w:val="24"/>
                <w:szCs w:val="24"/>
              </w:rPr>
              <w:t xml:space="preserve"> et al. (2022)</w:t>
            </w:r>
          </w:p>
        </w:tc>
        <w:tc>
          <w:tcPr>
            <w:tcW w:w="1843" w:type="dxa"/>
          </w:tcPr>
          <w:p w14:paraId="77407592" w14:textId="3CE08203" w:rsidR="00D51D4C" w:rsidRDefault="00D51D4C"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67.5</w:t>
            </w:r>
          </w:p>
        </w:tc>
        <w:tc>
          <w:tcPr>
            <w:tcW w:w="2193" w:type="dxa"/>
          </w:tcPr>
          <w:p w14:paraId="7EEB678F" w14:textId="786D453B" w:rsidR="00D51D4C" w:rsidRDefault="00D51D4C" w:rsidP="005E0592">
            <w:pPr>
              <w:jc w:val="both"/>
              <w:rPr>
                <w:rFonts w:ascii="Times New Roman" w:hAnsi="Times New Roman" w:cs="Times New Roman"/>
                <w:sz w:val="24"/>
                <w:szCs w:val="24"/>
              </w:rPr>
            </w:pPr>
            <w:r>
              <w:rPr>
                <w:rFonts w:ascii="Times New Roman" w:hAnsi="Times New Roman" w:cs="Times New Roman"/>
                <w:sz w:val="24"/>
                <w:szCs w:val="24"/>
              </w:rPr>
              <w:t xml:space="preserve">60.5 – 74 </w:t>
            </w:r>
          </w:p>
        </w:tc>
      </w:tr>
    </w:tbl>
    <w:p w14:paraId="42E10B7D" w14:textId="77777777" w:rsidR="00A80E0A" w:rsidRDefault="00A80E0A" w:rsidP="00223BCA">
      <w:pPr>
        <w:jc w:val="both"/>
        <w:rPr>
          <w:rFonts w:ascii="Times New Roman" w:hAnsi="Times New Roman" w:cs="Times New Roman"/>
          <w:b/>
          <w:bCs/>
          <w:sz w:val="24"/>
          <w:szCs w:val="24"/>
        </w:rPr>
      </w:pPr>
    </w:p>
    <w:p w14:paraId="6D9652C9" w14:textId="368382FC" w:rsidR="00A80E0A" w:rsidRDefault="00E7019A" w:rsidP="00223BCA">
      <w:pPr>
        <w:jc w:val="both"/>
        <w:rPr>
          <w:rFonts w:ascii="Times New Roman" w:hAnsi="Times New Roman" w:cs="Times New Roman"/>
          <w:b/>
          <w:bCs/>
          <w:sz w:val="24"/>
          <w:szCs w:val="24"/>
        </w:rPr>
      </w:pPr>
      <w:r>
        <w:rPr>
          <w:rFonts w:ascii="Times New Roman" w:hAnsi="Times New Roman" w:cs="Times New Roman"/>
          <w:b/>
          <w:bCs/>
          <w:sz w:val="24"/>
          <w:szCs w:val="24"/>
        </w:rPr>
        <w:t xml:space="preserve">Cuarta </w:t>
      </w:r>
      <w:r w:rsidR="00A80E0A">
        <w:rPr>
          <w:rFonts w:ascii="Times New Roman" w:hAnsi="Times New Roman" w:cs="Times New Roman"/>
          <w:b/>
          <w:bCs/>
          <w:sz w:val="24"/>
          <w:szCs w:val="24"/>
        </w:rPr>
        <w:t>observación</w:t>
      </w:r>
      <w:r>
        <w:rPr>
          <w:rFonts w:ascii="Times New Roman" w:hAnsi="Times New Roman" w:cs="Times New Roman"/>
          <w:b/>
          <w:bCs/>
          <w:sz w:val="24"/>
          <w:szCs w:val="24"/>
        </w:rPr>
        <w:t xml:space="preserve"> [Los pacientes críticos crónicos muestran una mayor supervivencia]</w:t>
      </w:r>
      <w:r w:rsidR="00A80E0A">
        <w:rPr>
          <w:rFonts w:ascii="Times New Roman" w:hAnsi="Times New Roman" w:cs="Times New Roman"/>
          <w:b/>
          <w:bCs/>
          <w:sz w:val="24"/>
          <w:szCs w:val="24"/>
        </w:rPr>
        <w:t>:</w:t>
      </w:r>
    </w:p>
    <w:p w14:paraId="3D2CFCB4" w14:textId="77777777" w:rsidR="00E7019A" w:rsidRDefault="00E7019A" w:rsidP="00223BCA">
      <w:pPr>
        <w:jc w:val="both"/>
        <w:rPr>
          <w:rFonts w:ascii="Times New Roman" w:hAnsi="Times New Roman" w:cs="Times New Roman"/>
          <w:b/>
          <w:bCs/>
          <w:sz w:val="24"/>
          <w:szCs w:val="24"/>
        </w:rPr>
      </w:pPr>
    </w:p>
    <w:p w14:paraId="61894853" w14:textId="3B96918B" w:rsidR="00E7019A" w:rsidRDefault="00E7019A" w:rsidP="00223BCA">
      <w:pPr>
        <w:jc w:val="both"/>
        <w:rPr>
          <w:rFonts w:ascii="Times New Roman" w:hAnsi="Times New Roman" w:cs="Times New Roman"/>
          <w:b/>
          <w:bCs/>
          <w:sz w:val="24"/>
          <w:szCs w:val="24"/>
        </w:rPr>
      </w:pPr>
      <w:r>
        <w:rPr>
          <w:rFonts w:ascii="Times New Roman" w:hAnsi="Times New Roman" w:cs="Times New Roman"/>
          <w:b/>
          <w:bCs/>
          <w:sz w:val="24"/>
          <w:szCs w:val="24"/>
        </w:rPr>
        <w:lastRenderedPageBreak/>
        <w:t>Quinta observación [Comparación de tasas de mortalidad estimadas]</w:t>
      </w:r>
    </w:p>
    <w:p w14:paraId="283594BB" w14:textId="0C2DBB68" w:rsidR="00A159D1" w:rsidRDefault="00A159D1" w:rsidP="00223BCA">
      <w:pPr>
        <w:jc w:val="both"/>
        <w:rPr>
          <w:rFonts w:ascii="Times New Roman" w:hAnsi="Times New Roman" w:cs="Times New Roman"/>
          <w:b/>
          <w:bCs/>
          <w:sz w:val="24"/>
          <w:szCs w:val="24"/>
        </w:rPr>
      </w:pPr>
      <w:r>
        <w:rPr>
          <w:rFonts w:ascii="Times New Roman" w:hAnsi="Times New Roman" w:cs="Times New Roman"/>
          <w:b/>
          <w:bCs/>
          <w:sz w:val="24"/>
          <w:szCs w:val="24"/>
        </w:rPr>
        <w:t xml:space="preserve">La idea es reportar el resultado general y, en un párrafo, </w:t>
      </w:r>
      <w:proofErr w:type="gramStart"/>
      <w:r>
        <w:rPr>
          <w:rFonts w:ascii="Times New Roman" w:hAnsi="Times New Roman" w:cs="Times New Roman"/>
          <w:b/>
          <w:bCs/>
          <w:sz w:val="24"/>
          <w:szCs w:val="24"/>
        </w:rPr>
        <w:t>compararlo  con</w:t>
      </w:r>
      <w:proofErr w:type="gramEnd"/>
      <w:r>
        <w:rPr>
          <w:rFonts w:ascii="Times New Roman" w:hAnsi="Times New Roman" w:cs="Times New Roman"/>
          <w:b/>
          <w:bCs/>
          <w:sz w:val="24"/>
          <w:szCs w:val="24"/>
        </w:rPr>
        <w:t xml:space="preserve"> los valores  de otros estudios, principalmente, el estudio de </w:t>
      </w:r>
      <w:proofErr w:type="spellStart"/>
      <w:r>
        <w:rPr>
          <w:rFonts w:ascii="Times New Roman" w:hAnsi="Times New Roman" w:cs="Times New Roman"/>
          <w:b/>
          <w:bCs/>
          <w:sz w:val="24"/>
          <w:szCs w:val="24"/>
        </w:rPr>
        <w:t>Peckham</w:t>
      </w:r>
      <w:proofErr w:type="spellEnd"/>
      <w:r>
        <w:rPr>
          <w:rFonts w:ascii="Times New Roman" w:hAnsi="Times New Roman" w:cs="Times New Roman"/>
          <w:b/>
          <w:bCs/>
          <w:sz w:val="24"/>
          <w:szCs w:val="24"/>
        </w:rPr>
        <w:t>.</w:t>
      </w:r>
    </w:p>
    <w:p w14:paraId="1FBC1488" w14:textId="659FF306" w:rsidR="0030725B" w:rsidRDefault="00A159D1" w:rsidP="00223BCA">
      <w:pPr>
        <w:jc w:val="both"/>
        <w:rPr>
          <w:rFonts w:ascii="Times New Roman" w:hAnsi="Times New Roman" w:cs="Times New Roman"/>
          <w:b/>
          <w:bCs/>
          <w:sz w:val="24"/>
          <w:szCs w:val="24"/>
        </w:rPr>
      </w:pPr>
      <w:r>
        <w:rPr>
          <w:rFonts w:ascii="Times New Roman" w:hAnsi="Times New Roman" w:cs="Times New Roman"/>
          <w:b/>
          <w:bCs/>
          <w:sz w:val="24"/>
          <w:szCs w:val="24"/>
        </w:rPr>
        <w:t xml:space="preserve">Referencias </w:t>
      </w:r>
      <w:proofErr w:type="gramStart"/>
      <w:r>
        <w:rPr>
          <w:rFonts w:ascii="Times New Roman" w:hAnsi="Times New Roman" w:cs="Times New Roman"/>
          <w:b/>
          <w:bCs/>
          <w:sz w:val="24"/>
          <w:szCs w:val="24"/>
        </w:rPr>
        <w:t>para  usar</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Peckham</w:t>
      </w:r>
      <w:proofErr w:type="spellEnd"/>
    </w:p>
    <w:p w14:paraId="122B40E2" w14:textId="03936230" w:rsidR="007E2E3D" w:rsidRDefault="007E2E3D" w:rsidP="00223BCA">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Arentz</w:t>
      </w:r>
      <w:proofErr w:type="spellEnd"/>
    </w:p>
    <w:p w14:paraId="2264BC65" w14:textId="32581E19" w:rsidR="007E2E3D" w:rsidRDefault="007E2E3D" w:rsidP="00223BCA">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Graselli</w:t>
      </w:r>
      <w:proofErr w:type="spellEnd"/>
    </w:p>
    <w:p w14:paraId="5E08D64F" w14:textId="4AD9C394" w:rsidR="007E2E3D" w:rsidRDefault="007E2E3D" w:rsidP="00223BCA">
      <w:pPr>
        <w:jc w:val="both"/>
        <w:rPr>
          <w:rFonts w:ascii="Times New Roman" w:hAnsi="Times New Roman" w:cs="Times New Roman"/>
          <w:b/>
          <w:bCs/>
          <w:sz w:val="24"/>
          <w:szCs w:val="24"/>
        </w:rPr>
      </w:pPr>
      <w:r>
        <w:rPr>
          <w:rFonts w:ascii="Times New Roman" w:hAnsi="Times New Roman" w:cs="Times New Roman"/>
          <w:b/>
          <w:bCs/>
          <w:sz w:val="24"/>
          <w:szCs w:val="24"/>
        </w:rPr>
        <w:t>Huang</w:t>
      </w:r>
    </w:p>
    <w:p w14:paraId="11EDD884" w14:textId="77777777" w:rsidR="0030725B" w:rsidRDefault="0030725B" w:rsidP="00223BCA">
      <w:pPr>
        <w:jc w:val="both"/>
        <w:rPr>
          <w:rFonts w:ascii="Times New Roman" w:hAnsi="Times New Roman" w:cs="Times New Roman"/>
          <w:b/>
          <w:bCs/>
          <w:sz w:val="24"/>
          <w:szCs w:val="24"/>
        </w:rPr>
      </w:pPr>
    </w:p>
    <w:p w14:paraId="1E2E7FF1" w14:textId="77777777" w:rsidR="0030725B" w:rsidRDefault="0030725B" w:rsidP="00223BCA">
      <w:pPr>
        <w:jc w:val="both"/>
        <w:rPr>
          <w:rFonts w:ascii="Times New Roman" w:hAnsi="Times New Roman" w:cs="Times New Roman"/>
          <w:b/>
          <w:bCs/>
          <w:sz w:val="24"/>
          <w:szCs w:val="24"/>
        </w:rPr>
      </w:pPr>
    </w:p>
    <w:p w14:paraId="72A6E752" w14:textId="6C97FF6A" w:rsidR="00E7019A" w:rsidRDefault="00E7019A" w:rsidP="00223BCA">
      <w:pPr>
        <w:jc w:val="both"/>
        <w:rPr>
          <w:rFonts w:ascii="Times New Roman" w:hAnsi="Times New Roman" w:cs="Times New Roman"/>
          <w:b/>
          <w:bCs/>
          <w:sz w:val="24"/>
          <w:szCs w:val="24"/>
        </w:rPr>
      </w:pPr>
      <w:r>
        <w:rPr>
          <w:rFonts w:ascii="Times New Roman" w:hAnsi="Times New Roman" w:cs="Times New Roman"/>
          <w:b/>
          <w:bCs/>
          <w:sz w:val="24"/>
          <w:szCs w:val="24"/>
        </w:rPr>
        <w:t>Sexta observación [Comportamiento de</w:t>
      </w:r>
      <w:r w:rsidR="0030725B">
        <w:rPr>
          <w:rFonts w:ascii="Times New Roman" w:hAnsi="Times New Roman" w:cs="Times New Roman"/>
          <w:b/>
          <w:bCs/>
          <w:sz w:val="24"/>
          <w:szCs w:val="24"/>
        </w:rPr>
        <w:t>l tiempo de permanencia en UCI]</w:t>
      </w:r>
    </w:p>
    <w:p w14:paraId="61395F8F" w14:textId="489F47A1" w:rsidR="0030725B" w:rsidRPr="005E0592" w:rsidRDefault="005E0592" w:rsidP="00223BCA">
      <w:pPr>
        <w:jc w:val="both"/>
        <w:rPr>
          <w:rFonts w:ascii="Times New Roman" w:hAnsi="Times New Roman" w:cs="Times New Roman"/>
          <w:sz w:val="24"/>
          <w:szCs w:val="24"/>
        </w:rPr>
      </w:pPr>
      <w:r>
        <w:rPr>
          <w:rFonts w:ascii="Times New Roman" w:hAnsi="Times New Roman" w:cs="Times New Roman"/>
          <w:sz w:val="24"/>
          <w:szCs w:val="24"/>
        </w:rPr>
        <w:t xml:space="preserve">Para una revisión sistemática y una compilación de información, véase </w:t>
      </w:r>
      <w:r>
        <w:t>Rees et al. (2020).</w:t>
      </w:r>
      <w:r w:rsidR="00B42152">
        <w:t xml:space="preserve"> La revisión sistemática, demuestra que </w:t>
      </w:r>
      <w:r w:rsidR="00B42152" w:rsidRPr="00B42152">
        <w:t xml:space="preserve">Median </w:t>
      </w:r>
      <w:proofErr w:type="spellStart"/>
      <w:r w:rsidR="00B42152" w:rsidRPr="00B42152">
        <w:t>stay</w:t>
      </w:r>
      <w:proofErr w:type="spellEnd"/>
      <w:r w:rsidR="00B42152" w:rsidRPr="00B42152">
        <w:t xml:space="preserve"> in ICU </w:t>
      </w:r>
      <w:proofErr w:type="spellStart"/>
      <w:r w:rsidR="00B42152" w:rsidRPr="00B42152">
        <w:t>ranged</w:t>
      </w:r>
      <w:proofErr w:type="spellEnd"/>
      <w:r w:rsidR="00B42152" w:rsidRPr="00B42152">
        <w:t xml:space="preserve"> </w:t>
      </w:r>
      <w:proofErr w:type="spellStart"/>
      <w:r w:rsidR="00B42152" w:rsidRPr="00B42152">
        <w:t>from</w:t>
      </w:r>
      <w:proofErr w:type="spellEnd"/>
      <w:r w:rsidR="00B42152" w:rsidRPr="00B42152">
        <w:t xml:space="preserve"> 5 (IQR 2–9) </w:t>
      </w:r>
      <w:proofErr w:type="spellStart"/>
      <w:r w:rsidR="00B42152" w:rsidRPr="00B42152">
        <w:t>to</w:t>
      </w:r>
      <w:proofErr w:type="spellEnd"/>
      <w:r w:rsidR="00B42152" w:rsidRPr="00B42152">
        <w:t xml:space="preserve"> 19 (no IQR </w:t>
      </w:r>
      <w:proofErr w:type="spellStart"/>
      <w:r w:rsidR="00B42152" w:rsidRPr="00B42152">
        <w:t>reported</w:t>
      </w:r>
      <w:proofErr w:type="spellEnd"/>
      <w:r w:rsidR="00B42152" w:rsidRPr="00B42152">
        <w:t xml:space="preserve">) </w:t>
      </w:r>
      <w:proofErr w:type="spellStart"/>
      <w:r w:rsidR="00B42152" w:rsidRPr="00B42152">
        <w:t>days</w:t>
      </w:r>
      <w:proofErr w:type="spellEnd"/>
      <w:r w:rsidR="00B42152" w:rsidRPr="00B42152">
        <w:t xml:space="preserve">. </w:t>
      </w:r>
      <w:proofErr w:type="spellStart"/>
      <w:r w:rsidR="00B42152" w:rsidRPr="00B42152">
        <w:t>There</w:t>
      </w:r>
      <w:proofErr w:type="spellEnd"/>
    </w:p>
    <w:tbl>
      <w:tblPr>
        <w:tblStyle w:val="Tablaconcuadrcula"/>
        <w:tblW w:w="0" w:type="auto"/>
        <w:jc w:val="center"/>
        <w:tblLook w:val="04A0" w:firstRow="1" w:lastRow="0" w:firstColumn="1" w:lastColumn="0" w:noHBand="0" w:noVBand="1"/>
      </w:tblPr>
      <w:tblGrid>
        <w:gridCol w:w="2263"/>
        <w:gridCol w:w="1843"/>
        <w:gridCol w:w="2193"/>
      </w:tblGrid>
      <w:tr w:rsidR="0030725B" w14:paraId="7B52E395" w14:textId="77777777" w:rsidTr="00A60F04">
        <w:trPr>
          <w:jc w:val="center"/>
        </w:trPr>
        <w:tc>
          <w:tcPr>
            <w:tcW w:w="2263" w:type="dxa"/>
          </w:tcPr>
          <w:p w14:paraId="215B067C" w14:textId="25F8C380" w:rsidR="0030725B" w:rsidRPr="005E4071" w:rsidRDefault="0030725B" w:rsidP="00A60F04">
            <w:pPr>
              <w:rPr>
                <w:rFonts w:ascii="Times New Roman" w:hAnsi="Times New Roman" w:cs="Times New Roman"/>
                <w:b/>
                <w:bCs/>
                <w:sz w:val="24"/>
                <w:szCs w:val="24"/>
              </w:rPr>
            </w:pPr>
            <w:r>
              <w:rPr>
                <w:rFonts w:ascii="Times New Roman" w:hAnsi="Times New Roman" w:cs="Times New Roman"/>
                <w:b/>
                <w:bCs/>
                <w:sz w:val="24"/>
                <w:szCs w:val="24"/>
              </w:rPr>
              <w:t xml:space="preserve">ICU </w:t>
            </w:r>
            <w:proofErr w:type="spellStart"/>
            <w:r>
              <w:rPr>
                <w:rFonts w:ascii="Times New Roman" w:hAnsi="Times New Roman" w:cs="Times New Roman"/>
                <w:b/>
                <w:bCs/>
                <w:sz w:val="24"/>
                <w:szCs w:val="24"/>
              </w:rPr>
              <w:t>length</w:t>
            </w:r>
            <w:proofErr w:type="spellEnd"/>
          </w:p>
        </w:tc>
        <w:tc>
          <w:tcPr>
            <w:tcW w:w="1843" w:type="dxa"/>
          </w:tcPr>
          <w:p w14:paraId="3C149505" w14:textId="77777777" w:rsidR="0030725B" w:rsidRPr="005E4071" w:rsidRDefault="0030725B" w:rsidP="00A60F04">
            <w:pPr>
              <w:rPr>
                <w:rFonts w:ascii="Times New Roman" w:hAnsi="Times New Roman" w:cs="Times New Roman"/>
                <w:b/>
                <w:bCs/>
                <w:sz w:val="24"/>
                <w:szCs w:val="24"/>
              </w:rPr>
            </w:pPr>
            <w:r w:rsidRPr="005E4071">
              <w:rPr>
                <w:rFonts w:ascii="Times New Roman" w:hAnsi="Times New Roman" w:cs="Times New Roman"/>
                <w:b/>
                <w:bCs/>
                <w:sz w:val="24"/>
                <w:szCs w:val="24"/>
              </w:rPr>
              <w:t>Mediana</w:t>
            </w:r>
          </w:p>
        </w:tc>
        <w:tc>
          <w:tcPr>
            <w:tcW w:w="2193" w:type="dxa"/>
          </w:tcPr>
          <w:p w14:paraId="7CA5AFB6" w14:textId="77777777" w:rsidR="0030725B" w:rsidRPr="005E4071" w:rsidRDefault="0030725B" w:rsidP="00A60F04">
            <w:pPr>
              <w:rPr>
                <w:rFonts w:ascii="Times New Roman" w:hAnsi="Times New Roman" w:cs="Times New Roman"/>
                <w:b/>
                <w:bCs/>
                <w:sz w:val="24"/>
                <w:szCs w:val="24"/>
              </w:rPr>
            </w:pPr>
            <w:r w:rsidRPr="005E4071">
              <w:rPr>
                <w:rFonts w:ascii="Times New Roman" w:hAnsi="Times New Roman" w:cs="Times New Roman"/>
                <w:b/>
                <w:bCs/>
                <w:sz w:val="24"/>
                <w:szCs w:val="24"/>
              </w:rPr>
              <w:t>IQR</w:t>
            </w:r>
          </w:p>
        </w:tc>
      </w:tr>
      <w:tr w:rsidR="0030725B" w14:paraId="2A697C4E" w14:textId="77777777" w:rsidTr="00A60F04">
        <w:trPr>
          <w:jc w:val="center"/>
        </w:trPr>
        <w:tc>
          <w:tcPr>
            <w:tcW w:w="2263" w:type="dxa"/>
          </w:tcPr>
          <w:p w14:paraId="35F1BEBF" w14:textId="77777777" w:rsidR="0030725B" w:rsidRDefault="0030725B"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Meijs</w:t>
            </w:r>
            <w:proofErr w:type="spellEnd"/>
            <w:r>
              <w:rPr>
                <w:rFonts w:ascii="Times New Roman" w:hAnsi="Times New Roman" w:cs="Times New Roman"/>
                <w:sz w:val="24"/>
                <w:szCs w:val="24"/>
              </w:rPr>
              <w:t xml:space="preserve"> et al. (2022)</w:t>
            </w:r>
          </w:p>
        </w:tc>
        <w:tc>
          <w:tcPr>
            <w:tcW w:w="1843" w:type="dxa"/>
          </w:tcPr>
          <w:p w14:paraId="162F635B" w14:textId="6E63C394" w:rsidR="0030725B" w:rsidRDefault="0030725B" w:rsidP="00A60F04">
            <w:pPr>
              <w:jc w:val="both"/>
              <w:rPr>
                <w:rFonts w:ascii="Times New Roman" w:hAnsi="Times New Roman" w:cs="Times New Roman"/>
                <w:sz w:val="24"/>
                <w:szCs w:val="24"/>
              </w:rPr>
            </w:pPr>
            <w:r>
              <w:rPr>
                <w:rFonts w:ascii="Times New Roman" w:hAnsi="Times New Roman" w:cs="Times New Roman"/>
                <w:sz w:val="24"/>
                <w:szCs w:val="24"/>
              </w:rPr>
              <w:t>12.4</w:t>
            </w:r>
          </w:p>
        </w:tc>
        <w:tc>
          <w:tcPr>
            <w:tcW w:w="2193" w:type="dxa"/>
          </w:tcPr>
          <w:p w14:paraId="22016417" w14:textId="16E8025B" w:rsidR="0030725B" w:rsidRDefault="0030725B" w:rsidP="00A60F04">
            <w:pPr>
              <w:jc w:val="both"/>
              <w:rPr>
                <w:rFonts w:ascii="Times New Roman" w:hAnsi="Times New Roman" w:cs="Times New Roman"/>
                <w:sz w:val="24"/>
                <w:szCs w:val="24"/>
              </w:rPr>
            </w:pPr>
            <w:r>
              <w:rPr>
                <w:rFonts w:ascii="Times New Roman" w:hAnsi="Times New Roman" w:cs="Times New Roman"/>
                <w:sz w:val="24"/>
                <w:szCs w:val="24"/>
              </w:rPr>
              <w:t xml:space="preserve">5 – 28 </w:t>
            </w:r>
          </w:p>
        </w:tc>
      </w:tr>
      <w:tr w:rsidR="0030725B" w14:paraId="28513BC5" w14:textId="77777777" w:rsidTr="00A60F04">
        <w:trPr>
          <w:jc w:val="center"/>
        </w:trPr>
        <w:tc>
          <w:tcPr>
            <w:tcW w:w="2263" w:type="dxa"/>
          </w:tcPr>
          <w:p w14:paraId="2BD28DC9" w14:textId="77777777" w:rsidR="0030725B" w:rsidRPr="001F3C3C" w:rsidRDefault="0030725B" w:rsidP="00A60F04">
            <w:pPr>
              <w:jc w:val="both"/>
              <w:rPr>
                <w:rFonts w:ascii="Times New Roman" w:hAnsi="Times New Roman" w:cs="Times New Roman"/>
                <w:sz w:val="24"/>
                <w:szCs w:val="24"/>
              </w:rPr>
            </w:pPr>
            <w:r w:rsidRPr="001F3C3C">
              <w:rPr>
                <w:rFonts w:ascii="Times New Roman" w:hAnsi="Times New Roman" w:cs="Times New Roman"/>
                <w:sz w:val="24"/>
                <w:szCs w:val="24"/>
              </w:rPr>
              <w:t>Nuestro estudio</w:t>
            </w:r>
          </w:p>
        </w:tc>
        <w:tc>
          <w:tcPr>
            <w:tcW w:w="1843" w:type="dxa"/>
          </w:tcPr>
          <w:p w14:paraId="47961C81" w14:textId="35BA7585" w:rsidR="0030725B" w:rsidRPr="001F3C3C" w:rsidRDefault="0030725B" w:rsidP="00A60F04">
            <w:pPr>
              <w:jc w:val="both"/>
              <w:rPr>
                <w:rFonts w:ascii="Times New Roman" w:hAnsi="Times New Roman" w:cs="Times New Roman"/>
                <w:sz w:val="24"/>
                <w:szCs w:val="24"/>
              </w:rPr>
            </w:pPr>
            <w:r>
              <w:rPr>
                <w:rFonts w:ascii="Times New Roman" w:hAnsi="Times New Roman" w:cs="Times New Roman"/>
                <w:sz w:val="24"/>
                <w:szCs w:val="24"/>
                <w:shd w:val="clear" w:color="auto" w:fill="FFFFFF"/>
              </w:rPr>
              <w:t>19</w:t>
            </w:r>
          </w:p>
        </w:tc>
        <w:tc>
          <w:tcPr>
            <w:tcW w:w="2193" w:type="dxa"/>
          </w:tcPr>
          <w:p w14:paraId="64D05B73" w14:textId="0AE0DFBA" w:rsidR="0030725B" w:rsidRPr="001F3C3C" w:rsidRDefault="0030725B" w:rsidP="00A60F04">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5 – 74 </w:t>
            </w:r>
          </w:p>
        </w:tc>
      </w:tr>
      <w:tr w:rsidR="0030725B" w14:paraId="6332BAB5" w14:textId="77777777" w:rsidTr="00A60F04">
        <w:trPr>
          <w:jc w:val="center"/>
        </w:trPr>
        <w:tc>
          <w:tcPr>
            <w:tcW w:w="2263" w:type="dxa"/>
          </w:tcPr>
          <w:p w14:paraId="4F6ECB1C" w14:textId="77777777" w:rsidR="0030725B" w:rsidRPr="001F3C3C" w:rsidRDefault="0030725B" w:rsidP="00A60F04">
            <w:pPr>
              <w:jc w:val="both"/>
              <w:rPr>
                <w:rFonts w:ascii="Times New Roman" w:hAnsi="Times New Roman" w:cs="Times New Roman"/>
                <w:sz w:val="24"/>
                <w:szCs w:val="24"/>
              </w:rPr>
            </w:pPr>
            <w:proofErr w:type="spellStart"/>
            <w:r w:rsidRPr="001F3C3C">
              <w:rPr>
                <w:rFonts w:ascii="Times New Roman" w:hAnsi="Times New Roman" w:cs="Times New Roman"/>
                <w:sz w:val="24"/>
                <w:szCs w:val="24"/>
              </w:rPr>
              <w:t>Zappella</w:t>
            </w:r>
            <w:proofErr w:type="spellEnd"/>
            <w:r w:rsidRPr="001F3C3C">
              <w:rPr>
                <w:rFonts w:ascii="Times New Roman" w:hAnsi="Times New Roman" w:cs="Times New Roman"/>
                <w:sz w:val="24"/>
                <w:szCs w:val="24"/>
              </w:rPr>
              <w:t xml:space="preserve"> et al. (2022)</w:t>
            </w:r>
          </w:p>
        </w:tc>
        <w:tc>
          <w:tcPr>
            <w:tcW w:w="1843" w:type="dxa"/>
          </w:tcPr>
          <w:p w14:paraId="6872C324" w14:textId="76EDA4AC" w:rsidR="0030725B" w:rsidRPr="001F3C3C" w:rsidRDefault="0030725B" w:rsidP="00A60F04">
            <w:pPr>
              <w:jc w:val="both"/>
              <w:rPr>
                <w:rFonts w:ascii="Times New Roman" w:hAnsi="Times New Roman" w:cs="Times New Roman"/>
                <w:sz w:val="24"/>
                <w:szCs w:val="24"/>
                <w:shd w:val="clear" w:color="auto" w:fill="FFFFFF"/>
              </w:rPr>
            </w:pPr>
            <w:r w:rsidRPr="0030725B">
              <w:rPr>
                <w:rFonts w:ascii="Times New Roman" w:hAnsi="Times New Roman" w:cs="Times New Roman"/>
                <w:sz w:val="24"/>
                <w:szCs w:val="24"/>
              </w:rPr>
              <w:t xml:space="preserve">15 </w:t>
            </w:r>
          </w:p>
        </w:tc>
        <w:tc>
          <w:tcPr>
            <w:tcW w:w="2193" w:type="dxa"/>
          </w:tcPr>
          <w:p w14:paraId="15B53158" w14:textId="76EBCB26" w:rsidR="0030725B" w:rsidRPr="001F3C3C" w:rsidRDefault="0030725B" w:rsidP="00A60F04">
            <w:pPr>
              <w:jc w:val="both"/>
              <w:rPr>
                <w:rFonts w:ascii="Times New Roman" w:hAnsi="Times New Roman" w:cs="Times New Roman"/>
                <w:sz w:val="24"/>
                <w:szCs w:val="24"/>
              </w:rPr>
            </w:pPr>
            <w:r w:rsidRPr="0030725B">
              <w:rPr>
                <w:rFonts w:ascii="Times New Roman" w:hAnsi="Times New Roman" w:cs="Times New Roman"/>
                <w:sz w:val="24"/>
                <w:szCs w:val="24"/>
              </w:rPr>
              <w:t>8</w:t>
            </w:r>
            <w:r>
              <w:rPr>
                <w:rFonts w:ascii="Times New Roman" w:hAnsi="Times New Roman" w:cs="Times New Roman"/>
                <w:sz w:val="24"/>
                <w:szCs w:val="24"/>
              </w:rPr>
              <w:t xml:space="preserve"> – </w:t>
            </w:r>
            <w:r w:rsidRPr="0030725B">
              <w:rPr>
                <w:rFonts w:ascii="Times New Roman" w:hAnsi="Times New Roman" w:cs="Times New Roman"/>
                <w:sz w:val="24"/>
                <w:szCs w:val="24"/>
              </w:rPr>
              <w:t>28</w:t>
            </w:r>
            <w:r>
              <w:rPr>
                <w:rFonts w:ascii="Times New Roman" w:hAnsi="Times New Roman" w:cs="Times New Roman"/>
                <w:sz w:val="24"/>
                <w:szCs w:val="24"/>
              </w:rPr>
              <w:t xml:space="preserve"> </w:t>
            </w:r>
          </w:p>
        </w:tc>
      </w:tr>
      <w:tr w:rsidR="0030725B" w14:paraId="05077B53" w14:textId="77777777" w:rsidTr="00A60F04">
        <w:trPr>
          <w:jc w:val="center"/>
        </w:trPr>
        <w:tc>
          <w:tcPr>
            <w:tcW w:w="2263" w:type="dxa"/>
          </w:tcPr>
          <w:p w14:paraId="2C31A55F" w14:textId="77777777" w:rsidR="0030725B" w:rsidRDefault="0030725B" w:rsidP="00A60F04">
            <w:pPr>
              <w:jc w:val="both"/>
              <w:rPr>
                <w:rFonts w:ascii="Times New Roman" w:hAnsi="Times New Roman" w:cs="Times New Roman"/>
                <w:sz w:val="24"/>
                <w:szCs w:val="24"/>
              </w:rPr>
            </w:pPr>
            <w:r>
              <w:rPr>
                <w:rFonts w:ascii="Times New Roman" w:hAnsi="Times New Roman" w:cs="Times New Roman"/>
                <w:sz w:val="24"/>
                <w:szCs w:val="24"/>
              </w:rPr>
              <w:t>Haase et al. (2021)</w:t>
            </w:r>
          </w:p>
        </w:tc>
        <w:tc>
          <w:tcPr>
            <w:tcW w:w="1843" w:type="dxa"/>
          </w:tcPr>
          <w:p w14:paraId="07A1EB68" w14:textId="3D4CD51A" w:rsidR="0030725B" w:rsidRPr="00CE617C" w:rsidRDefault="0030725B" w:rsidP="0030725B">
            <w:pPr>
              <w:tabs>
                <w:tab w:val="center" w:pos="813"/>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r>
              <w:rPr>
                <w:rFonts w:ascii="Times New Roman" w:hAnsi="Times New Roman" w:cs="Times New Roman"/>
                <w:sz w:val="24"/>
                <w:szCs w:val="24"/>
                <w:shd w:val="clear" w:color="auto" w:fill="FFFFFF"/>
              </w:rPr>
              <w:tab/>
            </w:r>
          </w:p>
        </w:tc>
        <w:tc>
          <w:tcPr>
            <w:tcW w:w="2193" w:type="dxa"/>
          </w:tcPr>
          <w:p w14:paraId="69D0A99A" w14:textId="6B842D9C" w:rsidR="0030725B" w:rsidRPr="00CE617C" w:rsidRDefault="0030725B" w:rsidP="00A60F04">
            <w:pPr>
              <w:jc w:val="both"/>
              <w:rPr>
                <w:rFonts w:ascii="Times New Roman" w:hAnsi="Times New Roman" w:cs="Times New Roman"/>
                <w:sz w:val="24"/>
                <w:szCs w:val="24"/>
              </w:rPr>
            </w:pPr>
            <w:r>
              <w:rPr>
                <w:rFonts w:ascii="Times New Roman" w:hAnsi="Times New Roman" w:cs="Times New Roman"/>
                <w:sz w:val="24"/>
                <w:szCs w:val="24"/>
              </w:rPr>
              <w:t>6 - 22</w:t>
            </w:r>
          </w:p>
        </w:tc>
      </w:tr>
      <w:tr w:rsidR="0030725B" w14:paraId="4524E67F" w14:textId="77777777" w:rsidTr="00A60F04">
        <w:trPr>
          <w:jc w:val="center"/>
        </w:trPr>
        <w:tc>
          <w:tcPr>
            <w:tcW w:w="2263" w:type="dxa"/>
          </w:tcPr>
          <w:p w14:paraId="0B12D4BB" w14:textId="38F6D86D" w:rsidR="0030725B" w:rsidRDefault="0030725B"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Rozman</w:t>
            </w:r>
            <w:proofErr w:type="spellEnd"/>
            <w:r>
              <w:rPr>
                <w:rFonts w:ascii="Times New Roman" w:hAnsi="Times New Roman" w:cs="Times New Roman"/>
                <w:sz w:val="24"/>
                <w:szCs w:val="24"/>
              </w:rPr>
              <w:t xml:space="preserve"> et al. (2022)</w:t>
            </w:r>
          </w:p>
        </w:tc>
        <w:tc>
          <w:tcPr>
            <w:tcW w:w="1843" w:type="dxa"/>
          </w:tcPr>
          <w:p w14:paraId="6C77B889" w14:textId="5463993E" w:rsidR="0030725B" w:rsidRPr="00CE617C" w:rsidRDefault="0030725B"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p>
        </w:tc>
        <w:tc>
          <w:tcPr>
            <w:tcW w:w="2193" w:type="dxa"/>
          </w:tcPr>
          <w:p w14:paraId="47EF5F39" w14:textId="57BEF902" w:rsidR="0030725B" w:rsidRPr="00CE617C" w:rsidRDefault="0030725B" w:rsidP="00A60F04">
            <w:pPr>
              <w:jc w:val="both"/>
              <w:rPr>
                <w:rFonts w:ascii="Times New Roman" w:hAnsi="Times New Roman" w:cs="Times New Roman"/>
                <w:sz w:val="24"/>
                <w:szCs w:val="24"/>
              </w:rPr>
            </w:pPr>
            <w:r>
              <w:rPr>
                <w:rFonts w:ascii="Times New Roman" w:hAnsi="Times New Roman" w:cs="Times New Roman"/>
                <w:sz w:val="24"/>
                <w:szCs w:val="24"/>
              </w:rPr>
              <w:t xml:space="preserve">4 – 11 </w:t>
            </w:r>
          </w:p>
        </w:tc>
      </w:tr>
      <w:tr w:rsidR="0030725B" w14:paraId="6752E4D4" w14:textId="77777777" w:rsidTr="00A60F04">
        <w:trPr>
          <w:jc w:val="center"/>
        </w:trPr>
        <w:tc>
          <w:tcPr>
            <w:tcW w:w="2263" w:type="dxa"/>
          </w:tcPr>
          <w:p w14:paraId="33AB7958" w14:textId="1F75DC70" w:rsidR="0030725B" w:rsidRDefault="005B596C" w:rsidP="00A60F04">
            <w:pPr>
              <w:jc w:val="both"/>
              <w:rPr>
                <w:rFonts w:ascii="Times New Roman" w:hAnsi="Times New Roman" w:cs="Times New Roman"/>
                <w:sz w:val="24"/>
                <w:szCs w:val="24"/>
              </w:rPr>
            </w:pPr>
            <w:r w:rsidRPr="005B596C">
              <w:rPr>
                <w:rFonts w:ascii="Times New Roman" w:hAnsi="Times New Roman" w:cs="Times New Roman"/>
                <w:sz w:val="24"/>
                <w:szCs w:val="24"/>
                <w:highlight w:val="yellow"/>
              </w:rPr>
              <w:t>Peñuelas et al. (2021)</w:t>
            </w:r>
          </w:p>
        </w:tc>
        <w:tc>
          <w:tcPr>
            <w:tcW w:w="1843" w:type="dxa"/>
          </w:tcPr>
          <w:p w14:paraId="545AEB53" w14:textId="34E10E7C" w:rsidR="0030725B" w:rsidRPr="00CE617C" w:rsidRDefault="005B596C"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w:t>
            </w:r>
          </w:p>
        </w:tc>
        <w:tc>
          <w:tcPr>
            <w:tcW w:w="2193" w:type="dxa"/>
          </w:tcPr>
          <w:p w14:paraId="3F02BE7F" w14:textId="11EE51FA" w:rsidR="0030725B" w:rsidRPr="00CE617C" w:rsidRDefault="005B596C" w:rsidP="00A60F04">
            <w:pPr>
              <w:jc w:val="both"/>
              <w:rPr>
                <w:rFonts w:ascii="Times New Roman" w:hAnsi="Times New Roman" w:cs="Times New Roman"/>
                <w:sz w:val="24"/>
                <w:szCs w:val="24"/>
              </w:rPr>
            </w:pPr>
            <w:r>
              <w:rPr>
                <w:rFonts w:ascii="Times New Roman" w:hAnsi="Times New Roman" w:cs="Times New Roman"/>
                <w:sz w:val="24"/>
                <w:szCs w:val="24"/>
              </w:rPr>
              <w:t xml:space="preserve">10 – 34 </w:t>
            </w:r>
          </w:p>
        </w:tc>
      </w:tr>
      <w:tr w:rsidR="0030725B" w14:paraId="2C38D22C" w14:textId="77777777" w:rsidTr="00A60F04">
        <w:trPr>
          <w:jc w:val="center"/>
        </w:trPr>
        <w:tc>
          <w:tcPr>
            <w:tcW w:w="2263" w:type="dxa"/>
          </w:tcPr>
          <w:p w14:paraId="722178EC" w14:textId="0802BEF3" w:rsidR="0030725B" w:rsidRDefault="005B596C" w:rsidP="00A60F04">
            <w:pPr>
              <w:jc w:val="both"/>
              <w:rPr>
                <w:rFonts w:ascii="Times New Roman" w:hAnsi="Times New Roman" w:cs="Times New Roman"/>
                <w:sz w:val="24"/>
                <w:szCs w:val="24"/>
              </w:rPr>
            </w:pPr>
            <w:r>
              <w:rPr>
                <w:rFonts w:ascii="Times New Roman" w:hAnsi="Times New Roman" w:cs="Times New Roman"/>
                <w:sz w:val="24"/>
                <w:szCs w:val="24"/>
              </w:rPr>
              <w:t>Silva et al. (2022)</w:t>
            </w:r>
          </w:p>
        </w:tc>
        <w:tc>
          <w:tcPr>
            <w:tcW w:w="1843" w:type="dxa"/>
          </w:tcPr>
          <w:p w14:paraId="0928E2C2" w14:textId="5923F021" w:rsidR="0030725B" w:rsidRPr="00CE617C" w:rsidRDefault="005B596C"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tc>
        <w:tc>
          <w:tcPr>
            <w:tcW w:w="2193" w:type="dxa"/>
          </w:tcPr>
          <w:p w14:paraId="008FEB0C" w14:textId="7DFA095E" w:rsidR="0030725B" w:rsidRPr="00CE617C" w:rsidRDefault="005B596C" w:rsidP="00A60F04">
            <w:pPr>
              <w:jc w:val="both"/>
              <w:rPr>
                <w:rFonts w:ascii="Times New Roman" w:hAnsi="Times New Roman" w:cs="Times New Roman"/>
                <w:sz w:val="24"/>
                <w:szCs w:val="24"/>
              </w:rPr>
            </w:pPr>
            <w:r>
              <w:rPr>
                <w:rFonts w:ascii="Times New Roman" w:hAnsi="Times New Roman" w:cs="Times New Roman"/>
                <w:sz w:val="24"/>
                <w:szCs w:val="24"/>
              </w:rPr>
              <w:t xml:space="preserve">6 – 20.25 </w:t>
            </w:r>
          </w:p>
        </w:tc>
      </w:tr>
      <w:tr w:rsidR="0030725B" w14:paraId="3134A644" w14:textId="77777777" w:rsidTr="00A60F04">
        <w:trPr>
          <w:jc w:val="center"/>
        </w:trPr>
        <w:tc>
          <w:tcPr>
            <w:tcW w:w="2263" w:type="dxa"/>
          </w:tcPr>
          <w:p w14:paraId="1AE3BF46" w14:textId="2FF96BE3" w:rsidR="0030725B" w:rsidRDefault="0042492D"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Zhan</w:t>
            </w:r>
            <w:proofErr w:type="spellEnd"/>
            <w:r>
              <w:rPr>
                <w:rFonts w:ascii="Times New Roman" w:hAnsi="Times New Roman" w:cs="Times New Roman"/>
                <w:sz w:val="24"/>
                <w:szCs w:val="24"/>
              </w:rPr>
              <w:t xml:space="preserve"> et al. (2021)</w:t>
            </w:r>
          </w:p>
        </w:tc>
        <w:tc>
          <w:tcPr>
            <w:tcW w:w="1843" w:type="dxa"/>
          </w:tcPr>
          <w:p w14:paraId="2E2DA4E1" w14:textId="13D30BEB" w:rsidR="0030725B" w:rsidRPr="00CE617C" w:rsidRDefault="0042492D"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p>
        </w:tc>
        <w:tc>
          <w:tcPr>
            <w:tcW w:w="2193" w:type="dxa"/>
          </w:tcPr>
          <w:p w14:paraId="281B0FAA" w14:textId="37ED7C0E" w:rsidR="0030725B" w:rsidRPr="00CE617C" w:rsidRDefault="0042492D" w:rsidP="00A60F04">
            <w:pPr>
              <w:jc w:val="both"/>
              <w:rPr>
                <w:rFonts w:ascii="Times New Roman" w:hAnsi="Times New Roman" w:cs="Times New Roman"/>
                <w:sz w:val="24"/>
                <w:szCs w:val="24"/>
              </w:rPr>
            </w:pPr>
            <w:r>
              <w:rPr>
                <w:rFonts w:ascii="Times New Roman" w:hAnsi="Times New Roman" w:cs="Times New Roman"/>
                <w:sz w:val="24"/>
                <w:szCs w:val="24"/>
              </w:rPr>
              <w:t xml:space="preserve">9 – 19 </w:t>
            </w:r>
          </w:p>
        </w:tc>
      </w:tr>
      <w:tr w:rsidR="0030725B" w14:paraId="53D58CF3" w14:textId="77777777" w:rsidTr="00A60F04">
        <w:trPr>
          <w:jc w:val="center"/>
        </w:trPr>
        <w:tc>
          <w:tcPr>
            <w:tcW w:w="2263" w:type="dxa"/>
          </w:tcPr>
          <w:p w14:paraId="4BDB550F" w14:textId="034664CE" w:rsidR="0030725B" w:rsidRDefault="005E0592" w:rsidP="00A60F04">
            <w:pPr>
              <w:jc w:val="both"/>
              <w:rPr>
                <w:rFonts w:ascii="Times New Roman" w:hAnsi="Times New Roman" w:cs="Times New Roman"/>
                <w:sz w:val="24"/>
                <w:szCs w:val="24"/>
              </w:rPr>
            </w:pPr>
            <w:proofErr w:type="spellStart"/>
            <w:r>
              <w:rPr>
                <w:rFonts w:ascii="Times New Roman" w:hAnsi="Times New Roman" w:cs="Times New Roman"/>
                <w:sz w:val="24"/>
                <w:szCs w:val="24"/>
              </w:rPr>
              <w:t>Graselli</w:t>
            </w:r>
            <w:proofErr w:type="spellEnd"/>
            <w:r>
              <w:rPr>
                <w:rFonts w:ascii="Times New Roman" w:hAnsi="Times New Roman" w:cs="Times New Roman"/>
                <w:sz w:val="24"/>
                <w:szCs w:val="24"/>
              </w:rPr>
              <w:t xml:space="preserve"> et al. (2021)</w:t>
            </w:r>
          </w:p>
        </w:tc>
        <w:tc>
          <w:tcPr>
            <w:tcW w:w="1843" w:type="dxa"/>
          </w:tcPr>
          <w:p w14:paraId="385AF42F" w14:textId="74F664AA" w:rsidR="0030725B" w:rsidRPr="00CE617C" w:rsidRDefault="005E0592"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w:t>
            </w:r>
          </w:p>
        </w:tc>
        <w:tc>
          <w:tcPr>
            <w:tcW w:w="2193" w:type="dxa"/>
          </w:tcPr>
          <w:p w14:paraId="1456750F" w14:textId="7D3683F0" w:rsidR="0030725B" w:rsidRPr="00CE617C" w:rsidRDefault="005E0592" w:rsidP="00A60F04">
            <w:pPr>
              <w:jc w:val="both"/>
              <w:rPr>
                <w:rFonts w:ascii="Times New Roman" w:hAnsi="Times New Roman" w:cs="Times New Roman"/>
                <w:sz w:val="24"/>
                <w:szCs w:val="24"/>
              </w:rPr>
            </w:pPr>
            <w:r>
              <w:rPr>
                <w:rFonts w:ascii="Times New Roman" w:hAnsi="Times New Roman" w:cs="Times New Roman"/>
                <w:sz w:val="24"/>
                <w:szCs w:val="24"/>
              </w:rPr>
              <w:t xml:space="preserve">6 – 13 </w:t>
            </w:r>
          </w:p>
        </w:tc>
      </w:tr>
      <w:tr w:rsidR="005E0592" w14:paraId="45354B6E" w14:textId="77777777" w:rsidTr="00A60F04">
        <w:trPr>
          <w:jc w:val="center"/>
        </w:trPr>
        <w:tc>
          <w:tcPr>
            <w:tcW w:w="2263" w:type="dxa"/>
          </w:tcPr>
          <w:p w14:paraId="428D3193" w14:textId="54E0AAA2" w:rsidR="005E0592" w:rsidRDefault="005E0592" w:rsidP="005E0592">
            <w:pPr>
              <w:jc w:val="both"/>
              <w:rPr>
                <w:rFonts w:ascii="Times New Roman" w:hAnsi="Times New Roman" w:cs="Times New Roman"/>
                <w:sz w:val="24"/>
                <w:szCs w:val="24"/>
              </w:rPr>
            </w:pPr>
            <w:proofErr w:type="spellStart"/>
            <w:r w:rsidRPr="005E0592">
              <w:rPr>
                <w:rFonts w:ascii="Times New Roman" w:hAnsi="Times New Roman" w:cs="Times New Roman"/>
                <w:sz w:val="24"/>
                <w:szCs w:val="24"/>
              </w:rPr>
              <w:t>Anesi</w:t>
            </w:r>
            <w:proofErr w:type="spellEnd"/>
            <w:r w:rsidRPr="005E0592">
              <w:rPr>
                <w:rFonts w:ascii="Times New Roman" w:hAnsi="Times New Roman" w:cs="Times New Roman"/>
                <w:sz w:val="24"/>
                <w:szCs w:val="24"/>
              </w:rPr>
              <w:t xml:space="preserve"> et al. (2021)</w:t>
            </w:r>
          </w:p>
        </w:tc>
        <w:tc>
          <w:tcPr>
            <w:tcW w:w="1843" w:type="dxa"/>
          </w:tcPr>
          <w:p w14:paraId="3DB3B270" w14:textId="1396DF03" w:rsidR="005E0592" w:rsidRPr="00CE617C" w:rsidRDefault="005E0592"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p>
        </w:tc>
        <w:tc>
          <w:tcPr>
            <w:tcW w:w="2193" w:type="dxa"/>
          </w:tcPr>
          <w:p w14:paraId="31D14AF4" w14:textId="5F139D26" w:rsidR="005E0592" w:rsidRPr="00CE617C" w:rsidRDefault="005E0592" w:rsidP="005E0592">
            <w:pPr>
              <w:jc w:val="both"/>
              <w:rPr>
                <w:rFonts w:ascii="Times New Roman" w:hAnsi="Times New Roman" w:cs="Times New Roman"/>
                <w:sz w:val="24"/>
                <w:szCs w:val="24"/>
              </w:rPr>
            </w:pPr>
            <w:r>
              <w:rPr>
                <w:rFonts w:ascii="Times New Roman" w:hAnsi="Times New Roman" w:cs="Times New Roman"/>
                <w:sz w:val="24"/>
                <w:szCs w:val="24"/>
              </w:rPr>
              <w:t xml:space="preserve">3 – 17 </w:t>
            </w:r>
          </w:p>
        </w:tc>
      </w:tr>
      <w:tr w:rsidR="005E0592" w14:paraId="0AB1751A" w14:textId="77777777" w:rsidTr="00A60F04">
        <w:trPr>
          <w:jc w:val="center"/>
        </w:trPr>
        <w:tc>
          <w:tcPr>
            <w:tcW w:w="2263" w:type="dxa"/>
          </w:tcPr>
          <w:p w14:paraId="289B9E2B" w14:textId="36973556" w:rsidR="005E0592" w:rsidRDefault="00B42152" w:rsidP="00B42152">
            <w:pPr>
              <w:jc w:val="both"/>
              <w:rPr>
                <w:rFonts w:ascii="Times New Roman" w:hAnsi="Times New Roman" w:cs="Times New Roman"/>
                <w:sz w:val="24"/>
                <w:szCs w:val="24"/>
              </w:rPr>
            </w:pPr>
            <w:proofErr w:type="spellStart"/>
            <w:r>
              <w:rPr>
                <w:rFonts w:ascii="Times New Roman" w:hAnsi="Times New Roman" w:cs="Times New Roman"/>
                <w:sz w:val="24"/>
                <w:szCs w:val="24"/>
              </w:rPr>
              <w:t>Kukoc</w:t>
            </w:r>
            <w:proofErr w:type="spellEnd"/>
            <w:r>
              <w:rPr>
                <w:rFonts w:ascii="Times New Roman" w:hAnsi="Times New Roman" w:cs="Times New Roman"/>
                <w:sz w:val="24"/>
                <w:szCs w:val="24"/>
              </w:rPr>
              <w:t xml:space="preserve"> et al. (2022)</w:t>
            </w:r>
          </w:p>
        </w:tc>
        <w:tc>
          <w:tcPr>
            <w:tcW w:w="1843" w:type="dxa"/>
          </w:tcPr>
          <w:p w14:paraId="750F9DFA" w14:textId="218BC421" w:rsidR="005E0592" w:rsidRPr="00CE617C" w:rsidRDefault="00B42152"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w:t>
            </w:r>
          </w:p>
        </w:tc>
        <w:tc>
          <w:tcPr>
            <w:tcW w:w="2193" w:type="dxa"/>
          </w:tcPr>
          <w:p w14:paraId="732C6F29" w14:textId="46258AFA" w:rsidR="005E0592" w:rsidRPr="00CE617C" w:rsidRDefault="00B42152" w:rsidP="005E0592">
            <w:pPr>
              <w:jc w:val="both"/>
              <w:rPr>
                <w:rFonts w:ascii="Times New Roman" w:hAnsi="Times New Roman" w:cs="Times New Roman"/>
                <w:sz w:val="24"/>
                <w:szCs w:val="24"/>
              </w:rPr>
            </w:pPr>
            <w:r>
              <w:rPr>
                <w:rFonts w:ascii="Times New Roman" w:hAnsi="Times New Roman" w:cs="Times New Roman"/>
                <w:sz w:val="24"/>
                <w:szCs w:val="24"/>
              </w:rPr>
              <w:t>4 - 14</w:t>
            </w:r>
          </w:p>
        </w:tc>
      </w:tr>
      <w:tr w:rsidR="005E7571" w14:paraId="3C3D95C2" w14:textId="77777777" w:rsidTr="00A60F04">
        <w:trPr>
          <w:jc w:val="center"/>
        </w:trPr>
        <w:tc>
          <w:tcPr>
            <w:tcW w:w="2263" w:type="dxa"/>
          </w:tcPr>
          <w:p w14:paraId="5711AEA7" w14:textId="1C56E345" w:rsidR="005E7571" w:rsidRDefault="005E7571" w:rsidP="00B42152">
            <w:pPr>
              <w:jc w:val="both"/>
              <w:rPr>
                <w:rFonts w:ascii="Times New Roman" w:hAnsi="Times New Roman" w:cs="Times New Roman"/>
                <w:sz w:val="24"/>
                <w:szCs w:val="24"/>
              </w:rPr>
            </w:pPr>
            <w:r>
              <w:rPr>
                <w:rFonts w:ascii="Times New Roman" w:hAnsi="Times New Roman" w:cs="Times New Roman"/>
                <w:sz w:val="24"/>
                <w:szCs w:val="24"/>
              </w:rPr>
              <w:t>Schmidt et al. (2021)</w:t>
            </w:r>
          </w:p>
        </w:tc>
        <w:tc>
          <w:tcPr>
            <w:tcW w:w="1843" w:type="dxa"/>
          </w:tcPr>
          <w:p w14:paraId="5C66341A" w14:textId="257E7D0C" w:rsidR="005E7571" w:rsidRDefault="005E7571"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w:t>
            </w:r>
          </w:p>
        </w:tc>
        <w:tc>
          <w:tcPr>
            <w:tcW w:w="2193" w:type="dxa"/>
          </w:tcPr>
          <w:p w14:paraId="57E9B7D0" w14:textId="23A058DF" w:rsidR="005E7571" w:rsidRDefault="005E7571" w:rsidP="005E0592">
            <w:pPr>
              <w:jc w:val="both"/>
              <w:rPr>
                <w:rFonts w:ascii="Times New Roman" w:hAnsi="Times New Roman" w:cs="Times New Roman"/>
                <w:sz w:val="24"/>
                <w:szCs w:val="24"/>
              </w:rPr>
            </w:pPr>
            <w:r>
              <w:rPr>
                <w:rFonts w:ascii="Times New Roman" w:hAnsi="Times New Roman" w:cs="Times New Roman"/>
                <w:sz w:val="24"/>
                <w:szCs w:val="24"/>
              </w:rPr>
              <w:t xml:space="preserve">12 – 39 </w:t>
            </w:r>
          </w:p>
        </w:tc>
      </w:tr>
      <w:tr w:rsidR="005E7571" w14:paraId="088F01F1" w14:textId="77777777" w:rsidTr="00A60F04">
        <w:trPr>
          <w:jc w:val="center"/>
        </w:trPr>
        <w:tc>
          <w:tcPr>
            <w:tcW w:w="2263" w:type="dxa"/>
          </w:tcPr>
          <w:p w14:paraId="56A357F3" w14:textId="1FD87240" w:rsidR="005E7571" w:rsidRDefault="00D45A8B" w:rsidP="00B42152">
            <w:pPr>
              <w:jc w:val="both"/>
              <w:rPr>
                <w:rFonts w:ascii="Times New Roman" w:hAnsi="Times New Roman" w:cs="Times New Roman"/>
                <w:sz w:val="24"/>
                <w:szCs w:val="24"/>
              </w:rPr>
            </w:pPr>
            <w:proofErr w:type="spellStart"/>
            <w:r>
              <w:rPr>
                <w:rFonts w:ascii="Times New Roman" w:hAnsi="Times New Roman" w:cs="Times New Roman"/>
                <w:sz w:val="24"/>
                <w:szCs w:val="24"/>
              </w:rPr>
              <w:t>Seid</w:t>
            </w:r>
            <w:proofErr w:type="spellEnd"/>
            <w:r>
              <w:rPr>
                <w:rFonts w:ascii="Times New Roman" w:hAnsi="Times New Roman" w:cs="Times New Roman"/>
                <w:sz w:val="24"/>
                <w:szCs w:val="24"/>
              </w:rPr>
              <w:t xml:space="preserve"> et al. (2022)</w:t>
            </w:r>
          </w:p>
        </w:tc>
        <w:tc>
          <w:tcPr>
            <w:tcW w:w="1843" w:type="dxa"/>
          </w:tcPr>
          <w:p w14:paraId="5371F4B2" w14:textId="207525E9" w:rsidR="005E7571" w:rsidRDefault="00D45A8B"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14</w:t>
            </w:r>
          </w:p>
        </w:tc>
        <w:tc>
          <w:tcPr>
            <w:tcW w:w="2193" w:type="dxa"/>
          </w:tcPr>
          <w:p w14:paraId="55C52E53" w14:textId="692E395F" w:rsidR="005E7571" w:rsidRDefault="00D45A8B" w:rsidP="005E0592">
            <w:pPr>
              <w:jc w:val="both"/>
              <w:rPr>
                <w:rFonts w:ascii="Times New Roman" w:hAnsi="Times New Roman" w:cs="Times New Roman"/>
                <w:sz w:val="24"/>
                <w:szCs w:val="24"/>
              </w:rPr>
            </w:pPr>
            <w:r>
              <w:rPr>
                <w:rFonts w:ascii="Times New Roman" w:hAnsi="Times New Roman" w:cs="Times New Roman"/>
                <w:sz w:val="24"/>
                <w:szCs w:val="24"/>
              </w:rPr>
              <w:t xml:space="preserve">8 – 20 </w:t>
            </w:r>
          </w:p>
        </w:tc>
      </w:tr>
      <w:tr w:rsidR="00D45A8B" w14:paraId="397702E9" w14:textId="77777777" w:rsidTr="00A60F04">
        <w:trPr>
          <w:jc w:val="center"/>
        </w:trPr>
        <w:tc>
          <w:tcPr>
            <w:tcW w:w="2263" w:type="dxa"/>
          </w:tcPr>
          <w:p w14:paraId="4B130FFB" w14:textId="5AFA09DA" w:rsidR="00D45A8B" w:rsidRDefault="00D45A8B" w:rsidP="00B42152">
            <w:pPr>
              <w:jc w:val="both"/>
              <w:rPr>
                <w:rFonts w:ascii="Times New Roman" w:hAnsi="Times New Roman" w:cs="Times New Roman"/>
                <w:sz w:val="24"/>
                <w:szCs w:val="24"/>
              </w:rPr>
            </w:pPr>
            <w:proofErr w:type="spellStart"/>
            <w:r>
              <w:t>Schallner</w:t>
            </w:r>
            <w:proofErr w:type="spellEnd"/>
            <w:r>
              <w:t xml:space="preserve"> et al. (2022)</w:t>
            </w:r>
          </w:p>
        </w:tc>
        <w:tc>
          <w:tcPr>
            <w:tcW w:w="1843" w:type="dxa"/>
          </w:tcPr>
          <w:p w14:paraId="3558E501" w14:textId="7AE10637" w:rsidR="00D45A8B" w:rsidRDefault="00D45A8B"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w:t>
            </w:r>
          </w:p>
        </w:tc>
        <w:tc>
          <w:tcPr>
            <w:tcW w:w="2193" w:type="dxa"/>
          </w:tcPr>
          <w:p w14:paraId="2E562285" w14:textId="523BDCF9" w:rsidR="00D45A8B" w:rsidRDefault="00D45A8B" w:rsidP="005E0592">
            <w:pPr>
              <w:jc w:val="both"/>
              <w:rPr>
                <w:rFonts w:ascii="Times New Roman" w:hAnsi="Times New Roman" w:cs="Times New Roman"/>
                <w:sz w:val="24"/>
                <w:szCs w:val="24"/>
              </w:rPr>
            </w:pPr>
            <w:r>
              <w:rPr>
                <w:rFonts w:ascii="Times New Roman" w:hAnsi="Times New Roman" w:cs="Times New Roman"/>
                <w:sz w:val="24"/>
                <w:szCs w:val="24"/>
              </w:rPr>
              <w:t xml:space="preserve">12 – 34 </w:t>
            </w:r>
          </w:p>
        </w:tc>
      </w:tr>
      <w:tr w:rsidR="00D45A8B" w14:paraId="5E0265DE" w14:textId="77777777" w:rsidTr="00A60F04">
        <w:trPr>
          <w:jc w:val="center"/>
        </w:trPr>
        <w:tc>
          <w:tcPr>
            <w:tcW w:w="2263" w:type="dxa"/>
          </w:tcPr>
          <w:p w14:paraId="0FF81EF6" w14:textId="0BA552A9" w:rsidR="00D45A8B" w:rsidRDefault="00D45A8B" w:rsidP="00B42152">
            <w:pPr>
              <w:jc w:val="both"/>
            </w:pPr>
            <w:proofErr w:type="spellStart"/>
            <w:r>
              <w:t>Lapidus</w:t>
            </w:r>
            <w:proofErr w:type="spellEnd"/>
            <w:r>
              <w:t xml:space="preserve"> et al. (2020)</w:t>
            </w:r>
          </w:p>
        </w:tc>
        <w:tc>
          <w:tcPr>
            <w:tcW w:w="1843" w:type="dxa"/>
          </w:tcPr>
          <w:p w14:paraId="3CC887B4" w14:textId="42E466D5" w:rsidR="00D45A8B" w:rsidRDefault="00D51D4C" w:rsidP="005E05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w:t>
            </w:r>
          </w:p>
        </w:tc>
        <w:tc>
          <w:tcPr>
            <w:tcW w:w="2193" w:type="dxa"/>
          </w:tcPr>
          <w:p w14:paraId="740AD10A" w14:textId="4F1DEF90" w:rsidR="00D45A8B" w:rsidRDefault="00D51D4C" w:rsidP="005E0592">
            <w:pPr>
              <w:jc w:val="both"/>
              <w:rPr>
                <w:rFonts w:ascii="Times New Roman" w:hAnsi="Times New Roman" w:cs="Times New Roman"/>
                <w:sz w:val="24"/>
                <w:szCs w:val="24"/>
              </w:rPr>
            </w:pPr>
            <w:r>
              <w:rPr>
                <w:rFonts w:ascii="Times New Roman" w:hAnsi="Times New Roman" w:cs="Times New Roman"/>
                <w:sz w:val="24"/>
                <w:szCs w:val="24"/>
              </w:rPr>
              <w:t>Estimador KM</w:t>
            </w:r>
          </w:p>
        </w:tc>
      </w:tr>
      <w:tr w:rsidR="00D51D4C" w14:paraId="0C510AF8" w14:textId="77777777" w:rsidTr="00A60F04">
        <w:trPr>
          <w:jc w:val="center"/>
        </w:trPr>
        <w:tc>
          <w:tcPr>
            <w:tcW w:w="2263" w:type="dxa"/>
          </w:tcPr>
          <w:p w14:paraId="7D06A872" w14:textId="1C1E723C" w:rsidR="00D51D4C" w:rsidRDefault="00D51D4C" w:rsidP="00B42152">
            <w:pPr>
              <w:jc w:val="both"/>
            </w:pPr>
            <w:proofErr w:type="spellStart"/>
            <w:r>
              <w:rPr>
                <w:rFonts w:ascii="Times New Roman" w:hAnsi="Times New Roman" w:cs="Times New Roman"/>
                <w:sz w:val="24"/>
                <w:szCs w:val="24"/>
              </w:rPr>
              <w:t>Sun</w:t>
            </w:r>
            <w:proofErr w:type="spellEnd"/>
            <w:r>
              <w:rPr>
                <w:rFonts w:ascii="Times New Roman" w:hAnsi="Times New Roman" w:cs="Times New Roman"/>
                <w:sz w:val="24"/>
                <w:szCs w:val="24"/>
              </w:rPr>
              <w:t xml:space="preserve"> et al. (2022)</w:t>
            </w:r>
          </w:p>
        </w:tc>
        <w:tc>
          <w:tcPr>
            <w:tcW w:w="1843" w:type="dxa"/>
          </w:tcPr>
          <w:p w14:paraId="03791740" w14:textId="77777777" w:rsidR="00D51D4C" w:rsidRDefault="00D51D4C" w:rsidP="005E0592">
            <w:pPr>
              <w:jc w:val="both"/>
              <w:rPr>
                <w:rFonts w:ascii="Times New Roman" w:hAnsi="Times New Roman" w:cs="Times New Roman"/>
                <w:sz w:val="24"/>
                <w:szCs w:val="24"/>
                <w:shd w:val="clear" w:color="auto" w:fill="FFFFFF"/>
              </w:rPr>
            </w:pPr>
          </w:p>
        </w:tc>
        <w:tc>
          <w:tcPr>
            <w:tcW w:w="2193" w:type="dxa"/>
          </w:tcPr>
          <w:p w14:paraId="577DB336" w14:textId="77777777" w:rsidR="00D51D4C" w:rsidRDefault="00D51D4C" w:rsidP="005E0592">
            <w:pPr>
              <w:jc w:val="both"/>
              <w:rPr>
                <w:rFonts w:ascii="Times New Roman" w:hAnsi="Times New Roman" w:cs="Times New Roman"/>
                <w:sz w:val="24"/>
                <w:szCs w:val="24"/>
              </w:rPr>
            </w:pPr>
          </w:p>
        </w:tc>
      </w:tr>
    </w:tbl>
    <w:p w14:paraId="265993CB" w14:textId="77777777" w:rsidR="00E7019A" w:rsidRDefault="00E7019A" w:rsidP="00223BCA">
      <w:pPr>
        <w:jc w:val="both"/>
        <w:rPr>
          <w:rFonts w:ascii="Times New Roman" w:hAnsi="Times New Roman" w:cs="Times New Roman"/>
          <w:b/>
          <w:bCs/>
          <w:sz w:val="24"/>
          <w:szCs w:val="24"/>
        </w:rPr>
      </w:pPr>
    </w:p>
    <w:tbl>
      <w:tblPr>
        <w:tblStyle w:val="Tablaconcuadrcula"/>
        <w:tblW w:w="0" w:type="auto"/>
        <w:jc w:val="center"/>
        <w:tblLook w:val="04A0" w:firstRow="1" w:lastRow="0" w:firstColumn="1" w:lastColumn="0" w:noHBand="0" w:noVBand="1"/>
      </w:tblPr>
      <w:tblGrid>
        <w:gridCol w:w="2263"/>
        <w:gridCol w:w="1843"/>
        <w:gridCol w:w="2193"/>
      </w:tblGrid>
      <w:tr w:rsidR="005B596C" w14:paraId="0A06F0D8" w14:textId="77777777" w:rsidTr="00A60F04">
        <w:trPr>
          <w:jc w:val="center"/>
        </w:trPr>
        <w:tc>
          <w:tcPr>
            <w:tcW w:w="2263" w:type="dxa"/>
          </w:tcPr>
          <w:p w14:paraId="3A7D2F5F" w14:textId="77777777" w:rsidR="005B596C" w:rsidRPr="005E4071" w:rsidRDefault="005B596C" w:rsidP="00A60F04">
            <w:pPr>
              <w:rPr>
                <w:rFonts w:ascii="Times New Roman" w:hAnsi="Times New Roman" w:cs="Times New Roman"/>
                <w:b/>
                <w:bCs/>
                <w:sz w:val="24"/>
                <w:szCs w:val="24"/>
              </w:rPr>
            </w:pPr>
            <w:r>
              <w:rPr>
                <w:rFonts w:ascii="Times New Roman" w:hAnsi="Times New Roman" w:cs="Times New Roman"/>
                <w:b/>
                <w:bCs/>
                <w:sz w:val="24"/>
                <w:szCs w:val="24"/>
              </w:rPr>
              <w:t xml:space="preserve">ICU </w:t>
            </w:r>
            <w:proofErr w:type="spellStart"/>
            <w:r>
              <w:rPr>
                <w:rFonts w:ascii="Times New Roman" w:hAnsi="Times New Roman" w:cs="Times New Roman"/>
                <w:b/>
                <w:bCs/>
                <w:sz w:val="24"/>
                <w:szCs w:val="24"/>
              </w:rPr>
              <w:t>length</w:t>
            </w:r>
            <w:proofErr w:type="spellEnd"/>
          </w:p>
        </w:tc>
        <w:tc>
          <w:tcPr>
            <w:tcW w:w="1843" w:type="dxa"/>
          </w:tcPr>
          <w:p w14:paraId="6F8F1B7D" w14:textId="77777777" w:rsidR="005B596C" w:rsidRPr="005E4071" w:rsidRDefault="005B596C" w:rsidP="00A60F04">
            <w:pPr>
              <w:rPr>
                <w:rFonts w:ascii="Times New Roman" w:hAnsi="Times New Roman" w:cs="Times New Roman"/>
                <w:b/>
                <w:bCs/>
                <w:sz w:val="24"/>
                <w:szCs w:val="24"/>
              </w:rPr>
            </w:pPr>
            <w:r w:rsidRPr="005E4071">
              <w:rPr>
                <w:rFonts w:ascii="Times New Roman" w:hAnsi="Times New Roman" w:cs="Times New Roman"/>
                <w:b/>
                <w:bCs/>
                <w:sz w:val="24"/>
                <w:szCs w:val="24"/>
              </w:rPr>
              <w:t>Mediana</w:t>
            </w:r>
          </w:p>
        </w:tc>
        <w:tc>
          <w:tcPr>
            <w:tcW w:w="2193" w:type="dxa"/>
          </w:tcPr>
          <w:p w14:paraId="601E6B4A" w14:textId="77777777" w:rsidR="005B596C" w:rsidRPr="005E4071" w:rsidRDefault="005B596C" w:rsidP="00A60F04">
            <w:pPr>
              <w:rPr>
                <w:rFonts w:ascii="Times New Roman" w:hAnsi="Times New Roman" w:cs="Times New Roman"/>
                <w:b/>
                <w:bCs/>
                <w:sz w:val="24"/>
                <w:szCs w:val="24"/>
              </w:rPr>
            </w:pPr>
            <w:r w:rsidRPr="005E4071">
              <w:rPr>
                <w:rFonts w:ascii="Times New Roman" w:hAnsi="Times New Roman" w:cs="Times New Roman"/>
                <w:b/>
                <w:bCs/>
                <w:sz w:val="24"/>
                <w:szCs w:val="24"/>
              </w:rPr>
              <w:t>IQR</w:t>
            </w:r>
          </w:p>
        </w:tc>
      </w:tr>
      <w:tr w:rsidR="005B596C" w14:paraId="5E4AAF98" w14:textId="77777777" w:rsidTr="00A60F04">
        <w:trPr>
          <w:jc w:val="center"/>
        </w:trPr>
        <w:tc>
          <w:tcPr>
            <w:tcW w:w="2263" w:type="dxa"/>
          </w:tcPr>
          <w:p w14:paraId="6EFB8887" w14:textId="4808C3F6" w:rsidR="005B596C" w:rsidRDefault="005B596C" w:rsidP="00A60F04">
            <w:pPr>
              <w:jc w:val="both"/>
              <w:rPr>
                <w:rFonts w:ascii="Times New Roman" w:hAnsi="Times New Roman" w:cs="Times New Roman"/>
                <w:sz w:val="24"/>
                <w:szCs w:val="24"/>
              </w:rPr>
            </w:pPr>
            <w:r>
              <w:rPr>
                <w:rFonts w:ascii="Times New Roman" w:hAnsi="Times New Roman" w:cs="Times New Roman"/>
                <w:sz w:val="24"/>
                <w:szCs w:val="24"/>
              </w:rPr>
              <w:t>Diaz et al. (2021)</w:t>
            </w:r>
          </w:p>
        </w:tc>
        <w:tc>
          <w:tcPr>
            <w:tcW w:w="1843" w:type="dxa"/>
          </w:tcPr>
          <w:p w14:paraId="42B191F0" w14:textId="590216C7" w:rsidR="005B596C" w:rsidRPr="00CE617C" w:rsidRDefault="005B596C" w:rsidP="00A60F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Mean: 15.42</w:t>
            </w:r>
          </w:p>
        </w:tc>
        <w:tc>
          <w:tcPr>
            <w:tcW w:w="2193" w:type="dxa"/>
          </w:tcPr>
          <w:p w14:paraId="3138776F" w14:textId="77777777" w:rsidR="005B596C" w:rsidRPr="00CE617C" w:rsidRDefault="005B596C" w:rsidP="00A60F04">
            <w:pPr>
              <w:jc w:val="both"/>
              <w:rPr>
                <w:rFonts w:ascii="Times New Roman" w:hAnsi="Times New Roman" w:cs="Times New Roman"/>
                <w:sz w:val="24"/>
                <w:szCs w:val="24"/>
              </w:rPr>
            </w:pPr>
          </w:p>
        </w:tc>
      </w:tr>
      <w:tr w:rsidR="005B596C" w14:paraId="77D0C5B7" w14:textId="77777777" w:rsidTr="00A60F04">
        <w:trPr>
          <w:jc w:val="center"/>
        </w:trPr>
        <w:tc>
          <w:tcPr>
            <w:tcW w:w="2263" w:type="dxa"/>
          </w:tcPr>
          <w:p w14:paraId="723F44FD" w14:textId="0552BDFA" w:rsidR="005B596C" w:rsidRDefault="005B596C" w:rsidP="00A60F04">
            <w:pPr>
              <w:jc w:val="both"/>
              <w:rPr>
                <w:rFonts w:ascii="Times New Roman" w:hAnsi="Times New Roman" w:cs="Times New Roman"/>
                <w:sz w:val="24"/>
                <w:szCs w:val="24"/>
              </w:rPr>
            </w:pPr>
          </w:p>
        </w:tc>
        <w:tc>
          <w:tcPr>
            <w:tcW w:w="1843" w:type="dxa"/>
          </w:tcPr>
          <w:p w14:paraId="004697E6" w14:textId="77777777" w:rsidR="005B596C" w:rsidRPr="00CE617C" w:rsidRDefault="005B596C" w:rsidP="00A60F04">
            <w:pPr>
              <w:jc w:val="both"/>
              <w:rPr>
                <w:rFonts w:ascii="Times New Roman" w:hAnsi="Times New Roman" w:cs="Times New Roman"/>
                <w:sz w:val="24"/>
                <w:szCs w:val="24"/>
                <w:shd w:val="clear" w:color="auto" w:fill="FFFFFF"/>
              </w:rPr>
            </w:pPr>
          </w:p>
        </w:tc>
        <w:tc>
          <w:tcPr>
            <w:tcW w:w="2193" w:type="dxa"/>
          </w:tcPr>
          <w:p w14:paraId="2F3DFAF1" w14:textId="77777777" w:rsidR="005B596C" w:rsidRPr="00CE617C" w:rsidRDefault="005B596C" w:rsidP="00A60F04">
            <w:pPr>
              <w:jc w:val="both"/>
              <w:rPr>
                <w:rFonts w:ascii="Times New Roman" w:hAnsi="Times New Roman" w:cs="Times New Roman"/>
                <w:sz w:val="24"/>
                <w:szCs w:val="24"/>
              </w:rPr>
            </w:pPr>
          </w:p>
        </w:tc>
      </w:tr>
      <w:tr w:rsidR="005B596C" w14:paraId="54094D14" w14:textId="77777777" w:rsidTr="00A60F04">
        <w:trPr>
          <w:jc w:val="center"/>
        </w:trPr>
        <w:tc>
          <w:tcPr>
            <w:tcW w:w="2263" w:type="dxa"/>
          </w:tcPr>
          <w:p w14:paraId="1F3E07BA" w14:textId="77777777" w:rsidR="005B596C" w:rsidRDefault="005B596C" w:rsidP="00A60F04">
            <w:pPr>
              <w:jc w:val="both"/>
              <w:rPr>
                <w:rFonts w:ascii="Times New Roman" w:hAnsi="Times New Roman" w:cs="Times New Roman"/>
                <w:sz w:val="24"/>
                <w:szCs w:val="24"/>
              </w:rPr>
            </w:pPr>
          </w:p>
        </w:tc>
        <w:tc>
          <w:tcPr>
            <w:tcW w:w="1843" w:type="dxa"/>
          </w:tcPr>
          <w:p w14:paraId="29BB22FE" w14:textId="77777777" w:rsidR="005B596C" w:rsidRPr="00CE617C" w:rsidRDefault="005B596C" w:rsidP="00A60F04">
            <w:pPr>
              <w:jc w:val="both"/>
              <w:rPr>
                <w:rFonts w:ascii="Times New Roman" w:hAnsi="Times New Roman" w:cs="Times New Roman"/>
                <w:sz w:val="24"/>
                <w:szCs w:val="24"/>
                <w:shd w:val="clear" w:color="auto" w:fill="FFFFFF"/>
              </w:rPr>
            </w:pPr>
          </w:p>
        </w:tc>
        <w:tc>
          <w:tcPr>
            <w:tcW w:w="2193" w:type="dxa"/>
          </w:tcPr>
          <w:p w14:paraId="0B3A3B80" w14:textId="77777777" w:rsidR="005B596C" w:rsidRPr="00CE617C" w:rsidRDefault="005B596C" w:rsidP="00A60F04">
            <w:pPr>
              <w:jc w:val="both"/>
              <w:rPr>
                <w:rFonts w:ascii="Times New Roman" w:hAnsi="Times New Roman" w:cs="Times New Roman"/>
                <w:sz w:val="24"/>
                <w:szCs w:val="24"/>
              </w:rPr>
            </w:pPr>
          </w:p>
        </w:tc>
      </w:tr>
      <w:tr w:rsidR="005B596C" w14:paraId="2F18419D" w14:textId="77777777" w:rsidTr="00A60F04">
        <w:trPr>
          <w:jc w:val="center"/>
        </w:trPr>
        <w:tc>
          <w:tcPr>
            <w:tcW w:w="2263" w:type="dxa"/>
          </w:tcPr>
          <w:p w14:paraId="03DEDF39" w14:textId="77777777" w:rsidR="005B596C" w:rsidRDefault="005B596C" w:rsidP="00A60F04">
            <w:pPr>
              <w:jc w:val="both"/>
              <w:rPr>
                <w:rFonts w:ascii="Times New Roman" w:hAnsi="Times New Roman" w:cs="Times New Roman"/>
                <w:sz w:val="24"/>
                <w:szCs w:val="24"/>
              </w:rPr>
            </w:pPr>
          </w:p>
        </w:tc>
        <w:tc>
          <w:tcPr>
            <w:tcW w:w="1843" w:type="dxa"/>
          </w:tcPr>
          <w:p w14:paraId="182630DA" w14:textId="77777777" w:rsidR="005B596C" w:rsidRPr="00CE617C" w:rsidRDefault="005B596C" w:rsidP="00A60F04">
            <w:pPr>
              <w:jc w:val="both"/>
              <w:rPr>
                <w:rFonts w:ascii="Times New Roman" w:hAnsi="Times New Roman" w:cs="Times New Roman"/>
                <w:sz w:val="24"/>
                <w:szCs w:val="24"/>
                <w:shd w:val="clear" w:color="auto" w:fill="FFFFFF"/>
              </w:rPr>
            </w:pPr>
          </w:p>
        </w:tc>
        <w:tc>
          <w:tcPr>
            <w:tcW w:w="2193" w:type="dxa"/>
          </w:tcPr>
          <w:p w14:paraId="0C2CD5F1" w14:textId="77777777" w:rsidR="005B596C" w:rsidRPr="00CE617C" w:rsidRDefault="005B596C" w:rsidP="00A60F04">
            <w:pPr>
              <w:jc w:val="both"/>
              <w:rPr>
                <w:rFonts w:ascii="Times New Roman" w:hAnsi="Times New Roman" w:cs="Times New Roman"/>
                <w:sz w:val="24"/>
                <w:szCs w:val="24"/>
              </w:rPr>
            </w:pPr>
          </w:p>
        </w:tc>
      </w:tr>
      <w:tr w:rsidR="005B596C" w14:paraId="1E44F42B" w14:textId="77777777" w:rsidTr="00A60F04">
        <w:trPr>
          <w:jc w:val="center"/>
        </w:trPr>
        <w:tc>
          <w:tcPr>
            <w:tcW w:w="2263" w:type="dxa"/>
          </w:tcPr>
          <w:p w14:paraId="5099ED50" w14:textId="77777777" w:rsidR="005B596C" w:rsidRDefault="005B596C" w:rsidP="00A60F04">
            <w:pPr>
              <w:jc w:val="both"/>
              <w:rPr>
                <w:rFonts w:ascii="Times New Roman" w:hAnsi="Times New Roman" w:cs="Times New Roman"/>
                <w:sz w:val="24"/>
                <w:szCs w:val="24"/>
              </w:rPr>
            </w:pPr>
          </w:p>
        </w:tc>
        <w:tc>
          <w:tcPr>
            <w:tcW w:w="1843" w:type="dxa"/>
          </w:tcPr>
          <w:p w14:paraId="3C3208A1" w14:textId="77777777" w:rsidR="005B596C" w:rsidRPr="00CE617C" w:rsidRDefault="005B596C" w:rsidP="00A60F04">
            <w:pPr>
              <w:jc w:val="both"/>
              <w:rPr>
                <w:rFonts w:ascii="Times New Roman" w:hAnsi="Times New Roman" w:cs="Times New Roman"/>
                <w:sz w:val="24"/>
                <w:szCs w:val="24"/>
                <w:shd w:val="clear" w:color="auto" w:fill="FFFFFF"/>
              </w:rPr>
            </w:pPr>
          </w:p>
        </w:tc>
        <w:tc>
          <w:tcPr>
            <w:tcW w:w="2193" w:type="dxa"/>
          </w:tcPr>
          <w:p w14:paraId="6681D7E9" w14:textId="77777777" w:rsidR="005B596C" w:rsidRPr="00CE617C" w:rsidRDefault="005B596C" w:rsidP="00A60F04">
            <w:pPr>
              <w:jc w:val="both"/>
              <w:rPr>
                <w:rFonts w:ascii="Times New Roman" w:hAnsi="Times New Roman" w:cs="Times New Roman"/>
                <w:sz w:val="24"/>
                <w:szCs w:val="24"/>
              </w:rPr>
            </w:pPr>
          </w:p>
        </w:tc>
      </w:tr>
    </w:tbl>
    <w:p w14:paraId="646CBC35" w14:textId="77777777" w:rsidR="005B596C" w:rsidRDefault="005B596C" w:rsidP="00223BCA">
      <w:pPr>
        <w:jc w:val="both"/>
        <w:rPr>
          <w:rFonts w:ascii="Times New Roman" w:hAnsi="Times New Roman" w:cs="Times New Roman"/>
          <w:b/>
          <w:bCs/>
          <w:sz w:val="24"/>
          <w:szCs w:val="24"/>
        </w:rPr>
      </w:pPr>
    </w:p>
    <w:p w14:paraId="5056D188" w14:textId="77777777" w:rsidR="00B42152" w:rsidRDefault="00B42152" w:rsidP="00223BCA">
      <w:pPr>
        <w:jc w:val="both"/>
        <w:rPr>
          <w:rFonts w:ascii="Times New Roman" w:hAnsi="Times New Roman" w:cs="Times New Roman"/>
          <w:b/>
          <w:bCs/>
          <w:sz w:val="24"/>
          <w:szCs w:val="24"/>
        </w:rPr>
      </w:pPr>
    </w:p>
    <w:p w14:paraId="019B1C77" w14:textId="77777777" w:rsidR="00B42152" w:rsidRDefault="00B42152" w:rsidP="00223BCA">
      <w:pPr>
        <w:jc w:val="both"/>
        <w:rPr>
          <w:rFonts w:ascii="Times New Roman" w:hAnsi="Times New Roman" w:cs="Times New Roman"/>
          <w:b/>
          <w:bCs/>
          <w:sz w:val="24"/>
          <w:szCs w:val="24"/>
        </w:rPr>
      </w:pPr>
    </w:p>
    <w:p w14:paraId="297F62EF" w14:textId="77777777" w:rsidR="00B42152" w:rsidRDefault="00B42152" w:rsidP="00223BCA">
      <w:pPr>
        <w:jc w:val="both"/>
        <w:rPr>
          <w:rFonts w:ascii="Times New Roman" w:hAnsi="Times New Roman" w:cs="Times New Roman"/>
          <w:b/>
          <w:bCs/>
          <w:sz w:val="24"/>
          <w:szCs w:val="24"/>
        </w:rPr>
      </w:pPr>
    </w:p>
    <w:p w14:paraId="61B0117D" w14:textId="77777777" w:rsidR="00D51D4C" w:rsidRDefault="00B42152" w:rsidP="00223BCA">
      <w:pPr>
        <w:jc w:val="both"/>
        <w:rPr>
          <w:rFonts w:ascii="Times New Roman" w:hAnsi="Times New Roman" w:cs="Times New Roman"/>
          <w:b/>
          <w:bCs/>
          <w:sz w:val="24"/>
          <w:szCs w:val="24"/>
        </w:rPr>
      </w:pPr>
      <w:r>
        <w:rPr>
          <w:rFonts w:ascii="Times New Roman" w:hAnsi="Times New Roman" w:cs="Times New Roman"/>
          <w:b/>
          <w:bCs/>
          <w:sz w:val="24"/>
          <w:szCs w:val="24"/>
        </w:rPr>
        <w:t>NOTA: SE CONCLUYE CON LOS PÁRRAFOS DE LIMITACIONES.</w:t>
      </w:r>
    </w:p>
    <w:p w14:paraId="06AB4994" w14:textId="77777777" w:rsidR="00D51D4C" w:rsidRDefault="00D51D4C" w:rsidP="00223BCA">
      <w:pPr>
        <w:jc w:val="both"/>
        <w:rPr>
          <w:rFonts w:ascii="Times New Roman" w:hAnsi="Times New Roman" w:cs="Times New Roman"/>
          <w:b/>
          <w:bCs/>
          <w:sz w:val="24"/>
          <w:szCs w:val="24"/>
        </w:rPr>
      </w:pPr>
    </w:p>
    <w:p w14:paraId="23C715E8" w14:textId="3F841894" w:rsidR="00D51D4C" w:rsidRPr="00765669" w:rsidRDefault="00D51D4C" w:rsidP="00223BCA">
      <w:pPr>
        <w:jc w:val="both"/>
        <w:rPr>
          <w:rFonts w:ascii="Times New Roman" w:hAnsi="Times New Roman" w:cs="Times New Roman"/>
          <w:b/>
          <w:bCs/>
          <w:sz w:val="24"/>
          <w:szCs w:val="24"/>
          <w:lang w:val="en-US"/>
        </w:rPr>
      </w:pPr>
      <w:r>
        <w:rPr>
          <w:rFonts w:ascii="Times New Roman" w:hAnsi="Times New Roman" w:cs="Times New Roman"/>
          <w:b/>
          <w:bCs/>
          <w:sz w:val="24"/>
          <w:szCs w:val="24"/>
        </w:rPr>
        <w:t>[1] La información es pública. Uno puede dudar de las fechas de registro.</w:t>
      </w:r>
      <w:r w:rsidR="00765669">
        <w:rPr>
          <w:rFonts w:ascii="Times New Roman" w:hAnsi="Times New Roman" w:cs="Times New Roman"/>
          <w:b/>
          <w:bCs/>
          <w:sz w:val="24"/>
          <w:szCs w:val="24"/>
        </w:rPr>
        <w:t xml:space="preserve"> </w:t>
      </w:r>
      <w:r w:rsidR="00765669" w:rsidRPr="00765669">
        <w:rPr>
          <w:rFonts w:ascii="Times New Roman" w:hAnsi="Times New Roman" w:cs="Times New Roman"/>
          <w:b/>
          <w:bCs/>
          <w:sz w:val="24"/>
          <w:szCs w:val="24"/>
          <w:lang w:val="en-US"/>
        </w:rPr>
        <w:t xml:space="preserve">The data derived from the </w:t>
      </w:r>
      <w:proofErr w:type="gramStart"/>
      <w:r w:rsidR="00765669" w:rsidRPr="00765669">
        <w:rPr>
          <w:rFonts w:ascii="Times New Roman" w:hAnsi="Times New Roman" w:cs="Times New Roman"/>
          <w:b/>
          <w:bCs/>
          <w:sz w:val="24"/>
          <w:szCs w:val="24"/>
          <w:lang w:val="en-US"/>
        </w:rPr>
        <w:t>INS</w:t>
      </w:r>
      <w:proofErr w:type="gramEnd"/>
      <w:r w:rsidR="00765669" w:rsidRPr="00765669">
        <w:rPr>
          <w:rFonts w:ascii="Times New Roman" w:hAnsi="Times New Roman" w:cs="Times New Roman"/>
          <w:b/>
          <w:bCs/>
          <w:sz w:val="24"/>
          <w:szCs w:val="24"/>
          <w:lang w:val="en-US"/>
        </w:rPr>
        <w:t xml:space="preserve"> based database is s</w:t>
      </w:r>
      <w:r w:rsidR="00765669">
        <w:rPr>
          <w:rFonts w:ascii="Times New Roman" w:hAnsi="Times New Roman" w:cs="Times New Roman"/>
          <w:b/>
          <w:bCs/>
          <w:sz w:val="24"/>
          <w:szCs w:val="24"/>
          <w:lang w:val="en-US"/>
        </w:rPr>
        <w:t>usceptible to errors in coding or data entry.</w:t>
      </w:r>
    </w:p>
    <w:p w14:paraId="7300C457" w14:textId="22FF5A81" w:rsidR="00B42152" w:rsidRDefault="00D51D4C" w:rsidP="00223BCA">
      <w:pPr>
        <w:jc w:val="both"/>
        <w:rPr>
          <w:rFonts w:ascii="Times New Roman" w:hAnsi="Times New Roman" w:cs="Times New Roman"/>
          <w:b/>
          <w:bCs/>
          <w:sz w:val="24"/>
          <w:szCs w:val="24"/>
        </w:rPr>
      </w:pPr>
      <w:r>
        <w:rPr>
          <w:rFonts w:ascii="Times New Roman" w:hAnsi="Times New Roman" w:cs="Times New Roman"/>
          <w:b/>
          <w:bCs/>
          <w:sz w:val="24"/>
          <w:szCs w:val="24"/>
        </w:rPr>
        <w:t>[2] Se deberían incluir otras covariables de interés. De nuevo, la información es limitada.</w:t>
      </w:r>
      <w:r w:rsidR="00B42152">
        <w:rPr>
          <w:rFonts w:ascii="Times New Roman" w:hAnsi="Times New Roman" w:cs="Times New Roman"/>
          <w:b/>
          <w:bCs/>
          <w:sz w:val="24"/>
          <w:szCs w:val="24"/>
        </w:rPr>
        <w:t xml:space="preserve"> </w:t>
      </w:r>
    </w:p>
    <w:p w14:paraId="102DB241" w14:textId="77777777" w:rsidR="00F655C0" w:rsidRDefault="00F655C0" w:rsidP="00223BCA">
      <w:pPr>
        <w:jc w:val="both"/>
        <w:rPr>
          <w:rFonts w:ascii="Times New Roman" w:hAnsi="Times New Roman" w:cs="Times New Roman"/>
          <w:b/>
          <w:bCs/>
          <w:sz w:val="24"/>
          <w:szCs w:val="24"/>
        </w:rPr>
      </w:pPr>
    </w:p>
    <w:p w14:paraId="36051DE4" w14:textId="77777777" w:rsidR="00F655C0" w:rsidRPr="00A01FD3" w:rsidRDefault="00F655C0" w:rsidP="00223BCA">
      <w:pPr>
        <w:jc w:val="both"/>
        <w:rPr>
          <w:rFonts w:ascii="Times New Roman" w:hAnsi="Times New Roman" w:cs="Times New Roman"/>
          <w:b/>
          <w:bCs/>
          <w:sz w:val="24"/>
          <w:szCs w:val="24"/>
          <w:lang w:val="es-CO"/>
        </w:rPr>
      </w:pPr>
    </w:p>
    <w:sectPr w:rsidR="00F655C0" w:rsidRPr="00A01F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FB0B" w14:textId="77777777" w:rsidR="00B372E5" w:rsidRDefault="00B372E5" w:rsidP="00F655C0">
      <w:pPr>
        <w:spacing w:after="0" w:line="240" w:lineRule="auto"/>
      </w:pPr>
      <w:r>
        <w:separator/>
      </w:r>
    </w:p>
  </w:endnote>
  <w:endnote w:type="continuationSeparator" w:id="0">
    <w:p w14:paraId="497B58A3" w14:textId="77777777" w:rsidR="00B372E5" w:rsidRDefault="00B372E5" w:rsidP="00F6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91A2" w14:textId="77777777" w:rsidR="00B372E5" w:rsidRDefault="00B372E5" w:rsidP="00F655C0">
      <w:pPr>
        <w:spacing w:after="0" w:line="240" w:lineRule="auto"/>
      </w:pPr>
      <w:r>
        <w:separator/>
      </w:r>
    </w:p>
  </w:footnote>
  <w:footnote w:type="continuationSeparator" w:id="0">
    <w:p w14:paraId="49A4ADAF" w14:textId="77777777" w:rsidR="00B372E5" w:rsidRDefault="00B372E5" w:rsidP="00F65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2BE5"/>
    <w:multiLevelType w:val="hybridMultilevel"/>
    <w:tmpl w:val="2064DCF2"/>
    <w:lvl w:ilvl="0" w:tplc="D66A4B30">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01E684F"/>
    <w:multiLevelType w:val="multilevel"/>
    <w:tmpl w:val="D83C18DC"/>
    <w:lvl w:ilvl="0">
      <w:start w:val="1"/>
      <w:numFmt w:val="decimal"/>
      <w:lvlText w:val="%1."/>
      <w:lvlJc w:val="left"/>
      <w:pPr>
        <w:ind w:left="360" w:hanging="360"/>
      </w:pPr>
    </w:lvl>
    <w:lvl w:ilvl="1">
      <w:start w:val="1"/>
      <w:numFmt w:val="decimal"/>
      <w:lvlText w:val="%1.%2."/>
      <w:lvlJc w:val="left"/>
      <w:pPr>
        <w:ind w:left="360" w:hanging="360"/>
      </w:pPr>
      <w:rPr>
        <w:color w:val="000000" w:themeColor="text1"/>
        <w14:textFill>
          <w14:solidFill>
            <w14:srgbClr w14:val="000000"/>
          </w14:solidFill>
        </w14:textFill>
      </w:rPr>
    </w:lvl>
    <w:lvl w:ilvl="2">
      <w:start w:val="1"/>
      <w:numFmt w:val="decimal"/>
      <w:lvlText w:val="%1.%2.%3."/>
      <w:lvlJc w:val="left"/>
      <w:pPr>
        <w:ind w:left="720" w:hanging="720"/>
      </w:pPr>
      <w:rPr>
        <w:b/>
        <w:bCs/>
        <w:color w:val="000000" w:themeColor="text1"/>
        <w14:textFill>
          <w14:solidFill>
            <w14:srgbClr w14:val="000000"/>
          </w14:solidFill>
        </w14:textFill>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61A7884"/>
    <w:multiLevelType w:val="hybridMultilevel"/>
    <w:tmpl w:val="6C3A8010"/>
    <w:lvl w:ilvl="0" w:tplc="D20CCE60">
      <w:start w:val="1"/>
      <w:numFmt w:val="decimal"/>
      <w:lvlText w:val="§%1."/>
      <w:lvlJc w:val="left"/>
      <w:pPr>
        <w:ind w:left="720" w:hanging="360"/>
      </w:pPr>
      <w:rPr>
        <w:b/>
        <w:bCs/>
        <w:i w:val="0"/>
        <w:i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740655E7"/>
    <w:multiLevelType w:val="hybridMultilevel"/>
    <w:tmpl w:val="EE829442"/>
    <w:lvl w:ilvl="0" w:tplc="0F72DE0C">
      <w:numFmt w:val="bullet"/>
      <w:lvlText w:val=""/>
      <w:lvlJc w:val="left"/>
      <w:pPr>
        <w:ind w:left="720" w:hanging="360"/>
      </w:pPr>
      <w:rPr>
        <w:rFonts w:ascii="Symbol" w:eastAsiaTheme="minorHAnsi" w:hAnsi="Symbol"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299483">
    <w:abstractNumId w:val="3"/>
  </w:num>
  <w:num w:numId="2" w16cid:durableId="1414626886">
    <w:abstractNumId w:val="0"/>
  </w:num>
  <w:num w:numId="3" w16cid:durableId="80951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8692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CA"/>
    <w:rsid w:val="00072EA0"/>
    <w:rsid w:val="001953AF"/>
    <w:rsid w:val="001F3C3C"/>
    <w:rsid w:val="00223BCA"/>
    <w:rsid w:val="002D3817"/>
    <w:rsid w:val="002D53B0"/>
    <w:rsid w:val="0030725B"/>
    <w:rsid w:val="003F0B19"/>
    <w:rsid w:val="0042492D"/>
    <w:rsid w:val="00485E66"/>
    <w:rsid w:val="00547F67"/>
    <w:rsid w:val="005B596C"/>
    <w:rsid w:val="005E0592"/>
    <w:rsid w:val="005E4071"/>
    <w:rsid w:val="005E7571"/>
    <w:rsid w:val="00765669"/>
    <w:rsid w:val="007E2E3D"/>
    <w:rsid w:val="00800963"/>
    <w:rsid w:val="0086757F"/>
    <w:rsid w:val="008A56C8"/>
    <w:rsid w:val="008D5E49"/>
    <w:rsid w:val="008E04E5"/>
    <w:rsid w:val="009D404E"/>
    <w:rsid w:val="009F2565"/>
    <w:rsid w:val="00A01FD3"/>
    <w:rsid w:val="00A159D1"/>
    <w:rsid w:val="00A80E0A"/>
    <w:rsid w:val="00AB3432"/>
    <w:rsid w:val="00AF7119"/>
    <w:rsid w:val="00B372E5"/>
    <w:rsid w:val="00B42152"/>
    <w:rsid w:val="00C73754"/>
    <w:rsid w:val="00CE617C"/>
    <w:rsid w:val="00D12199"/>
    <w:rsid w:val="00D45A8B"/>
    <w:rsid w:val="00D51D4C"/>
    <w:rsid w:val="00E7019A"/>
    <w:rsid w:val="00F3546F"/>
    <w:rsid w:val="00F45460"/>
    <w:rsid w:val="00F65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C37B"/>
  <w15:chartTrackingRefBased/>
  <w15:docId w15:val="{5D41AE9C-6411-4DFD-9E02-4F32D3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A01FD3"/>
    <w:pPr>
      <w:keepNext/>
      <w:keepLines/>
      <w:spacing w:before="120" w:after="0" w:line="252" w:lineRule="auto"/>
      <w:jc w:val="both"/>
      <w:outlineLvl w:val="2"/>
    </w:pPr>
    <w:rPr>
      <w:rFonts w:asciiTheme="majorHAnsi" w:eastAsiaTheme="majorEastAsia" w:hAnsiTheme="majorHAnsi" w:cstheme="majorBidi"/>
      <w:spacing w:val="4"/>
      <w:kern w:val="0"/>
      <w:sz w:val="24"/>
      <w:szCs w:val="24"/>
      <w:lang w:val="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46F"/>
    <w:pPr>
      <w:ind w:left="720"/>
      <w:contextualSpacing/>
    </w:pPr>
  </w:style>
  <w:style w:type="table" w:styleId="Tablaconcuadrcula">
    <w:name w:val="Table Grid"/>
    <w:basedOn w:val="Tablanormal"/>
    <w:uiPriority w:val="39"/>
    <w:rsid w:val="00485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655C0"/>
    <w:pPr>
      <w:spacing w:after="0" w:line="240" w:lineRule="auto"/>
    </w:pPr>
    <w:rPr>
      <w:kern w:val="0"/>
      <w:sz w:val="20"/>
      <w:szCs w:val="20"/>
      <w:lang w:val="en-US"/>
      <w14:ligatures w14:val="none"/>
    </w:rPr>
  </w:style>
  <w:style w:type="character" w:customStyle="1" w:styleId="TextonotapieCar">
    <w:name w:val="Texto nota pie Car"/>
    <w:basedOn w:val="Fuentedeprrafopredeter"/>
    <w:link w:val="Textonotapie"/>
    <w:uiPriority w:val="99"/>
    <w:semiHidden/>
    <w:rsid w:val="00F655C0"/>
    <w:rPr>
      <w:kern w:val="0"/>
      <w:sz w:val="20"/>
      <w:szCs w:val="20"/>
      <w:lang w:val="en-US"/>
      <w14:ligatures w14:val="none"/>
    </w:rPr>
  </w:style>
  <w:style w:type="character" w:styleId="Refdenotaalpie">
    <w:name w:val="footnote reference"/>
    <w:basedOn w:val="Fuentedeprrafopredeter"/>
    <w:uiPriority w:val="99"/>
    <w:semiHidden/>
    <w:unhideWhenUsed/>
    <w:rsid w:val="00F655C0"/>
    <w:rPr>
      <w:vertAlign w:val="superscript"/>
    </w:rPr>
  </w:style>
  <w:style w:type="character" w:customStyle="1" w:styleId="Ttulo3Car">
    <w:name w:val="Título 3 Car"/>
    <w:basedOn w:val="Fuentedeprrafopredeter"/>
    <w:link w:val="Ttulo3"/>
    <w:uiPriority w:val="9"/>
    <w:semiHidden/>
    <w:rsid w:val="00A01FD3"/>
    <w:rPr>
      <w:rFonts w:asciiTheme="majorHAnsi" w:eastAsiaTheme="majorEastAsia" w:hAnsiTheme="majorHAnsi" w:cstheme="majorBidi"/>
      <w:spacing w:val="4"/>
      <w:kern w:val="0"/>
      <w:sz w:val="24"/>
      <w:szCs w:val="24"/>
      <w:lang w:val="es-CO"/>
      <w14:ligatures w14:val="none"/>
    </w:rPr>
  </w:style>
  <w:style w:type="paragraph" w:styleId="NormalWeb">
    <w:name w:val="Normal (Web)"/>
    <w:basedOn w:val="Normal"/>
    <w:uiPriority w:val="99"/>
    <w:semiHidden/>
    <w:unhideWhenUsed/>
    <w:rsid w:val="00A01FD3"/>
    <w:pPr>
      <w:spacing w:before="100" w:beforeAutospacing="1" w:after="100" w:afterAutospacing="1" w:line="240" w:lineRule="auto"/>
      <w:jc w:val="both"/>
    </w:pPr>
    <w:rPr>
      <w:rFonts w:ascii="Times New Roman" w:eastAsia="Times New Roman" w:hAnsi="Times New Roman" w:cs="Times New Roman"/>
      <w:kern w:val="0"/>
      <w:sz w:val="24"/>
      <w:szCs w:val="24"/>
      <w:lang w:val="es-CO" w:eastAsia="es-CO"/>
      <w14:ligatures w14:val="none"/>
    </w:rPr>
  </w:style>
  <w:style w:type="paragraph" w:styleId="Textoindependiente">
    <w:name w:val="Body Text"/>
    <w:basedOn w:val="Normal"/>
    <w:link w:val="TextoindependienteCar"/>
    <w:uiPriority w:val="99"/>
    <w:semiHidden/>
    <w:unhideWhenUsed/>
    <w:rsid w:val="00A01FD3"/>
    <w:pPr>
      <w:spacing w:before="180" w:after="180" w:line="240" w:lineRule="auto"/>
      <w:jc w:val="both"/>
    </w:pPr>
    <w:rPr>
      <w:rFonts w:eastAsiaTheme="minorEastAsia"/>
      <w:kern w:val="0"/>
      <w:sz w:val="24"/>
      <w:szCs w:val="24"/>
      <w:lang w:val="en-US"/>
      <w14:ligatures w14:val="none"/>
    </w:rPr>
  </w:style>
  <w:style w:type="character" w:customStyle="1" w:styleId="TextoindependienteCar">
    <w:name w:val="Texto independiente Car"/>
    <w:basedOn w:val="Fuentedeprrafopredeter"/>
    <w:link w:val="Textoindependiente"/>
    <w:uiPriority w:val="99"/>
    <w:semiHidden/>
    <w:rsid w:val="00A01FD3"/>
    <w:rPr>
      <w:rFonts w:eastAsiaTheme="minorEastAsia"/>
      <w:kern w:val="0"/>
      <w:sz w:val="24"/>
      <w:szCs w:val="24"/>
      <w:lang w:val="en-US"/>
      <w14:ligatures w14:val="none"/>
    </w:rPr>
  </w:style>
  <w:style w:type="paragraph" w:customStyle="1" w:styleId="FirstParagraph">
    <w:name w:val="First Paragraph"/>
    <w:basedOn w:val="Textoindependiente"/>
    <w:next w:val="Textoindependiente"/>
    <w:uiPriority w:val="99"/>
    <w:rsid w:val="00A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8404">
      <w:bodyDiv w:val="1"/>
      <w:marLeft w:val="0"/>
      <w:marRight w:val="0"/>
      <w:marTop w:val="0"/>
      <w:marBottom w:val="0"/>
      <w:divBdr>
        <w:top w:val="none" w:sz="0" w:space="0" w:color="auto"/>
        <w:left w:val="none" w:sz="0" w:space="0" w:color="auto"/>
        <w:bottom w:val="none" w:sz="0" w:space="0" w:color="auto"/>
        <w:right w:val="none" w:sz="0" w:space="0" w:color="auto"/>
      </w:divBdr>
    </w:div>
    <w:div w:id="12747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1</Pages>
  <Words>1591</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7</cp:revision>
  <dcterms:created xsi:type="dcterms:W3CDTF">2023-05-21T21:53:00Z</dcterms:created>
  <dcterms:modified xsi:type="dcterms:W3CDTF">2023-05-25T09:41:00Z</dcterms:modified>
</cp:coreProperties>
</file>