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2C5E" w14:textId="0024FA2F" w:rsidR="00622EA6" w:rsidRPr="00541FA9" w:rsidRDefault="00EC535F" w:rsidP="00622EA6">
      <w:pPr>
        <w:jc w:val="center"/>
        <w:rPr>
          <w:b/>
          <w:bCs/>
        </w:rPr>
      </w:pPr>
      <w:r>
        <w:rPr>
          <w:b/>
          <w:bCs/>
        </w:rPr>
        <w:t xml:space="preserve">PRIMERA PARTE: Análisis </w:t>
      </w:r>
      <w:r w:rsidR="00622EA6" w:rsidRPr="00541FA9">
        <w:rPr>
          <w:b/>
          <w:bCs/>
        </w:rPr>
        <w:t>de supervivencia para pacientes con COVID-19 en unidades de cuidados intensivos para Cali, Valle del Cauca</w:t>
      </w:r>
    </w:p>
    <w:p w14:paraId="698A15F6" w14:textId="7179726E" w:rsidR="00622EA6" w:rsidRPr="00541FA9" w:rsidRDefault="00622EA6" w:rsidP="00622EA6">
      <w:pPr>
        <w:rPr>
          <w:b/>
          <w:bCs/>
        </w:rPr>
      </w:pPr>
    </w:p>
    <w:p w14:paraId="1A9BFD3D" w14:textId="77777777" w:rsidR="00622EA6" w:rsidRPr="00541FA9" w:rsidRDefault="00622EA6" w:rsidP="00622EA6">
      <w:pPr>
        <w:pStyle w:val="ListParagraph"/>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ListParagraph"/>
        <w:ind w:left="1080"/>
        <w:rPr>
          <w:rFonts w:ascii="Times New Roman" w:hAnsi="Times New Roman" w:cs="Times New Roman"/>
          <w:b/>
          <w:bCs/>
          <w:sz w:val="24"/>
          <w:szCs w:val="24"/>
        </w:rPr>
      </w:pPr>
    </w:p>
    <w:p w14:paraId="0437A227" w14:textId="77777777"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ListParagraph"/>
        <w:ind w:left="360"/>
        <w:rPr>
          <w:rFonts w:ascii="Times New Roman" w:hAnsi="Times New Roman" w:cs="Times New Roman"/>
          <w:b/>
          <w:bCs/>
          <w:sz w:val="24"/>
          <w:szCs w:val="24"/>
        </w:rPr>
      </w:pPr>
    </w:p>
    <w:p w14:paraId="0669E43A" w14:textId="7E1F9AF1" w:rsidR="00622EA6" w:rsidRPr="00541FA9" w:rsidRDefault="00622EA6" w:rsidP="00622EA6">
      <w:pPr>
        <w:pStyle w:val="ListParagraph"/>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ListParagraph"/>
        <w:ind w:left="360"/>
        <w:rPr>
          <w:rFonts w:ascii="Times New Roman" w:hAnsi="Times New Roman" w:cs="Times New Roman"/>
          <w:sz w:val="24"/>
          <w:szCs w:val="24"/>
        </w:rPr>
      </w:pPr>
    </w:p>
    <w:p w14:paraId="59B1A100" w14:textId="7949976C" w:rsidR="00622EA6" w:rsidRPr="00541FA9" w:rsidRDefault="00622EA6" w:rsidP="00622EA6">
      <w:pPr>
        <w:pStyle w:val="ListParagraph"/>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ListParagraph"/>
        <w:ind w:left="360"/>
        <w:rPr>
          <w:rFonts w:ascii="Times New Roman" w:hAnsi="Times New Roman" w:cs="Times New Roman"/>
          <w:sz w:val="24"/>
          <w:szCs w:val="24"/>
        </w:rPr>
      </w:pPr>
    </w:p>
    <w:p w14:paraId="38D2BD22" w14:textId="7777777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ListParagraph"/>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ListParagraph"/>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FootnoteReferenc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ListParagraph"/>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ListParagraph"/>
        <w:ind w:left="360"/>
        <w:rPr>
          <w:rFonts w:ascii="Times New Roman" w:hAnsi="Times New Roman" w:cs="Times New Roman"/>
          <w:b/>
          <w:bCs/>
          <w:sz w:val="24"/>
          <w:szCs w:val="24"/>
        </w:rPr>
      </w:pPr>
    </w:p>
    <w:p w14:paraId="6A169209"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ListParagraph"/>
        <w:ind w:left="360"/>
        <w:rPr>
          <w:rFonts w:ascii="Times New Roman" w:hAnsi="Times New Roman" w:cs="Times New Roman"/>
          <w:b/>
          <w:bCs/>
          <w:sz w:val="24"/>
          <w:szCs w:val="24"/>
        </w:rPr>
      </w:pPr>
    </w:p>
    <w:p w14:paraId="0536C57F" w14:textId="65571B25" w:rsidR="00622EA6" w:rsidRDefault="00622EA6" w:rsidP="00541FA9">
      <w:r w:rsidRPr="00541FA9">
        <w:t xml:space="preserve">Finalmente, respecto de los resultados de la estimación no-paramétrica, presenta las curvas de Kaplan-Meier de supervivencia estratificados según las escalas </w:t>
      </w:r>
      <w:proofErr w:type="spellStart"/>
      <w:r w:rsidRPr="00541FA9">
        <w:t>qSOFA</w:t>
      </w:r>
      <w:proofErr w:type="spellEnd"/>
      <w:r w:rsidRPr="00541FA9">
        <w:t xml:space="preserve"> y APACHE II. Se verifica el valor que tiene la condición de ingreso para predecir el desenlace del paciente</w:t>
      </w:r>
    </w:p>
    <w:p w14:paraId="59B93D7F" w14:textId="77777777" w:rsidR="00541FA9" w:rsidRPr="00541FA9" w:rsidRDefault="00541FA9" w:rsidP="00541FA9">
      <w:pPr>
        <w:rPr>
          <w:b/>
          <w:bCs/>
        </w:rPr>
      </w:pPr>
    </w:p>
    <w:p w14:paraId="09DA0D2E" w14:textId="223865D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lang w:eastAsia="es-ES"/>
        </w:rPr>
      </w:pPr>
    </w:p>
    <w:p w14:paraId="5DC68A10"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lang w:eastAsia="es-ES"/>
        </w:rPr>
      </w:pPr>
    </w:p>
    <w:p w14:paraId="371D320C" w14:textId="7615CB8D" w:rsidR="00622EA6" w:rsidRPr="00541FA9" w:rsidRDefault="00622EA6" w:rsidP="00622EA6">
      <w:pPr>
        <w:rPr>
          <w:lang w:eastAsia="es-ES"/>
        </w:rPr>
      </w:pPr>
    </w:p>
    <w:p w14:paraId="3D2ECE38" w14:textId="47AA06B2" w:rsidR="00622EA6" w:rsidRPr="00541FA9" w:rsidRDefault="00622EA6" w:rsidP="00622EA6">
      <w:pPr>
        <w:rPr>
          <w:lang w:eastAsia="es-ES"/>
        </w:rPr>
      </w:pPr>
    </w:p>
    <w:p w14:paraId="60CFB806" w14:textId="1BD3A476" w:rsidR="00622EA6" w:rsidRPr="00541FA9" w:rsidRDefault="00622EA6" w:rsidP="00622EA6">
      <w:pPr>
        <w:rPr>
          <w:lang w:eastAsia="es-ES"/>
        </w:rPr>
      </w:pPr>
    </w:p>
    <w:p w14:paraId="2158F406" w14:textId="6C9643A6" w:rsidR="00622EA6" w:rsidRPr="00541FA9" w:rsidRDefault="00622EA6" w:rsidP="00622EA6">
      <w:pPr>
        <w:rPr>
          <w:lang w:eastAsia="es-ES"/>
        </w:rPr>
      </w:pPr>
    </w:p>
    <w:p w14:paraId="5BAE1D5B" w14:textId="41A9152F" w:rsidR="00622EA6" w:rsidRPr="00541FA9" w:rsidRDefault="00622EA6" w:rsidP="00622EA6">
      <w:pPr>
        <w:rPr>
          <w:lang w:eastAsia="es-ES"/>
        </w:rPr>
      </w:pPr>
    </w:p>
    <w:p w14:paraId="0E9E7FD9" w14:textId="334FE25B" w:rsidR="00622EA6" w:rsidRPr="00541FA9" w:rsidRDefault="00622EA6" w:rsidP="00622EA6">
      <w:pPr>
        <w:rPr>
          <w:lang w:eastAsia="es-ES"/>
        </w:rPr>
      </w:pPr>
    </w:p>
    <w:p w14:paraId="1AAB8105" w14:textId="40816CFD" w:rsidR="00622EA6" w:rsidRPr="00541FA9" w:rsidRDefault="00622EA6" w:rsidP="00622EA6">
      <w:pPr>
        <w:rPr>
          <w:lang w:eastAsia="es-ES"/>
        </w:rPr>
      </w:pPr>
    </w:p>
    <w:p w14:paraId="403F0D63" w14:textId="4DF162E2" w:rsidR="00622EA6" w:rsidRPr="00541FA9" w:rsidRDefault="00622EA6" w:rsidP="00622EA6">
      <w:pPr>
        <w:rPr>
          <w:lang w:eastAsia="es-ES"/>
        </w:rPr>
      </w:pPr>
    </w:p>
    <w:p w14:paraId="406B62BA" w14:textId="72B73F40" w:rsidR="00622EA6" w:rsidRPr="00541FA9" w:rsidRDefault="00622EA6" w:rsidP="00622EA6">
      <w:pPr>
        <w:rPr>
          <w:lang w:eastAsia="es-ES"/>
        </w:rPr>
      </w:pPr>
    </w:p>
    <w:p w14:paraId="7B02779A" w14:textId="28B34ACE" w:rsidR="00622EA6" w:rsidRPr="00541FA9" w:rsidRDefault="00622EA6" w:rsidP="00622EA6">
      <w:pPr>
        <w:rPr>
          <w:lang w:eastAsia="es-ES"/>
        </w:rPr>
      </w:pPr>
    </w:p>
    <w:p w14:paraId="01497E0E" w14:textId="7B75A1EB" w:rsidR="00622EA6" w:rsidRPr="00541FA9" w:rsidRDefault="00622EA6" w:rsidP="00622EA6">
      <w:pPr>
        <w:rPr>
          <w:lang w:eastAsia="es-ES"/>
        </w:rPr>
      </w:pPr>
    </w:p>
    <w:p w14:paraId="6AD1B579" w14:textId="77777777" w:rsidR="00622EA6" w:rsidRPr="00541FA9" w:rsidRDefault="00622EA6" w:rsidP="00622EA6">
      <w:pPr>
        <w:rPr>
          <w:lang w:eastAsia="es-ES"/>
        </w:rPr>
      </w:pPr>
    </w:p>
    <w:p w14:paraId="7077F274" w14:textId="449D48BF" w:rsidR="00622EA6" w:rsidRPr="00541FA9" w:rsidRDefault="00622EA6" w:rsidP="00622EA6">
      <w:pPr>
        <w:rPr>
          <w:lang w:eastAsia="es-ES"/>
        </w:rPr>
      </w:pPr>
    </w:p>
    <w:p w14:paraId="60FCA3EC" w14:textId="57297B16" w:rsidR="00622EA6" w:rsidRPr="00541FA9" w:rsidRDefault="00622EA6" w:rsidP="00622EA6">
      <w:pPr>
        <w:rPr>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FootnoteReferenc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ListParagraph"/>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ListParagraph"/>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ListParagraph"/>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ListParagraph"/>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to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ListParagraph"/>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b/>
          <w:bCs/>
        </w:rPr>
      </w:pPr>
    </w:p>
    <w:p w14:paraId="08544918" w14:textId="77777777" w:rsidR="00BB7139" w:rsidRPr="00541FA9" w:rsidRDefault="00BB7139" w:rsidP="00BB7139">
      <w:pPr>
        <w:spacing w:before="100" w:beforeAutospacing="1" w:after="100" w:afterAutospacing="1"/>
        <w:rPr>
          <w:b/>
          <w:bCs/>
        </w:rPr>
      </w:pPr>
    </w:p>
    <w:p w14:paraId="6E8168BF" w14:textId="4FCAE9A3" w:rsidR="00622EA6" w:rsidRPr="00541FA9" w:rsidRDefault="00622EA6" w:rsidP="00622EA6">
      <w:pPr>
        <w:rPr>
          <w:b/>
          <w:bCs/>
        </w:rPr>
      </w:pPr>
    </w:p>
    <w:p w14:paraId="3671F472" w14:textId="4CBB9846" w:rsidR="00BB7139" w:rsidRPr="00541FA9" w:rsidRDefault="00BB7139" w:rsidP="00622EA6">
      <w:pPr>
        <w:rPr>
          <w:b/>
          <w:bCs/>
        </w:rPr>
      </w:pPr>
    </w:p>
    <w:p w14:paraId="53CD8D9F" w14:textId="0FBEDE96" w:rsidR="00BB7139" w:rsidRPr="00541FA9" w:rsidRDefault="00BB7139" w:rsidP="00622EA6">
      <w:pPr>
        <w:rPr>
          <w:b/>
          <w:bCs/>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 xml:space="preserve">(1)* </w:t>
      </w:r>
      <w:r w:rsidRPr="00541FA9">
        <w:t>hospitalización,</w:t>
      </w:r>
      <w:r w:rsidRPr="00541FA9">
        <w:rPr>
          <w:b/>
          <w:bCs/>
        </w:rPr>
        <w:t xml:space="preserve"> (2)* </w:t>
      </w:r>
      <w:r w:rsidRPr="00541FA9">
        <w:t>cuidados intensivos y</w:t>
      </w:r>
      <w:r w:rsidRPr="00541FA9">
        <w:rPr>
          <w:b/>
          <w:bCs/>
        </w:rPr>
        <w:t xml:space="preserve"> (3)* </w:t>
      </w:r>
      <w:r w:rsidRPr="00541FA9">
        <w:t xml:space="preserve">la probabilidad de morir. (Es decir, estudia </w:t>
      </w:r>
      <w:proofErr w:type="gramStart"/>
      <w:r w:rsidRPr="00541FA9">
        <w:t>las probabilidad</w:t>
      </w:r>
      <w:proofErr w:type="gramEnd"/>
      <w:r w:rsidRPr="00541FA9">
        <w:t xml:space="preserve"> del paso de un estadio a otro)</w:t>
      </w:r>
      <w:r w:rsidRPr="00541FA9">
        <w:br/>
      </w:r>
      <w:r w:rsidRPr="00541FA9">
        <w:br/>
        <w:t xml:space="preserve">Nótese que </w:t>
      </w:r>
      <w:r w:rsidRPr="00541FA9">
        <w:rPr>
          <w:b/>
          <w:bCs/>
        </w:rPr>
        <w:t xml:space="preserve">(3)*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FootnoteReference"/>
          <w:b/>
          <w:bCs/>
        </w:rPr>
        <w:footnoteReference w:id="3"/>
      </w:r>
    </w:p>
    <w:p w14:paraId="1FB1069D" w14:textId="7A6C4F84" w:rsidR="00BB7139" w:rsidRPr="00541FA9" w:rsidRDefault="00BB7139" w:rsidP="00BB7139">
      <w:pPr>
        <w:pStyle w:val="ListParagraph"/>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ListParagraph"/>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ListParagraph"/>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DE4DF8">
        <w:rPr>
          <w:b/>
          <w:bCs/>
          <w:lang w:val="en-US"/>
        </w:rPr>
        <w:t xml:space="preserve">Ghani, A. C., Donnelly, C. A., Cox, D. R., Griffin, J.T., Fraser, C., Lam, T. H., Ho, L. M., Chan, W. S., Anderson, R. M., Hedley, A. J., &amp; Leung,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FootnoteReferenc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A66EF0"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A66EF0"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ListParagraph"/>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b/>
          <w:bCs/>
        </w:rPr>
      </w:pPr>
    </w:p>
    <w:p w14:paraId="7627BCE9" w14:textId="77777777" w:rsidR="00541FA9" w:rsidRPr="00541FA9"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ListParagraph"/>
        <w:ind w:left="360"/>
        <w:jc w:val="both"/>
        <w:rPr>
          <w:rFonts w:ascii="Times New Roman" w:hAnsi="Times New Roman" w:cs="Times New Roman"/>
          <w:b/>
          <w:bCs/>
          <w:sz w:val="24"/>
          <w:szCs w:val="24"/>
        </w:rPr>
      </w:pPr>
    </w:p>
    <w:p w14:paraId="73FFFAA7"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FootnoteReferenc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ListParagraph"/>
        <w:rPr>
          <w:rFonts w:ascii="Times New Roman" w:hAnsi="Times New Roman" w:cs="Times New Roman"/>
          <w:sz w:val="24"/>
          <w:szCs w:val="24"/>
        </w:rPr>
      </w:pPr>
    </w:p>
    <w:p w14:paraId="309849F8"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FootnoteReferenc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FootnoteReferenc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FootnoteReferenc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ListParagraph"/>
        <w:rPr>
          <w:rFonts w:ascii="Times New Roman" w:hAnsi="Times New Roman" w:cs="Times New Roman"/>
          <w:b/>
          <w:bCs/>
          <w:sz w:val="24"/>
          <w:szCs w:val="24"/>
        </w:rPr>
      </w:pPr>
    </w:p>
    <w:p w14:paraId="740AB897" w14:textId="04F31735" w:rsidR="00541FA9" w:rsidRPr="00215857"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ListParagraph"/>
        <w:rPr>
          <w:rFonts w:ascii="Times New Roman" w:hAnsi="Times New Roman" w:cs="Times New Roman"/>
          <w:b/>
          <w:bCs/>
          <w:sz w:val="24"/>
          <w:szCs w:val="24"/>
        </w:rPr>
      </w:pPr>
    </w:p>
    <w:p w14:paraId="7CCDFCBB" w14:textId="5E5E7D35" w:rsidR="00215857" w:rsidRDefault="00215857" w:rsidP="00215857">
      <w:pPr>
        <w:jc w:val="both"/>
        <w:rPr>
          <w:b/>
          <w:bCs/>
        </w:rPr>
      </w:pPr>
    </w:p>
    <w:p w14:paraId="69F65270" w14:textId="10E5753A" w:rsidR="00215857" w:rsidRPr="00EC3CB1" w:rsidRDefault="00215857" w:rsidP="00215857">
      <w:pPr>
        <w:pStyle w:val="ListParagraph"/>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b/>
          <w:bCs/>
          <w:lang w:val="en-US"/>
        </w:rPr>
      </w:pPr>
    </w:p>
    <w:p w14:paraId="544462AE" w14:textId="2F915CAF" w:rsidR="00215857" w:rsidRPr="005C7F54" w:rsidRDefault="00215857" w:rsidP="00215857">
      <w:pPr>
        <w:pStyle w:val="ListParagraph"/>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r w:rsidRPr="00215857">
        <w:rPr>
          <w:rFonts w:ascii="Times New Roman" w:hAnsi="Times New Roman" w:cs="Times New Roman"/>
          <w:bCs/>
          <w:i/>
          <w:sz w:val="24"/>
          <w:szCs w:val="24"/>
          <w:lang w:val="es-CO"/>
        </w:rPr>
        <w:t>anti-infection/inflammatory therapy</w:t>
      </w:r>
      <w:r>
        <w:rPr>
          <w:rFonts w:ascii="Times New Roman" w:hAnsi="Times New Roman" w:cs="Times New Roman"/>
          <w:bCs/>
          <w:sz w:val="24"/>
          <w:szCs w:val="24"/>
          <w:lang w:val="es-CO"/>
        </w:rPr>
        <w:t xml:space="preserve">). </w:t>
      </w:r>
    </w:p>
    <w:p w14:paraId="769D78BE" w14:textId="122E02B1" w:rsidR="005C7F54" w:rsidRDefault="005C7F54" w:rsidP="005C7F54">
      <w:pPr>
        <w:pStyle w:val="ListParagraph"/>
        <w:jc w:val="both"/>
        <w:rPr>
          <w:rFonts w:ascii="Times New Roman" w:hAnsi="Times New Roman" w:cs="Times New Roman"/>
          <w:b/>
          <w:bCs/>
          <w:sz w:val="24"/>
          <w:szCs w:val="24"/>
          <w:lang w:val="es-CO"/>
        </w:rPr>
      </w:pPr>
    </w:p>
    <w:p w14:paraId="0A2A08E9" w14:textId="45FB4284" w:rsidR="005C7F54" w:rsidRDefault="005C7F54" w:rsidP="005C7F54">
      <w:pPr>
        <w:pStyle w:val="ListParagraph"/>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Leung (2020), en su </w:t>
      </w:r>
      <w:r w:rsidRPr="005C7F54">
        <w:rPr>
          <w:rFonts w:ascii="Times New Roman" w:hAnsi="Times New Roman" w:cs="Times New Roman"/>
          <w:bCs/>
          <w:i/>
          <w:sz w:val="24"/>
          <w:szCs w:val="24"/>
          <w:lang w:val="es-CO"/>
        </w:rPr>
        <w:t>Clinical features of deaths in the novel coronavirus epidemic</w:t>
      </w:r>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 xml:space="preserve">iesgo: edad, cualidad de fumador, comorbilidades pulmonares y cardiovasculares. Además, se ha documentado efectivamente que, si bien la tasa de incidencia de la enfermedad es similar según sexos, las tasas de fatalidad por casos son menores en mujeres que en hombres (Gebhard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FootnoteReference"/>
          <w:rFonts w:ascii="Times New Roman" w:hAnsi="Times New Roman" w:cs="Times New Roman"/>
          <w:bCs/>
          <w:sz w:val="24"/>
          <w:szCs w:val="24"/>
          <w:lang w:val="en-US"/>
        </w:rPr>
        <w:footnoteReference w:id="9"/>
      </w:r>
    </w:p>
    <w:p w14:paraId="5333AC93" w14:textId="4CCFC8E1" w:rsidR="00DC6B38" w:rsidRDefault="00DC6B38" w:rsidP="005C7F54">
      <w:pPr>
        <w:pStyle w:val="ListParagraph"/>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gramStart"/>
      <w:r w:rsidRPr="00DC6B38">
        <w:rPr>
          <w:rFonts w:ascii="Times New Roman" w:hAnsi="Times New Roman" w:cs="Times New Roman"/>
          <w:bCs/>
          <w:sz w:val="24"/>
          <w:szCs w:val="24"/>
          <w:lang w:val="es-CO"/>
        </w:rPr>
        <w:t>The</w:t>
      </w:r>
      <w:proofErr w:type="gramEnd"/>
      <w:r w:rsidRPr="00DC6B38">
        <w:rPr>
          <w:rFonts w:ascii="Times New Roman" w:hAnsi="Times New Roman" w:cs="Times New Roman"/>
          <w:bCs/>
          <w:sz w:val="24"/>
          <w:szCs w:val="24"/>
          <w:lang w:val="es-CO"/>
        </w:rPr>
        <w:t xml:space="preserve"> sex gap in COVID-19 trials,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ListParagraph"/>
        <w:jc w:val="both"/>
        <w:rPr>
          <w:rFonts w:ascii="Times New Roman" w:hAnsi="Times New Roman" w:cs="Times New Roman"/>
          <w:bCs/>
          <w:sz w:val="24"/>
          <w:szCs w:val="24"/>
          <w:lang w:val="es-CO"/>
        </w:rPr>
      </w:pPr>
    </w:p>
    <w:p w14:paraId="75D2CABE" w14:textId="5B188365" w:rsidR="00DC6B38" w:rsidRPr="007716B2" w:rsidRDefault="00DC6B38" w:rsidP="005C7F54">
      <w:pPr>
        <w:pStyle w:val="ListParagraph"/>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(Barbateskovic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bCs/>
          <w:lang w:val="en-US"/>
        </w:rPr>
      </w:pPr>
    </w:p>
    <w:p w14:paraId="0D6BD2AF" w14:textId="7C7E2C55" w:rsidR="007716B2" w:rsidRPr="007716B2" w:rsidRDefault="00215857" w:rsidP="007716B2">
      <w:pPr>
        <w:pStyle w:val="ListParagraph"/>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r w:rsidR="005C7F54" w:rsidRPr="005C7F54">
        <w:rPr>
          <w:rFonts w:ascii="Times New Roman" w:hAnsi="Times New Roman" w:cs="Times New Roman"/>
          <w:bCs/>
          <w:i/>
          <w:sz w:val="24"/>
          <w:szCs w:val="24"/>
          <w:lang w:val="es-CO"/>
        </w:rPr>
        <w:t>multicenter observational cohort study</w:t>
      </w:r>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FootnoteReferenc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ListParagraph"/>
        <w:jc w:val="both"/>
        <w:rPr>
          <w:rFonts w:ascii="Times New Roman" w:hAnsi="Times New Roman" w:cs="Times New Roman"/>
          <w:b/>
          <w:bCs/>
          <w:sz w:val="24"/>
          <w:szCs w:val="24"/>
          <w:lang w:val="es-CO"/>
        </w:rPr>
      </w:pPr>
    </w:p>
    <w:p w14:paraId="443D9F1B" w14:textId="301AC106" w:rsidR="007716B2" w:rsidRPr="007716B2" w:rsidRDefault="007716B2" w:rsidP="007716B2">
      <w:pPr>
        <w:pStyle w:val="ListParagraph"/>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r w:rsidRPr="007716B2">
        <w:rPr>
          <w:rFonts w:ascii="Times New Roman" w:hAnsi="Times New Roman" w:cs="Times New Roman"/>
          <w:bCs/>
          <w:i/>
          <w:sz w:val="24"/>
          <w:szCs w:val="24"/>
          <w:lang w:val="es-CO"/>
        </w:rPr>
        <w:t>anti-infection/inflammatory therapy</w:t>
      </w:r>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b/>
          <w:bCs/>
          <w:lang w:val="es-CO"/>
        </w:rPr>
      </w:pPr>
    </w:p>
    <w:p w14:paraId="1E577737" w14:textId="619DAA1B" w:rsidR="00EE1310" w:rsidRPr="00EE1310" w:rsidRDefault="00215857" w:rsidP="00EE1310">
      <w:pPr>
        <w:pStyle w:val="ListParagraph"/>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(dyslipidemia, diabetes mellitus, hypertension, chronic liver disease, chronic lung disease, and chronic renal disease, obesity), cualidad de fumador, Chronic Health Evalution II (APACHE II).</w:t>
      </w:r>
      <w:r w:rsidR="004D1716">
        <w:rPr>
          <w:rFonts w:ascii="Times New Roman" w:hAnsi="Times New Roman" w:cs="Times New Roman"/>
          <w:bCs/>
          <w:sz w:val="24"/>
          <w:szCs w:val="24"/>
          <w:lang w:val="es-CO"/>
        </w:rPr>
        <w:t xml:space="preserve"> La metodología es múltipe:</w:t>
      </w:r>
    </w:p>
    <w:p w14:paraId="025F2AE4" w14:textId="77777777" w:rsidR="00EE1310" w:rsidRPr="00EE1310" w:rsidRDefault="00EE1310" w:rsidP="00EE1310">
      <w:pPr>
        <w:pStyle w:val="ListParagraph"/>
        <w:jc w:val="both"/>
        <w:rPr>
          <w:rFonts w:ascii="Times New Roman" w:hAnsi="Times New Roman" w:cs="Times New Roman"/>
          <w:b/>
          <w:bCs/>
          <w:sz w:val="24"/>
          <w:szCs w:val="24"/>
          <w:lang w:val="es-CO"/>
        </w:rPr>
      </w:pPr>
    </w:p>
    <w:p w14:paraId="5F64D5D1" w14:textId="5EC9117F" w:rsidR="004D1716" w:rsidRPr="00B72173" w:rsidRDefault="004D1716" w:rsidP="00EE1310">
      <w:pPr>
        <w:pStyle w:val="ListParagraph"/>
        <w:jc w:val="both"/>
        <w:rPr>
          <w:rFonts w:ascii="Times New Roman" w:hAnsi="Times New Roman" w:cs="Times New Roman"/>
          <w:bCs/>
          <w:sz w:val="24"/>
          <w:szCs w:val="24"/>
          <w:lang w:val="es-CO"/>
        </w:rPr>
      </w:pPr>
      <w:r w:rsidRPr="00D26E63">
        <w:rPr>
          <w:rFonts w:ascii="Times New Roman" w:hAnsi="Times New Roman" w:cs="Times New Roman"/>
          <w:b/>
          <w:bCs/>
          <w:sz w:val="24"/>
          <w:szCs w:val="24"/>
        </w:rPr>
        <w:t xml:space="preserve">[M1] </w:t>
      </w:r>
      <w:r w:rsidR="00EE1310" w:rsidRPr="00D26E63">
        <w:rPr>
          <w:rFonts w:ascii="Times New Roman" w:hAnsi="Times New Roman" w:cs="Times New Roman"/>
          <w:bCs/>
          <w:sz w:val="24"/>
          <w:szCs w:val="24"/>
        </w:rPr>
        <w:t xml:space="preserve">Se presenta </w:t>
      </w:r>
      <w:r w:rsidRPr="00D26E63">
        <w:rPr>
          <w:rFonts w:ascii="Times New Roman" w:hAnsi="Times New Roman" w:cs="Times New Roman"/>
          <w:bCs/>
          <w:sz w:val="24"/>
          <w:szCs w:val="24"/>
        </w:rPr>
        <w:t xml:space="preserve">el siguiente análisis: </w:t>
      </w:r>
      <w:r w:rsidRPr="00D26E63">
        <w:rPr>
          <w:rFonts w:ascii="Times New Roman" w:hAnsi="Times New Roman" w:cs="Times New Roman"/>
          <w:bCs/>
          <w:i/>
          <w:sz w:val="24"/>
          <w:szCs w:val="24"/>
        </w:rPr>
        <w:t>Kaplan-</w:t>
      </w:r>
      <w:proofErr w:type="spellStart"/>
      <w:r w:rsidRPr="00D26E63">
        <w:rPr>
          <w:rFonts w:ascii="Times New Roman" w:hAnsi="Times New Roman" w:cs="Times New Roman"/>
          <w:bCs/>
          <w:i/>
          <w:sz w:val="24"/>
          <w:szCs w:val="24"/>
        </w:rPr>
        <w:t>Meier</w:t>
      </w:r>
      <w:proofErr w:type="spellEnd"/>
      <w:r w:rsidRPr="00D26E63">
        <w:rPr>
          <w:rFonts w:ascii="Times New Roman" w:hAnsi="Times New Roman" w:cs="Times New Roman"/>
          <w:bCs/>
          <w:i/>
          <w:sz w:val="24"/>
          <w:szCs w:val="24"/>
        </w:rPr>
        <w:t xml:space="preserve"> </w:t>
      </w:r>
      <w:proofErr w:type="spellStart"/>
      <w:r w:rsidRPr="00D26E63">
        <w:rPr>
          <w:rFonts w:ascii="Times New Roman" w:hAnsi="Times New Roman" w:cs="Times New Roman"/>
          <w:bCs/>
          <w:i/>
          <w:sz w:val="24"/>
          <w:szCs w:val="24"/>
        </w:rPr>
        <w:t>survival</w:t>
      </w:r>
      <w:proofErr w:type="spellEnd"/>
      <w:r w:rsidRPr="00D26E63">
        <w:rPr>
          <w:rFonts w:ascii="Times New Roman" w:hAnsi="Times New Roman" w:cs="Times New Roman"/>
          <w:bCs/>
          <w:i/>
          <w:sz w:val="24"/>
          <w:szCs w:val="24"/>
        </w:rPr>
        <w:t xml:space="preserve"> </w:t>
      </w:r>
      <w:proofErr w:type="spellStart"/>
      <w:r w:rsidRPr="00D26E63">
        <w:rPr>
          <w:rFonts w:ascii="Times New Roman" w:hAnsi="Times New Roman" w:cs="Times New Roman"/>
          <w:bCs/>
          <w:i/>
          <w:sz w:val="24"/>
          <w:szCs w:val="24"/>
        </w:rPr>
        <w:t>estimate</w:t>
      </w:r>
      <w:proofErr w:type="spellEnd"/>
      <w:r w:rsidRPr="00D26E63">
        <w:rPr>
          <w:rFonts w:ascii="Times New Roman" w:hAnsi="Times New Roman" w:cs="Times New Roman"/>
          <w:bCs/>
          <w:i/>
          <w:sz w:val="24"/>
          <w:szCs w:val="24"/>
        </w:rPr>
        <w:t xml:space="preserve"> </w:t>
      </w:r>
      <w:proofErr w:type="spellStart"/>
      <w:r w:rsidRPr="00D26E63">
        <w:rPr>
          <w:rFonts w:ascii="Times New Roman" w:hAnsi="Times New Roman" w:cs="Times New Roman"/>
          <w:bCs/>
          <w:i/>
          <w:sz w:val="24"/>
          <w:szCs w:val="24"/>
        </w:rPr>
        <w:t>by</w:t>
      </w:r>
      <w:proofErr w:type="spellEnd"/>
      <w:r w:rsidRPr="00D26E63">
        <w:rPr>
          <w:rFonts w:ascii="Times New Roman" w:hAnsi="Times New Roman" w:cs="Times New Roman"/>
          <w:bCs/>
          <w:i/>
          <w:sz w:val="24"/>
          <w:szCs w:val="24"/>
        </w:rPr>
        <w:t xml:space="preserve"> sex ICU, </w:t>
      </w:r>
      <w:proofErr w:type="spellStart"/>
      <w:r w:rsidRPr="00D26E63">
        <w:rPr>
          <w:rFonts w:ascii="Times New Roman" w:hAnsi="Times New Roman" w:cs="Times New Roman"/>
          <w:bCs/>
          <w:i/>
          <w:sz w:val="24"/>
          <w:szCs w:val="24"/>
        </w:rPr>
        <w:t>Intensive</w:t>
      </w:r>
      <w:proofErr w:type="spellEnd"/>
      <w:r w:rsidRPr="00D26E63">
        <w:rPr>
          <w:rFonts w:ascii="Times New Roman" w:hAnsi="Times New Roman" w:cs="Times New Roman"/>
          <w:bCs/>
          <w:i/>
          <w:sz w:val="24"/>
          <w:szCs w:val="24"/>
        </w:rPr>
        <w:t xml:space="preserve"> </w:t>
      </w:r>
      <w:proofErr w:type="spellStart"/>
      <w:r w:rsidRPr="00D26E63">
        <w:rPr>
          <w:rFonts w:ascii="Times New Roman" w:hAnsi="Times New Roman" w:cs="Times New Roman"/>
          <w:bCs/>
          <w:i/>
          <w:sz w:val="24"/>
          <w:szCs w:val="24"/>
        </w:rPr>
        <w:t>Care</w:t>
      </w:r>
      <w:proofErr w:type="spellEnd"/>
      <w:r w:rsidRPr="00D26E63">
        <w:rPr>
          <w:rFonts w:ascii="Times New Roman" w:hAnsi="Times New Roman" w:cs="Times New Roman"/>
          <w:bCs/>
          <w:i/>
          <w:sz w:val="24"/>
          <w:szCs w:val="24"/>
        </w:rPr>
        <w:t xml:space="preserve"> </w:t>
      </w:r>
      <w:proofErr w:type="spellStart"/>
      <w:r w:rsidRPr="00D26E63">
        <w:rPr>
          <w:rFonts w:ascii="Times New Roman" w:hAnsi="Times New Roman" w:cs="Times New Roman"/>
          <w:bCs/>
          <w:i/>
          <w:sz w:val="24"/>
          <w:szCs w:val="24"/>
        </w:rPr>
        <w:t>Unit</w:t>
      </w:r>
      <w:proofErr w:type="spellEnd"/>
      <w:r w:rsidRPr="00D26E63">
        <w:rPr>
          <w:rFonts w:ascii="Times New Roman" w:hAnsi="Times New Roman" w:cs="Times New Roman"/>
          <w:bCs/>
          <w:i/>
          <w:sz w:val="24"/>
          <w:szCs w:val="24"/>
        </w:rPr>
        <w:t xml:space="preserve">.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ListParagraph"/>
        <w:jc w:val="both"/>
        <w:rPr>
          <w:rFonts w:ascii="Times New Roman" w:hAnsi="Times New Roman" w:cs="Times New Roman"/>
          <w:bCs/>
          <w:sz w:val="24"/>
          <w:szCs w:val="24"/>
          <w:lang w:val="es-CO"/>
        </w:rPr>
      </w:pPr>
    </w:p>
    <w:p w14:paraId="0EDF1B95" w14:textId="6E8A96F8" w:rsidR="00EE1310" w:rsidRPr="00B72173" w:rsidRDefault="004D1716" w:rsidP="00EE1310">
      <w:pPr>
        <w:pStyle w:val="ListParagraph"/>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crude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r w:rsidR="00B72173">
        <w:rPr>
          <w:rFonts w:ascii="Times New Roman" w:hAnsi="Times New Roman" w:cs="Times New Roman"/>
          <w:bCs/>
          <w:i/>
          <w:sz w:val="24"/>
          <w:szCs w:val="24"/>
          <w:lang w:val="es-CO"/>
        </w:rPr>
        <w:t>obesity, dyslipidemia, diabetes mellitus, hypertension, smoking, chronic liver disease, chronic lung disease and chronic renal disease</w:t>
      </w:r>
      <w:r w:rsidR="00B72173">
        <w:rPr>
          <w:rFonts w:ascii="Times New Roman" w:hAnsi="Times New Roman" w:cs="Times New Roman"/>
          <w:bCs/>
          <w:sz w:val="24"/>
          <w:szCs w:val="24"/>
          <w:lang w:val="es-CO"/>
        </w:rPr>
        <w:t xml:space="preserve">). Finalmente, se considera un modelo con edad, APACHE II score y la terapia (v.gr.: </w:t>
      </w:r>
      <w:r w:rsidR="00B72173">
        <w:rPr>
          <w:rFonts w:ascii="Times New Roman" w:hAnsi="Times New Roman" w:cs="Times New Roman"/>
          <w:bCs/>
          <w:i/>
          <w:sz w:val="24"/>
          <w:szCs w:val="24"/>
          <w:lang w:val="es-CO"/>
        </w:rPr>
        <w:t>antibacterial therapy, antiviral medication, (hydroxy) chloroquine, remdesivir</w:t>
      </w:r>
      <w:r w:rsidR="001E0516">
        <w:rPr>
          <w:rFonts w:ascii="Times New Roman" w:hAnsi="Times New Roman" w:cs="Times New Roman"/>
          <w:bCs/>
          <w:i/>
          <w:sz w:val="24"/>
          <w:szCs w:val="24"/>
          <w:lang w:val="es-CO"/>
        </w:rPr>
        <w:t>, interleukin inhibitors and steroids</w:t>
      </w:r>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ListParagraph"/>
        <w:jc w:val="both"/>
        <w:rPr>
          <w:rFonts w:ascii="Times New Roman" w:hAnsi="Times New Roman" w:cs="Times New Roman"/>
          <w:b/>
          <w:bCs/>
          <w:sz w:val="24"/>
          <w:szCs w:val="24"/>
          <w:lang w:val="es-CO"/>
        </w:rPr>
      </w:pPr>
    </w:p>
    <w:p w14:paraId="3ACD108A" w14:textId="47397AF3" w:rsidR="00215857" w:rsidRPr="00EE1310" w:rsidRDefault="00215857" w:rsidP="00215857">
      <w:pPr>
        <w:pStyle w:val="ListParagraph"/>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ListParagraph"/>
        <w:jc w:val="both"/>
        <w:rPr>
          <w:rFonts w:ascii="Times New Roman" w:hAnsi="Times New Roman" w:cs="Times New Roman"/>
          <w:b/>
          <w:bCs/>
          <w:sz w:val="24"/>
          <w:szCs w:val="24"/>
          <w:lang w:val="es-CO"/>
        </w:rPr>
      </w:pPr>
    </w:p>
    <w:p w14:paraId="2DE807CC" w14:textId="34D5C52C" w:rsidR="00EE1310" w:rsidRPr="00EE1310" w:rsidRDefault="00EE1310"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El tiempo de estancia en UCI según sexo: el tiempo de estancia según sexos es comparable (12.4 -females- y 16 -males-). Las mujeres requirieron menos ventilación mecánica (72% vs 82%) y terapia antibacterial (91% y 96%). La administración de anti-infection/inflammatory drugs no difiere según sexos. </w:t>
      </w:r>
    </w:p>
    <w:p w14:paraId="07FA0B4B" w14:textId="12B16C5B" w:rsidR="00EE1310" w:rsidRPr="00EE1310" w:rsidRDefault="00EE1310"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ListParagraph"/>
        <w:jc w:val="both"/>
        <w:rPr>
          <w:rFonts w:ascii="Times New Roman" w:hAnsi="Times New Roman" w:cs="Times New Roman"/>
          <w:b/>
          <w:bCs/>
          <w:sz w:val="24"/>
          <w:szCs w:val="24"/>
          <w:lang w:val="es-CO"/>
        </w:rPr>
      </w:pPr>
    </w:p>
    <w:p w14:paraId="1834FAD2" w14:textId="77777777" w:rsidR="001E0516" w:rsidRDefault="001E0516" w:rsidP="001E0516">
      <w:pPr>
        <w:pStyle w:val="ListParagraph"/>
        <w:jc w:val="both"/>
        <w:rPr>
          <w:noProof/>
        </w:rPr>
      </w:pPr>
    </w:p>
    <w:p w14:paraId="35AA4E73" w14:textId="29936FCE" w:rsidR="001E0516" w:rsidRDefault="001E0516" w:rsidP="001E0516">
      <w:pPr>
        <w:pStyle w:val="ListParagraph"/>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ListParagraph"/>
        <w:jc w:val="both"/>
        <w:rPr>
          <w:rFonts w:ascii="Times New Roman" w:hAnsi="Times New Roman" w:cs="Times New Roman"/>
          <w:b/>
          <w:bCs/>
          <w:sz w:val="24"/>
          <w:szCs w:val="24"/>
          <w:lang w:val="es-CO"/>
        </w:rPr>
      </w:pPr>
    </w:p>
    <w:p w14:paraId="4F8485C0" w14:textId="77777777" w:rsidR="00B72173" w:rsidRPr="00BE4189" w:rsidRDefault="004D1716" w:rsidP="00EE1310">
      <w:pPr>
        <w:pStyle w:val="ListParagraph"/>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ListParagraph"/>
        <w:jc w:val="both"/>
        <w:rPr>
          <w:rFonts w:ascii="Times New Roman" w:hAnsi="Times New Roman" w:cs="Times New Roman"/>
          <w:b/>
          <w:bCs/>
          <w:sz w:val="24"/>
          <w:szCs w:val="24"/>
          <w:lang w:val="es-CO"/>
        </w:rPr>
      </w:pPr>
    </w:p>
    <w:p w14:paraId="260B81C5" w14:textId="65EF2354" w:rsidR="00215857" w:rsidRDefault="00215857" w:rsidP="00215857">
      <w:pPr>
        <w:pStyle w:val="ListParagraph"/>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b/>
          <w:bCs/>
          <w:lang w:val="en-US"/>
        </w:rPr>
      </w:pPr>
    </w:p>
    <w:p w14:paraId="74326278" w14:textId="375D4263" w:rsidR="001E0516" w:rsidRPr="00EC3CB1" w:rsidRDefault="001E0516" w:rsidP="001E0516">
      <w:pPr>
        <w:pStyle w:val="ListParagraph"/>
        <w:numPr>
          <w:ilvl w:val="0"/>
          <w:numId w:val="23"/>
        </w:numPr>
        <w:jc w:val="both"/>
        <w:rPr>
          <w:rFonts w:ascii="Times New Roman" w:hAnsi="Times New Roman" w:cs="Times New Roman"/>
          <w:b/>
          <w:bCs/>
          <w:sz w:val="24"/>
          <w:szCs w:val="24"/>
          <w:lang w:val="es-CO"/>
        </w:rPr>
      </w:pPr>
      <w:r w:rsidRPr="001E0516">
        <w:rPr>
          <w:rFonts w:ascii="Times New Roman" w:hAnsi="Times New Roman" w:cs="Times New Roman"/>
          <w:b/>
          <w:bCs/>
          <w:sz w:val="24"/>
          <w:szCs w:val="24"/>
          <w:lang w:val="es-CO"/>
        </w:rPr>
        <w:t xml:space="preserve">Rmk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ListParagraph"/>
        <w:jc w:val="both"/>
        <w:rPr>
          <w:rFonts w:ascii="Times New Roman" w:hAnsi="Times New Roman" w:cs="Times New Roman"/>
          <w:b/>
          <w:bCs/>
          <w:sz w:val="24"/>
          <w:szCs w:val="24"/>
          <w:lang w:val="es-CO"/>
        </w:rPr>
      </w:pPr>
    </w:p>
    <w:p w14:paraId="4BFB0F44" w14:textId="253F3CE7" w:rsidR="00EC3CB1" w:rsidRPr="00EC3CB1" w:rsidRDefault="003223AA" w:rsidP="00EC3CB1">
      <w:pPr>
        <w:pStyle w:val="ListParagraph"/>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b/>
          <w:bCs/>
          <w:lang w:val="en-US"/>
        </w:rPr>
      </w:pPr>
    </w:p>
    <w:p w14:paraId="57764537" w14:textId="07F5FFAA" w:rsidR="003E071D" w:rsidRPr="00EC3CB1" w:rsidRDefault="003E071D" w:rsidP="001E0516">
      <w:pPr>
        <w:pStyle w:val="ListParagraph"/>
        <w:numPr>
          <w:ilvl w:val="0"/>
          <w:numId w:val="23"/>
        </w:numPr>
        <w:jc w:val="both"/>
        <w:rPr>
          <w:rFonts w:ascii="Times New Roman" w:hAnsi="Times New Roman" w:cs="Times New Roman"/>
          <w:b/>
          <w:bCs/>
          <w:sz w:val="24"/>
          <w:szCs w:val="24"/>
          <w:lang w:val="es-CO"/>
        </w:rPr>
      </w:pPr>
      <w:r w:rsidRPr="003E071D">
        <w:rPr>
          <w:rFonts w:ascii="Times New Roman" w:hAnsi="Times New Roman" w:cs="Times New Roman"/>
          <w:b/>
          <w:bCs/>
          <w:sz w:val="24"/>
          <w:szCs w:val="24"/>
          <w:lang w:val="es-CO"/>
        </w:rPr>
        <w:t xml:space="preserve">Rmk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r>
        <w:rPr>
          <w:rFonts w:ascii="Times New Roman" w:hAnsi="Times New Roman" w:cs="Times New Roman"/>
          <w:bCs/>
          <w:i/>
          <w:sz w:val="24"/>
          <w:szCs w:val="24"/>
          <w:lang w:val="es-CO"/>
        </w:rPr>
        <w:t xml:space="preserve">The gendered dimesions of COVID-19 </w:t>
      </w:r>
      <w:r>
        <w:rPr>
          <w:rFonts w:ascii="Times New Roman" w:hAnsi="Times New Roman" w:cs="Times New Roman"/>
          <w:bCs/>
          <w:sz w:val="24"/>
          <w:szCs w:val="24"/>
          <w:lang w:val="es-CO"/>
        </w:rPr>
        <w:t xml:space="preserve">de The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b/>
          <w:bCs/>
          <w:lang w:val="es-CO"/>
        </w:rPr>
      </w:pPr>
    </w:p>
    <w:p w14:paraId="329A8554" w14:textId="00EC47B6" w:rsidR="00872363" w:rsidRPr="00872363" w:rsidRDefault="00AC2065" w:rsidP="00872363">
      <w:pPr>
        <w:pStyle w:val="ListParagraph"/>
        <w:numPr>
          <w:ilvl w:val="0"/>
          <w:numId w:val="23"/>
        </w:num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Rmk 4: ¿cuál es la implicación de Rmk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 xml:space="preserve">e manera más rápida y agresiva a los patógenos con un menor grado inflamación sistémica, lo cual contribuye a la severidad del COVID-19 (Pivonello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Cito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b/>
          <w:bCs/>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b/>
          <w:bCs/>
          <w:lang w:val="en-US"/>
        </w:rPr>
      </w:pPr>
    </w:p>
    <w:p w14:paraId="5A870C44" w14:textId="0652426F" w:rsidR="001E0516" w:rsidRDefault="00872363" w:rsidP="00872363">
      <w:pPr>
        <w:pStyle w:val="ListParagraph"/>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bCs/>
          <w:lang w:val="es-CO"/>
        </w:rPr>
      </w:pPr>
      <w:r>
        <w:rPr>
          <w:bCs/>
          <w:lang w:val="es-CO"/>
        </w:rPr>
        <w:t>La ventaja principal es la siguiente:</w:t>
      </w:r>
    </w:p>
    <w:p w14:paraId="6CC55C30" w14:textId="77777777" w:rsidR="00EC3CB1" w:rsidRDefault="00EC3CB1" w:rsidP="00872363">
      <w:pPr>
        <w:jc w:val="both"/>
        <w:rPr>
          <w:bCs/>
          <w:lang w:val="es-CO"/>
        </w:rPr>
      </w:pPr>
    </w:p>
    <w:p w14:paraId="177CB0DC" w14:textId="11EF1C49" w:rsidR="00872363" w:rsidRDefault="00872363" w:rsidP="00872363">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Es el primer estudio en demostrar que la tasa de supervivencia superior en mujeres se mantiene después de la admisión a las UCI de Europa Oriental, y todavía más importante, con independencia de la edad, severidad de la enfermedad, obesidad, cualidad de fumador, comorbilidades, anti-infection/inflammatory therapy y país.</w:t>
      </w:r>
    </w:p>
    <w:p w14:paraId="1D1CD9E3" w14:textId="04DB31B2" w:rsidR="00EC3CB1" w:rsidRDefault="00EC3CB1" w:rsidP="00EC3CB1">
      <w:pPr>
        <w:jc w:val="both"/>
        <w:rPr>
          <w:bCs/>
          <w:lang w:val="es-CO"/>
        </w:rPr>
      </w:pPr>
    </w:p>
    <w:p w14:paraId="680E24F8" w14:textId="6A6EA189" w:rsidR="00EC3CB1" w:rsidRDefault="00EC3CB1" w:rsidP="00EC3CB1">
      <w:pPr>
        <w:jc w:val="both"/>
        <w:rPr>
          <w:bCs/>
          <w:lang w:val="es-CO"/>
        </w:rPr>
      </w:pPr>
      <w:r>
        <w:rPr>
          <w:bCs/>
          <w:lang w:val="es-CO"/>
        </w:rPr>
        <w:t>Las limitaciones principales son dos:</w:t>
      </w:r>
    </w:p>
    <w:p w14:paraId="3137E79A" w14:textId="77777777" w:rsidR="00EC3CB1" w:rsidRDefault="00EC3CB1" w:rsidP="00EC3CB1">
      <w:pPr>
        <w:jc w:val="both"/>
        <w:rPr>
          <w:bCs/>
          <w:lang w:val="es-CO"/>
        </w:rPr>
      </w:pPr>
    </w:p>
    <w:p w14:paraId="458AA24B" w14:textId="4CEF494D" w:rsidR="00EC3CB1" w:rsidRDefault="00EC3CB1" w:rsidP="00EC3CB1">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r w:rsidRPr="00EC3CB1">
        <w:rPr>
          <w:rFonts w:ascii="Times New Roman" w:hAnsi="Times New Roman" w:cs="Times New Roman"/>
          <w:bCs/>
          <w:i/>
          <w:sz w:val="24"/>
          <w:szCs w:val="24"/>
          <w:lang w:val="es-CO"/>
        </w:rPr>
        <w:t>An index-event bias</w:t>
      </w:r>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bCs/>
          <w:lang w:val="es-CO"/>
        </w:rPr>
      </w:pPr>
    </w:p>
    <w:p w14:paraId="63ACBDAD" w14:textId="74F58AF5" w:rsidR="00BE4189" w:rsidRDefault="00BE4189" w:rsidP="00BE4189">
      <w:pPr>
        <w:jc w:val="both"/>
        <w:rPr>
          <w:bCs/>
          <w:lang w:val="es-CO"/>
        </w:rPr>
      </w:pPr>
    </w:p>
    <w:p w14:paraId="0AE0D58A" w14:textId="37E5F3EA" w:rsidR="00BE4189" w:rsidRDefault="00BE4189" w:rsidP="00BE4189">
      <w:pPr>
        <w:jc w:val="both"/>
        <w:rPr>
          <w:bCs/>
          <w:lang w:val="es-CO"/>
        </w:rPr>
      </w:pPr>
    </w:p>
    <w:p w14:paraId="0BCB1EBE" w14:textId="0A67247C" w:rsidR="00BE4189" w:rsidRDefault="00BE4189" w:rsidP="00BE4189">
      <w:pPr>
        <w:jc w:val="both"/>
        <w:rPr>
          <w:bCs/>
          <w:lang w:val="es-CO"/>
        </w:rPr>
      </w:pPr>
    </w:p>
    <w:p w14:paraId="31EF6B23" w14:textId="48EDD922" w:rsidR="00BE4189" w:rsidRDefault="00BE4189" w:rsidP="00BE4189">
      <w:pPr>
        <w:jc w:val="both"/>
        <w:rPr>
          <w:bCs/>
          <w:lang w:val="es-CO"/>
        </w:rPr>
      </w:pPr>
    </w:p>
    <w:p w14:paraId="67AFC8C3" w14:textId="5DB5D1C1" w:rsidR="00BE4189" w:rsidRDefault="00BE4189" w:rsidP="00BE4189">
      <w:pPr>
        <w:jc w:val="both"/>
        <w:rPr>
          <w:bCs/>
          <w:lang w:val="es-CO"/>
        </w:rPr>
      </w:pPr>
    </w:p>
    <w:p w14:paraId="233CCF0D" w14:textId="6EDFFBD0" w:rsidR="00BE4189" w:rsidRDefault="00BE4189" w:rsidP="00BE4189">
      <w:pPr>
        <w:jc w:val="both"/>
        <w:rPr>
          <w:bCs/>
          <w:lang w:val="es-CO"/>
        </w:rPr>
      </w:pPr>
    </w:p>
    <w:p w14:paraId="21CC4F74" w14:textId="3610D667" w:rsidR="00BE4189" w:rsidRDefault="00BE4189" w:rsidP="00BE4189">
      <w:pPr>
        <w:jc w:val="both"/>
        <w:rPr>
          <w:bCs/>
          <w:lang w:val="es-CO"/>
        </w:rPr>
      </w:pPr>
    </w:p>
    <w:p w14:paraId="3EFE0F46" w14:textId="77777777" w:rsidR="00BE4189" w:rsidRDefault="00BE4189" w:rsidP="00BE4189">
      <w:pPr>
        <w:jc w:val="both"/>
        <w:rPr>
          <w:bCs/>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of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b/>
          <w:bCs/>
          <w:lang w:eastAsia="es-ES"/>
        </w:rPr>
      </w:pPr>
    </w:p>
    <w:p w14:paraId="19D60EB5" w14:textId="2BAB33AF" w:rsidR="00BE4189" w:rsidRPr="00BE4189" w:rsidRDefault="00BE4189" w:rsidP="00BE4189">
      <w:pPr>
        <w:rPr>
          <w:lang w:val="en-US" w:eastAsia="es-ES"/>
        </w:rPr>
      </w:pPr>
      <w:r w:rsidRPr="00BE4189">
        <w:rPr>
          <w:b/>
          <w:bCs/>
          <w:lang w:eastAsia="es-ES"/>
        </w:rPr>
        <w:t>1. Contexto:</w:t>
      </w:r>
    </w:p>
    <w:p w14:paraId="124EDA3E" w14:textId="77777777" w:rsidR="00BE4189" w:rsidRDefault="00BE4189" w:rsidP="00BE4189">
      <w:pPr>
        <w:rPr>
          <w:lang w:eastAsia="es-ES"/>
        </w:rPr>
      </w:pPr>
    </w:p>
    <w:p w14:paraId="6E52F9FF" w14:textId="339CD2D0" w:rsidR="00BE4189" w:rsidRDefault="00BE4189" w:rsidP="00BE4189">
      <w:pPr>
        <w:rPr>
          <w:lang w:val="en-US" w:eastAsia="es-ES"/>
        </w:rPr>
      </w:pPr>
      <w:r w:rsidRPr="00BE4189">
        <w:rPr>
          <w:lang w:eastAsia="es-ES"/>
        </w:rPr>
        <w:t xml:space="preserve">Si bien los avances en tecnología médica han contribuido a incrementar el </w:t>
      </w:r>
      <w:proofErr w:type="spellStart"/>
      <w:r w:rsidRPr="00BE4189">
        <w:rPr>
          <w:lang w:eastAsia="es-ES"/>
        </w:rPr>
        <w:t>nùmero</w:t>
      </w:r>
      <w:proofErr w:type="spellEnd"/>
      <w:r w:rsidRPr="00BE4189">
        <w:rPr>
          <w:lang w:eastAsia="es-ES"/>
        </w:rPr>
        <w:t xml:space="preserve"> de supervivientes a la enfermedad crítica, algunos pacientes requieren cuidados intensivos prolongados.</w:t>
      </w:r>
      <w:r w:rsidRPr="00BE4189">
        <w:rPr>
          <w:lang w:eastAsia="es-ES"/>
        </w:rPr>
        <w:br/>
      </w:r>
      <w:r w:rsidRPr="00BE4189">
        <w:rPr>
          <w:lang w:eastAsia="es-ES"/>
        </w:rPr>
        <w:br/>
        <w:t>El vacío es el siguiente: la información sobre el resultado de pacientes con enfermedades críticas crónicas es precaria.</w:t>
      </w:r>
      <w:r w:rsidRPr="00BE4189">
        <w:rPr>
          <w:lang w:eastAsia="es-ES"/>
        </w:rPr>
        <w:br/>
      </w:r>
      <w:r w:rsidRPr="00BE4189">
        <w:rPr>
          <w:lang w:eastAsia="es-ES"/>
        </w:rPr>
        <w:br/>
        <w:t>Wu et al. (2019) en su "</w:t>
      </w:r>
      <w:proofErr w:type="spellStart"/>
      <w:r w:rsidRPr="00BE4189">
        <w:rPr>
          <w:lang w:eastAsia="es-ES"/>
        </w:rPr>
        <w:t>Characteristics</w:t>
      </w:r>
      <w:proofErr w:type="spellEnd"/>
      <w:r w:rsidRPr="00BE4189">
        <w:rPr>
          <w:lang w:eastAsia="es-ES"/>
        </w:rPr>
        <w:t xml:space="preserve"> of and </w:t>
      </w:r>
      <w:proofErr w:type="spellStart"/>
      <w:r w:rsidRPr="00BE4189">
        <w:rPr>
          <w:lang w:eastAsia="es-ES"/>
        </w:rPr>
        <w:t>Important</w:t>
      </w:r>
      <w:proofErr w:type="spellEnd"/>
      <w:r w:rsidRPr="00BE4189">
        <w:rPr>
          <w:lang w:eastAsia="es-ES"/>
        </w:rPr>
        <w:t xml:space="preserve"> </w:t>
      </w:r>
      <w:proofErr w:type="spellStart"/>
      <w:r w:rsidRPr="00BE4189">
        <w:rPr>
          <w:lang w:eastAsia="es-ES"/>
        </w:rPr>
        <w:t>Lessons</w:t>
      </w:r>
      <w:proofErr w:type="spellEnd"/>
      <w:r w:rsidRPr="00BE4189">
        <w:rPr>
          <w:lang w:eastAsia="es-ES"/>
        </w:rPr>
        <w:t xml:space="preserve"> </w:t>
      </w:r>
      <w:proofErr w:type="spellStart"/>
      <w:r w:rsidRPr="00BE4189">
        <w:rPr>
          <w:lang w:eastAsia="es-ES"/>
        </w:rPr>
        <w:t>from</w:t>
      </w:r>
      <w:proofErr w:type="spellEnd"/>
      <w:r w:rsidRPr="00BE4189">
        <w:rPr>
          <w:lang w:eastAsia="es-ES"/>
        </w:rPr>
        <w:t xml:space="preserve"> </w:t>
      </w:r>
      <w:proofErr w:type="spellStart"/>
      <w:r w:rsidRPr="00BE4189">
        <w:rPr>
          <w:lang w:eastAsia="es-ES"/>
        </w:rPr>
        <w:t>the</w:t>
      </w:r>
      <w:proofErr w:type="spellEnd"/>
      <w:r w:rsidRPr="00BE4189">
        <w:rPr>
          <w:lang w:eastAsia="es-ES"/>
        </w:rPr>
        <w:t xml:space="preserve"> COVID-19" registra que más del 5% de los </w:t>
      </w:r>
      <w:proofErr w:type="spellStart"/>
      <w:r w:rsidRPr="00BE4189">
        <w:rPr>
          <w:lang w:eastAsia="es-ES"/>
        </w:rPr>
        <w:t>pacientees</w:t>
      </w:r>
      <w:proofErr w:type="spellEnd"/>
      <w:r w:rsidRPr="00BE4189">
        <w:rPr>
          <w:lang w:eastAsia="es-ES"/>
        </w:rPr>
        <w:t xml:space="preserve"> por COVID-19 requieren UCI.</w:t>
      </w:r>
      <w:r w:rsidRPr="00BE4189">
        <w:rPr>
          <w:lang w:eastAsia="es-ES"/>
        </w:rPr>
        <w:br/>
      </w:r>
      <w:r w:rsidRPr="00BE4189">
        <w:rPr>
          <w:lang w:eastAsia="es-ES"/>
        </w:rPr>
        <w:br/>
        <w:t xml:space="preserve">Nótese que la terapia prolongada en UCI puede ser comúnmente observada en pacientes que requieren ventilación mecánica. [2, 10]. Las siguientes investigaciones consideran </w:t>
      </w:r>
      <w:proofErr w:type="spellStart"/>
      <w:r w:rsidRPr="00BE4189">
        <w:rPr>
          <w:lang w:eastAsia="es-ES"/>
        </w:rPr>
        <w:t>consideran</w:t>
      </w:r>
      <w:proofErr w:type="spellEnd"/>
      <w:r w:rsidRPr="00BE4189">
        <w:rPr>
          <w:lang w:eastAsia="es-ES"/>
        </w:rPr>
        <w:t xml:space="preserve"> </w:t>
      </w:r>
      <w:proofErr w:type="gramStart"/>
      <w:r w:rsidRPr="00BE4189">
        <w:rPr>
          <w:lang w:eastAsia="es-ES"/>
        </w:rPr>
        <w:t>las estancia prolongada</w:t>
      </w:r>
      <w:proofErr w:type="gramEnd"/>
      <w:r w:rsidRPr="00BE4189">
        <w:rPr>
          <w:lang w:eastAsia="es-ES"/>
        </w:rPr>
        <w:t xml:space="preserve"> en UCI: </w:t>
      </w:r>
      <w:r w:rsidRPr="00BE4189">
        <w:rPr>
          <w:lang w:eastAsia="es-ES"/>
        </w:rPr>
        <w:br/>
      </w:r>
      <w:r w:rsidRPr="00BE4189">
        <w:rPr>
          <w:lang w:eastAsia="es-ES"/>
        </w:rPr>
        <w:br/>
        <w:t xml:space="preserve">[2] </w:t>
      </w:r>
      <w:proofErr w:type="spellStart"/>
      <w:r w:rsidRPr="00BE4189">
        <w:rPr>
          <w:lang w:eastAsia="es-ES"/>
        </w:rPr>
        <w:t>Roedl</w:t>
      </w:r>
      <w:proofErr w:type="spellEnd"/>
      <w:r w:rsidRPr="00BE4189">
        <w:rPr>
          <w:lang w:eastAsia="es-ES"/>
        </w:rPr>
        <w:t xml:space="preserve"> et al. </w:t>
      </w:r>
      <w:r w:rsidRPr="00BE4189">
        <w:rPr>
          <w:lang w:val="en-US" w:eastAsia="es-ES"/>
        </w:rPr>
        <w:t xml:space="preserve">(2020). Mechanical ventilation and mortality among 223 </w:t>
      </w:r>
      <w:proofErr w:type="spellStart"/>
      <w:r w:rsidRPr="00BE4189">
        <w:rPr>
          <w:lang w:val="en-US" w:eastAsia="es-ES"/>
        </w:rPr>
        <w:t>critcally</w:t>
      </w:r>
      <w:proofErr w:type="spellEnd"/>
      <w:r w:rsidRPr="00BE4189">
        <w:rPr>
          <w:lang w:val="en-US" w:eastAsia="es-ES"/>
        </w:rPr>
        <w:t xml:space="preserve"> ill patients with COVID-19.</w:t>
      </w:r>
      <w:r w:rsidRPr="00BE4189">
        <w:rPr>
          <w:lang w:val="en-US" w:eastAsia="es-ES"/>
        </w:rPr>
        <w:br/>
        <w:t xml:space="preserve">[10] </w:t>
      </w:r>
      <w:proofErr w:type="spellStart"/>
      <w:r w:rsidRPr="00BE4189">
        <w:rPr>
          <w:lang w:val="en-US" w:eastAsia="es-ES"/>
        </w:rPr>
        <w:t>Gamberini</w:t>
      </w:r>
      <w:proofErr w:type="spellEnd"/>
      <w:r w:rsidRPr="00BE4189">
        <w:rPr>
          <w:lang w:val="en-US" w:eastAsia="es-ES"/>
        </w:rPr>
        <w:t xml:space="preserve"> et al. (2019). Factors influencing liberation from mechanical ventilation in COVID-19.</w:t>
      </w:r>
      <w:r w:rsidRPr="00BE4189">
        <w:rPr>
          <w:lang w:val="en-US" w:eastAsia="es-ES"/>
        </w:rPr>
        <w:br/>
      </w:r>
      <w:r w:rsidRPr="00BE4189">
        <w:rPr>
          <w:lang w:val="en-US" w:eastAsia="es-ES"/>
        </w:rPr>
        <w:br/>
      </w:r>
      <w:r w:rsidRPr="00BE4189">
        <w:rPr>
          <w:lang w:eastAsia="es-ES"/>
        </w:rPr>
        <w:t xml:space="preserve">El cuidado de pacientes enfermos críticos ha mejorado substancialmente durante las últimas </w:t>
      </w:r>
      <w:proofErr w:type="spellStart"/>
      <w:r w:rsidRPr="00BE4189">
        <w:rPr>
          <w:lang w:eastAsia="es-ES"/>
        </w:rPr>
        <w:t>decadas</w:t>
      </w:r>
      <w:proofErr w:type="spellEnd"/>
      <w:r w:rsidRPr="00BE4189">
        <w:rPr>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lang w:eastAsia="es-ES"/>
        </w:rPr>
        <w:t>chronically</w:t>
      </w:r>
      <w:proofErr w:type="spellEnd"/>
      <w:r w:rsidRPr="00BE4189">
        <w:rPr>
          <w:lang w:eastAsia="es-ES"/>
        </w:rPr>
        <w:t xml:space="preserve"> </w:t>
      </w:r>
      <w:proofErr w:type="spellStart"/>
      <w:r w:rsidRPr="00BE4189">
        <w:rPr>
          <w:lang w:eastAsia="es-ES"/>
        </w:rPr>
        <w:t>critcally</w:t>
      </w:r>
      <w:proofErr w:type="spellEnd"/>
      <w:r w:rsidRPr="00BE4189">
        <w:rPr>
          <w:lang w:eastAsia="es-ES"/>
        </w:rPr>
        <w:t xml:space="preserve"> </w:t>
      </w:r>
      <w:proofErr w:type="spellStart"/>
      <w:r w:rsidRPr="00BE4189">
        <w:rPr>
          <w:lang w:eastAsia="es-ES"/>
        </w:rPr>
        <w:t>ill</w:t>
      </w:r>
      <w:proofErr w:type="spellEnd"/>
      <w:r w:rsidRPr="00BE4189">
        <w:rPr>
          <w:lang w:eastAsia="es-ES"/>
        </w:rPr>
        <w:t>" (</w:t>
      </w:r>
      <w:proofErr w:type="spellStart"/>
      <w:r w:rsidRPr="00BE4189">
        <w:rPr>
          <w:lang w:eastAsia="es-ES"/>
        </w:rPr>
        <w:t>Kahn</w:t>
      </w:r>
      <w:proofErr w:type="spellEnd"/>
      <w:r w:rsidRPr="00BE4189">
        <w:rPr>
          <w:lang w:eastAsia="es-ES"/>
        </w:rPr>
        <w:t xml:space="preserve"> et al., 2015. </w:t>
      </w:r>
      <w:r w:rsidRPr="00BE4189">
        <w:rPr>
          <w:lang w:val="en-US" w:eastAsia="es-ES"/>
        </w:rPr>
        <w:t xml:space="preserve">The Epidemiology of Chronic Critical Illness in the US; Nelson et al., 1985.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 xml:space="preserve">: </w:t>
      </w:r>
      <w:proofErr w:type="gramStart"/>
      <w:r w:rsidRPr="00BE4189">
        <w:rPr>
          <w:lang w:eastAsia="es-ES"/>
        </w:rPr>
        <w:t xml:space="preserve">To </w:t>
      </w:r>
      <w:proofErr w:type="spellStart"/>
      <w:r w:rsidRPr="00BE4189">
        <w:rPr>
          <w:lang w:eastAsia="es-ES"/>
        </w:rPr>
        <w:t>save</w:t>
      </w:r>
      <w:proofErr w:type="spellEnd"/>
      <w:r w:rsidRPr="00BE4189">
        <w:rPr>
          <w:lang w:eastAsia="es-ES"/>
        </w:rPr>
        <w:t xml:space="preserve"> </w:t>
      </w:r>
      <w:proofErr w:type="spellStart"/>
      <w:r w:rsidRPr="00BE4189">
        <w:rPr>
          <w:lang w:eastAsia="es-ES"/>
        </w:rPr>
        <w:t>or</w:t>
      </w:r>
      <w:proofErr w:type="spellEnd"/>
      <w:r w:rsidRPr="00BE4189">
        <w:rPr>
          <w:lang w:eastAsia="es-ES"/>
        </w:rPr>
        <w:t xml:space="preserve"> </w:t>
      </w:r>
      <w:proofErr w:type="spellStart"/>
      <w:r w:rsidRPr="00BE4189">
        <w:rPr>
          <w:lang w:eastAsia="es-ES"/>
        </w:rPr>
        <w:t>let</w:t>
      </w:r>
      <w:proofErr w:type="spellEnd"/>
      <w:r w:rsidRPr="00BE4189">
        <w:rPr>
          <w:lang w:eastAsia="es-ES"/>
        </w:rPr>
        <w:t xml:space="preserve"> die?</w:t>
      </w:r>
      <w:proofErr w:type="gramEnd"/>
      <w:r w:rsidRPr="00BE4189">
        <w:rPr>
          <w:lang w:eastAsia="es-ES"/>
        </w:rPr>
        <w:t>).</w:t>
      </w:r>
      <w:r w:rsidRPr="00BE4189">
        <w:rPr>
          <w:lang w:eastAsia="es-ES"/>
        </w:rPr>
        <w:br/>
      </w:r>
      <w:r w:rsidRPr="00BE4189">
        <w:rPr>
          <w:lang w:eastAsia="es-ES"/>
        </w:rPr>
        <w:br/>
        <w:t xml:space="preserve">Los pacientes con una enfermedad crítica crónica ni se recuperan ni mueren y dependen de tratamientos de cuidados intensivos gracias a su </w:t>
      </w:r>
      <w:proofErr w:type="spellStart"/>
      <w:r w:rsidRPr="00BE4189">
        <w:rPr>
          <w:lang w:eastAsia="es-ES"/>
        </w:rPr>
        <w:t>persistent</w:t>
      </w:r>
      <w:proofErr w:type="spellEnd"/>
      <w:r w:rsidRPr="00BE4189">
        <w:rPr>
          <w:lang w:eastAsia="es-ES"/>
        </w:rPr>
        <w:t xml:space="preserve"> </w:t>
      </w:r>
      <w:proofErr w:type="spellStart"/>
      <w:r w:rsidRPr="00BE4189">
        <w:rPr>
          <w:lang w:eastAsia="es-ES"/>
        </w:rPr>
        <w:t>organ</w:t>
      </w:r>
      <w:proofErr w:type="spellEnd"/>
      <w:r w:rsidRPr="00BE4189">
        <w:rPr>
          <w:lang w:eastAsia="es-ES"/>
        </w:rPr>
        <w:t xml:space="preserve"> </w:t>
      </w:r>
      <w:proofErr w:type="spellStart"/>
      <w:r w:rsidRPr="00BE4189">
        <w:rPr>
          <w:lang w:eastAsia="es-ES"/>
        </w:rPr>
        <w:t>dysfunction</w:t>
      </w:r>
      <w:proofErr w:type="spellEnd"/>
      <w:r w:rsidRPr="00BE4189">
        <w:rPr>
          <w:lang w:eastAsia="es-ES"/>
        </w:rPr>
        <w:t xml:space="preserve">. (Maguire et al., 2013. </w:t>
      </w:r>
      <w:proofErr w:type="spellStart"/>
      <w:r w:rsidRPr="00BE4189">
        <w:rPr>
          <w:lang w:eastAsia="es-ES"/>
        </w:rPr>
        <w:t>Strategies</w:t>
      </w:r>
      <w:proofErr w:type="spellEnd"/>
      <w:r w:rsidRPr="00BE4189">
        <w:rPr>
          <w:lang w:eastAsia="es-ES"/>
        </w:rPr>
        <w:t xml:space="preserve"> to </w:t>
      </w:r>
      <w:proofErr w:type="spellStart"/>
      <w:r w:rsidRPr="00BE4189">
        <w:rPr>
          <w:lang w:eastAsia="es-ES"/>
        </w:rPr>
        <w:t>combat</w:t>
      </w:r>
      <w:proofErr w:type="spellEnd"/>
      <w:r w:rsidRPr="00BE4189">
        <w:rPr>
          <w:lang w:eastAsia="es-ES"/>
        </w:rPr>
        <w:t xml:space="preserve">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w:t>
      </w:r>
      <w:r w:rsidRPr="00BE4189">
        <w:rPr>
          <w:lang w:eastAsia="es-ES"/>
        </w:rPr>
        <w:br/>
      </w:r>
      <w:r w:rsidRPr="00BE4189">
        <w:rPr>
          <w:lang w:eastAsia="es-ES"/>
        </w:rPr>
        <w:br/>
        <w:t xml:space="preserve">Como señalan </w:t>
      </w:r>
      <w:proofErr w:type="spellStart"/>
      <w:r w:rsidRPr="00BE4189">
        <w:rPr>
          <w:lang w:eastAsia="es-ES"/>
        </w:rPr>
        <w:t>Roedl</w:t>
      </w:r>
      <w:proofErr w:type="spellEnd"/>
      <w:r w:rsidRPr="00BE4189">
        <w:rPr>
          <w:lang w:eastAsia="es-ES"/>
        </w:rPr>
        <w:t xml:space="preserve"> et al. (2022), en virtud de la heterogeneidad de los pacientes con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 xml:space="preserve"> (CCI), no existe un umbral definitivo. No </w:t>
      </w:r>
      <w:proofErr w:type="spellStart"/>
      <w:r w:rsidRPr="00BE4189">
        <w:rPr>
          <w:lang w:eastAsia="es-ES"/>
        </w:rPr>
        <w:t>obstane</w:t>
      </w:r>
      <w:proofErr w:type="spellEnd"/>
      <w:r w:rsidRPr="00BE4189">
        <w:rPr>
          <w:lang w:eastAsia="es-ES"/>
        </w:rPr>
        <w:t xml:space="preserve">, muchos estudios emplean un umbral de 21 días (v.gr.: Maguire et al., 2013. </w:t>
      </w:r>
      <w:proofErr w:type="spellStart"/>
      <w:r w:rsidRPr="00BE4189">
        <w:rPr>
          <w:lang w:eastAsia="es-ES"/>
        </w:rPr>
        <w:t>Strategies</w:t>
      </w:r>
      <w:proofErr w:type="spellEnd"/>
      <w:r w:rsidRPr="00BE4189">
        <w:rPr>
          <w:lang w:eastAsia="es-ES"/>
        </w:rPr>
        <w:t xml:space="preserve"> to </w:t>
      </w:r>
      <w:proofErr w:type="spellStart"/>
      <w:r w:rsidRPr="00BE4189">
        <w:rPr>
          <w:lang w:eastAsia="es-ES"/>
        </w:rPr>
        <w:t>combat</w:t>
      </w:r>
      <w:proofErr w:type="spellEnd"/>
      <w:r w:rsidRPr="00BE4189">
        <w:rPr>
          <w:lang w:eastAsia="es-ES"/>
        </w:rPr>
        <w:t xml:space="preserve">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w:t>
      </w:r>
      <w:r w:rsidRPr="00BE4189">
        <w:rPr>
          <w:lang w:eastAsia="es-ES"/>
        </w:rPr>
        <w:br/>
      </w:r>
      <w:r w:rsidRPr="00BE4189">
        <w:rPr>
          <w:lang w:eastAsia="es-ES"/>
        </w:rPr>
        <w:br/>
        <w:t xml:space="preserve">El asunto de los recursos limitados se torna controversial cuando se consideran pacientes con estancias prolongadas en UCI (Nelson et al. </w:t>
      </w:r>
      <w:r w:rsidRPr="00BE4189">
        <w:rPr>
          <w:lang w:val="en-US" w:eastAsia="es-ES"/>
        </w:rPr>
        <w:t xml:space="preserve">(supra), </w:t>
      </w:r>
      <w:proofErr w:type="spellStart"/>
      <w:r w:rsidRPr="00BE4189">
        <w:rPr>
          <w:lang w:val="en-US" w:eastAsia="es-ES"/>
        </w:rPr>
        <w:t>Marchioni</w:t>
      </w:r>
      <w:proofErr w:type="spellEnd"/>
      <w:r w:rsidRPr="00BE4189">
        <w:rPr>
          <w:lang w:val="en-US" w:eastAsia="es-ES"/>
        </w:rPr>
        <w:t xml:space="preserve"> et al., 2013. Chronic Critical Illness: The price of survival; Valentin, 2017. Intensive care medicine-survival; </w:t>
      </w:r>
      <w:proofErr w:type="spellStart"/>
      <w:r w:rsidRPr="00BE4189">
        <w:rPr>
          <w:lang w:val="en-US" w:eastAsia="es-ES"/>
        </w:rPr>
        <w:t>Roedl</w:t>
      </w:r>
      <w:proofErr w:type="spellEnd"/>
      <w:r w:rsidRPr="00BE4189">
        <w:rPr>
          <w:lang w:val="en-US" w:eastAsia="es-ES"/>
        </w:rPr>
        <w:t xml:space="preserve"> et al., </w:t>
      </w:r>
      <w:r w:rsidRPr="00BE4189">
        <w:rPr>
          <w:lang w:val="en-US" w:eastAsia="es-ES"/>
        </w:rPr>
        <w:lastRenderedPageBreak/>
        <w:t xml:space="preserve">2019. The Chronic ICU patient: is intensive care worthwhile for prolonged ICU-stay?) </w:t>
      </w:r>
      <w:r w:rsidRPr="00BE4189">
        <w:rPr>
          <w:lang w:eastAsia="es-ES"/>
        </w:rPr>
        <w:t xml:space="preserve">(véase. por ejemplo, </w:t>
      </w:r>
      <w:r w:rsidRPr="00BE4189">
        <w:rPr>
          <w:lang w:eastAsia="es-ES"/>
        </w:rPr>
        <w:br/>
      </w:r>
      <w:r w:rsidRPr="00BE4189">
        <w:rPr>
          <w:lang w:eastAsia="es-ES"/>
        </w:rPr>
        <w:br/>
      </w:r>
      <w:r w:rsidRPr="00BE4189">
        <w:rPr>
          <w:b/>
          <w:bCs/>
          <w:lang w:eastAsia="es-ES"/>
        </w:rPr>
        <w:t xml:space="preserve">2. Objetivo: </w:t>
      </w:r>
      <w:r w:rsidRPr="00BE4189">
        <w:rPr>
          <w:lang w:eastAsia="es-ES"/>
        </w:rPr>
        <w:t>investigar la ocurrencia, las características y resultados de pacientes con CCI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 y COVID-19 en UCI.</w:t>
      </w:r>
      <w:r w:rsidRPr="00BE4189">
        <w:rPr>
          <w:b/>
          <w:bCs/>
          <w:lang w:eastAsia="es-ES"/>
        </w:rPr>
        <w:br/>
      </w:r>
      <w:r w:rsidRPr="00BE4189">
        <w:rPr>
          <w:b/>
          <w:bCs/>
          <w:lang w:eastAsia="es-ES"/>
        </w:rPr>
        <w:br/>
        <w:t>3. Información</w:t>
      </w:r>
      <w:r w:rsidRPr="00BE4189">
        <w:rPr>
          <w:b/>
          <w:bCs/>
          <w:lang w:eastAsia="es-ES"/>
        </w:rPr>
        <w:br/>
      </w:r>
      <w:r w:rsidRPr="00BE4189">
        <w:rPr>
          <w:lang w:eastAsia="es-ES"/>
        </w:rPr>
        <w:t xml:space="preserve">El estudio considera un conjunto de adultos en estado crítica en el Departamento de Medicina de Cuidados Intensivos en la Universidad </w:t>
      </w:r>
      <w:proofErr w:type="spellStart"/>
      <w:r w:rsidRPr="00BE4189">
        <w:rPr>
          <w:lang w:eastAsia="es-ES"/>
        </w:rPr>
        <w:t>Hamburg-Eppendorf</w:t>
      </w:r>
      <w:proofErr w:type="spellEnd"/>
      <w:r w:rsidRPr="00BE4189">
        <w:rPr>
          <w:lang w:eastAsia="es-ES"/>
        </w:rPr>
        <w:t xml:space="preserve">. El período de </w:t>
      </w:r>
      <w:proofErr w:type="spellStart"/>
      <w:r w:rsidRPr="00BE4189">
        <w:rPr>
          <w:lang w:eastAsia="es-ES"/>
        </w:rPr>
        <w:t>anñálisis</w:t>
      </w:r>
      <w:proofErr w:type="spellEnd"/>
      <w:r w:rsidRPr="00BE4189">
        <w:rPr>
          <w:lang w:eastAsia="es-ES"/>
        </w:rPr>
        <w:t xml:space="preserve"> es desde 1 marzo del 2020 hasta el 8 de agosto de 2021.</w:t>
      </w:r>
      <w:r w:rsidRPr="00BE4189">
        <w:rPr>
          <w:lang w:eastAsia="es-ES"/>
        </w:rPr>
        <w:br/>
      </w:r>
      <w:r w:rsidRPr="00BE4189">
        <w:rPr>
          <w:lang w:eastAsia="es-ES"/>
        </w:rPr>
        <w:br/>
        <w:t xml:space="preserve">Se consideran todos los pacientes mayores de 18 años con COVID-19 confirmados </w:t>
      </w:r>
      <w:r w:rsidRPr="00BE4189">
        <w:rPr>
          <w:lang w:eastAsia="es-ES"/>
        </w:rPr>
        <w:br/>
      </w:r>
      <w:r w:rsidRPr="00BE4189">
        <w:rPr>
          <w:lang w:eastAsia="es-ES"/>
        </w:rPr>
        <w:br/>
      </w:r>
      <w:r w:rsidRPr="00BE4189">
        <w:rPr>
          <w:b/>
          <w:bCs/>
          <w:lang w:eastAsia="es-ES"/>
        </w:rPr>
        <w:br/>
        <w:t xml:space="preserve">4. Metodología: </w:t>
      </w:r>
      <w:r w:rsidRPr="00BE4189">
        <w:rPr>
          <w:b/>
          <w:bCs/>
          <w:lang w:eastAsia="es-ES"/>
        </w:rPr>
        <w:br/>
      </w:r>
      <w:r w:rsidRPr="00BE4189">
        <w:rPr>
          <w:lang w:eastAsia="es-ES"/>
        </w:rPr>
        <w:t>Se consideran los siguientes métodos:</w:t>
      </w:r>
      <w:r w:rsidRPr="00BE4189">
        <w:rPr>
          <w:lang w:eastAsia="es-ES"/>
        </w:rPr>
        <w:br/>
      </w:r>
      <w:r w:rsidRPr="00BE4189">
        <w:rPr>
          <w:lang w:eastAsia="es-ES"/>
        </w:rPr>
        <w:br/>
        <w:t xml:space="preserve">Primero, se define (siguiendo a </w:t>
      </w:r>
      <w:proofErr w:type="spellStart"/>
      <w:r w:rsidRPr="00BE4189">
        <w:rPr>
          <w:lang w:eastAsia="es-ES"/>
        </w:rPr>
        <w:t>Maguire</w:t>
      </w:r>
      <w:proofErr w:type="spellEnd"/>
      <w:r w:rsidRPr="00BE4189">
        <w:rPr>
          <w:lang w:eastAsia="es-ES"/>
        </w:rPr>
        <w:t xml:space="preserve">) la </w:t>
      </w:r>
      <w:proofErr w:type="spellStart"/>
      <w:r w:rsidRPr="00BE4189">
        <w:rPr>
          <w:lang w:eastAsia="es-ES"/>
        </w:rPr>
        <w:t>Chronic</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 xml:space="preserve"> (CCI) como una terapia continua de cuidado intensivo que supera los 21 días en una UCI. Adicionalmente, se consideran las siguientes covariables: la severidad de la </w:t>
      </w:r>
      <w:proofErr w:type="spellStart"/>
      <w:r w:rsidRPr="00BE4189">
        <w:rPr>
          <w:lang w:eastAsia="es-ES"/>
        </w:rPr>
        <w:t>Acute</w:t>
      </w:r>
      <w:proofErr w:type="spellEnd"/>
      <w:r w:rsidRPr="00BE4189">
        <w:rPr>
          <w:lang w:eastAsia="es-ES"/>
        </w:rPr>
        <w:t xml:space="preserve"> </w:t>
      </w:r>
      <w:proofErr w:type="spellStart"/>
      <w:r w:rsidRPr="00BE4189">
        <w:rPr>
          <w:lang w:eastAsia="es-ES"/>
        </w:rPr>
        <w:t>Respiratory</w:t>
      </w:r>
      <w:proofErr w:type="spellEnd"/>
      <w:r w:rsidRPr="00BE4189">
        <w:rPr>
          <w:lang w:eastAsia="es-ES"/>
        </w:rPr>
        <w:t xml:space="preserve"> </w:t>
      </w:r>
      <w:proofErr w:type="spellStart"/>
      <w:r w:rsidRPr="00BE4189">
        <w:rPr>
          <w:lang w:eastAsia="es-ES"/>
        </w:rPr>
        <w:t>Distress</w:t>
      </w:r>
      <w:proofErr w:type="spellEnd"/>
      <w:r w:rsidRPr="00BE4189">
        <w:rPr>
          <w:lang w:eastAsia="es-ES"/>
        </w:rPr>
        <w:t xml:space="preserve"> </w:t>
      </w:r>
      <w:proofErr w:type="spellStart"/>
      <w:r w:rsidRPr="00BE4189">
        <w:rPr>
          <w:lang w:eastAsia="es-ES"/>
        </w:rPr>
        <w:t>Syndrome</w:t>
      </w:r>
      <w:proofErr w:type="spellEnd"/>
      <w:r w:rsidRPr="00BE4189">
        <w:rPr>
          <w:lang w:eastAsia="es-ES"/>
        </w:rPr>
        <w:t xml:space="preserve"> según el índice de Horowitz; la severidad según el SOFA; el SAPS II score; y el </w:t>
      </w:r>
      <w:proofErr w:type="spellStart"/>
      <w:r w:rsidRPr="00BE4189">
        <w:rPr>
          <w:lang w:eastAsia="es-ES"/>
        </w:rPr>
        <w:t>Charlson</w:t>
      </w:r>
      <w:proofErr w:type="spellEnd"/>
      <w:r w:rsidRPr="00BE4189">
        <w:rPr>
          <w:lang w:eastAsia="es-ES"/>
        </w:rPr>
        <w:t xml:space="preserve"> </w:t>
      </w:r>
      <w:proofErr w:type="spellStart"/>
      <w:r w:rsidRPr="00BE4189">
        <w:rPr>
          <w:lang w:eastAsia="es-ES"/>
        </w:rPr>
        <w:t>Comorbidity</w:t>
      </w:r>
      <w:proofErr w:type="spellEnd"/>
      <w:r w:rsidRPr="00BE4189">
        <w:rPr>
          <w:lang w:eastAsia="es-ES"/>
        </w:rPr>
        <w:t xml:space="preserve"> </w:t>
      </w:r>
      <w:proofErr w:type="spellStart"/>
      <w:r w:rsidRPr="00BE4189">
        <w:rPr>
          <w:lang w:eastAsia="es-ES"/>
        </w:rPr>
        <w:t>Index</w:t>
      </w:r>
      <w:proofErr w:type="spellEnd"/>
      <w:r w:rsidRPr="00BE4189">
        <w:rPr>
          <w:lang w:eastAsia="es-ES"/>
        </w:rPr>
        <w:t xml:space="preserve">. </w:t>
      </w:r>
      <w:r w:rsidRPr="00BE4189">
        <w:rPr>
          <w:lang w:eastAsia="es-ES"/>
        </w:rPr>
        <w:br/>
      </w:r>
      <w:r w:rsidRPr="00BE4189">
        <w:rPr>
          <w:lang w:eastAsia="es-ES"/>
        </w:rPr>
        <w:br/>
        <w:t>La</w:t>
      </w:r>
      <w:r>
        <w:rPr>
          <w:lang w:eastAsia="es-ES"/>
        </w:rPr>
        <w:t>s</w:t>
      </w:r>
      <w:r w:rsidRPr="00BE4189">
        <w:rPr>
          <w:lang w:eastAsia="es-ES"/>
        </w:rPr>
        <w:t xml:space="preserve"> funciones de supervivencia fueron estimadas usando el método de Kaplan-Meier y fueron comparadas según el log-</w:t>
      </w:r>
      <w:proofErr w:type="spellStart"/>
      <w:r w:rsidRPr="00BE4189">
        <w:rPr>
          <w:lang w:eastAsia="es-ES"/>
        </w:rPr>
        <w:t>rank</w:t>
      </w:r>
      <w:proofErr w:type="spellEnd"/>
      <w:r w:rsidRPr="00BE4189">
        <w:rPr>
          <w:lang w:eastAsia="es-ES"/>
        </w:rPr>
        <w:t xml:space="preserve"> test. (Nótese que, a partir del método de Kaplan-Meier, se estima la </w:t>
      </w:r>
      <w:proofErr w:type="spellStart"/>
      <w:r w:rsidRPr="00BE4189">
        <w:rPr>
          <w:lang w:eastAsia="es-ES"/>
        </w:rPr>
        <w:t>mortallidad</w:t>
      </w:r>
      <w:proofErr w:type="spellEnd"/>
      <w:r w:rsidRPr="00BE4189">
        <w:rPr>
          <w:lang w:eastAsia="es-ES"/>
        </w:rPr>
        <w:t xml:space="preserve"> de 90 días).</w:t>
      </w:r>
      <w:r w:rsidRPr="00BE4189">
        <w:rPr>
          <w:lang w:eastAsia="es-ES"/>
        </w:rPr>
        <w:br/>
      </w:r>
      <w:r w:rsidRPr="00BE4189">
        <w:rPr>
          <w:lang w:eastAsia="es-ES"/>
        </w:rPr>
        <w:br/>
        <w:t xml:space="preserve">Se emplea un modelo de regresión de Cox para evaluar los factores asociados con la mortalidad en pacientes con </w:t>
      </w:r>
      <w:proofErr w:type="spellStart"/>
      <w:r w:rsidRPr="00BE4189">
        <w:rPr>
          <w:lang w:eastAsia="es-ES"/>
        </w:rPr>
        <w:t>Chronical</w:t>
      </w:r>
      <w:proofErr w:type="spellEnd"/>
      <w:r w:rsidRPr="00BE4189">
        <w:rPr>
          <w:lang w:eastAsia="es-ES"/>
        </w:rPr>
        <w:t xml:space="preserve"> </w:t>
      </w:r>
      <w:proofErr w:type="spellStart"/>
      <w:r w:rsidRPr="00BE4189">
        <w:rPr>
          <w:lang w:eastAsia="es-ES"/>
        </w:rPr>
        <w:t>Critical</w:t>
      </w:r>
      <w:proofErr w:type="spellEnd"/>
      <w:r w:rsidRPr="00BE4189">
        <w:rPr>
          <w:lang w:eastAsia="es-ES"/>
        </w:rPr>
        <w:t xml:space="preserve"> </w:t>
      </w:r>
      <w:proofErr w:type="spellStart"/>
      <w:r w:rsidRPr="00BE4189">
        <w:rPr>
          <w:lang w:eastAsia="es-ES"/>
        </w:rPr>
        <w:t>Illness</w:t>
      </w:r>
      <w:proofErr w:type="spellEnd"/>
      <w:r w:rsidRPr="00BE4189">
        <w:rPr>
          <w:lang w:eastAsia="es-ES"/>
        </w:rPr>
        <w:t xml:space="preserve"> (CCI). (La selección de variables de interés está hecha de conformidad con la significancia estadística de los estimadores)</w:t>
      </w:r>
      <w:r w:rsidRPr="00BE4189">
        <w:rPr>
          <w:lang w:eastAsia="es-ES"/>
        </w:rPr>
        <w:br/>
      </w:r>
      <w:r w:rsidRPr="00BE4189">
        <w:rPr>
          <w:b/>
          <w:bCs/>
          <w:lang w:eastAsia="es-ES"/>
        </w:rPr>
        <w:br/>
        <w:t>5. Resultados:</w:t>
      </w:r>
      <w:r w:rsidRPr="00BE4189">
        <w:rPr>
          <w:b/>
          <w:bCs/>
          <w:lang w:eastAsia="es-ES"/>
        </w:rPr>
        <w:br/>
      </w:r>
      <w:r w:rsidRPr="00BE4189">
        <w:rPr>
          <w:lang w:eastAsia="es-ES"/>
        </w:rPr>
        <w:t>Considérese los siguientes resultados generales:</w:t>
      </w:r>
      <w:r w:rsidRPr="00BE4189">
        <w:rPr>
          <w:lang w:eastAsia="es-ES"/>
        </w:rPr>
        <w:br/>
      </w:r>
      <w:r w:rsidRPr="00BE4189">
        <w:rPr>
          <w:lang w:eastAsia="es-ES"/>
        </w:rPr>
        <w:br/>
      </w:r>
      <w:r w:rsidRPr="00BE4189">
        <w:rPr>
          <w:b/>
          <w:bCs/>
          <w:lang w:eastAsia="es-ES"/>
        </w:rPr>
        <w:t xml:space="preserve">- </w:t>
      </w:r>
      <w:r w:rsidRPr="00BE4189">
        <w:rPr>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lang w:eastAsia="es-ES"/>
        </w:rPr>
        <w:br/>
      </w:r>
      <w:r w:rsidRPr="00BE4189">
        <w:rPr>
          <w:lang w:eastAsia="es-ES"/>
        </w:rPr>
        <w:br/>
      </w:r>
      <w:r w:rsidRPr="00BE4189">
        <w:rPr>
          <w:b/>
          <w:bCs/>
          <w:lang w:eastAsia="es-ES"/>
        </w:rPr>
        <w:t xml:space="preserve">- </w:t>
      </w:r>
      <w:r w:rsidRPr="00BE4189">
        <w:rPr>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lang w:eastAsia="es-ES"/>
        </w:rPr>
        <w:t>mortality</w:t>
      </w:r>
      <w:proofErr w:type="spellEnd"/>
      <w:r w:rsidRPr="00BE4189">
        <w:rPr>
          <w:lang w:eastAsia="es-ES"/>
        </w:rPr>
        <w:t xml:space="preserve">); para el grupo B, el 28% murieron y también el 28% es la tasa de 90-day </w:t>
      </w:r>
      <w:proofErr w:type="spellStart"/>
      <w:r w:rsidRPr="00BE4189">
        <w:rPr>
          <w:lang w:eastAsia="es-ES"/>
        </w:rPr>
        <w:t>mortality</w:t>
      </w:r>
      <w:proofErr w:type="spellEnd"/>
      <w:r w:rsidRPr="00BE4189">
        <w:rPr>
          <w:lang w:eastAsia="es-ES"/>
        </w:rPr>
        <w:t>.</w:t>
      </w:r>
      <w:r w:rsidRPr="00BE4189">
        <w:rPr>
          <w:lang w:eastAsia="es-ES"/>
        </w:rPr>
        <w:br/>
      </w:r>
      <w:r w:rsidRPr="00BE4189">
        <w:rPr>
          <w:lang w:eastAsia="es-ES"/>
        </w:rPr>
        <w:br/>
      </w:r>
      <w:r w:rsidRPr="00BE4189">
        <w:rPr>
          <w:b/>
          <w:bCs/>
          <w:lang w:eastAsia="es-ES"/>
        </w:rPr>
        <w:t xml:space="preserve">- </w:t>
      </w:r>
      <w:r w:rsidRPr="00BE4189">
        <w:rPr>
          <w:lang w:eastAsia="es-ES"/>
        </w:rPr>
        <w:t>La duración mediana en UCI fue de 17 días (IQR: 6 - 36). Para los pacientes con CCI, de 33 (IQR: 23 - 50); para los pacientes sin CCI, de 7 días (IQR: 3-13).</w:t>
      </w:r>
      <w:r w:rsidRPr="00BE4189">
        <w:rPr>
          <w:lang w:eastAsia="es-ES"/>
        </w:rPr>
        <w:br/>
      </w:r>
      <w:r w:rsidRPr="00BE4189">
        <w:rPr>
          <w:lang w:eastAsia="es-ES"/>
        </w:rPr>
        <w:br/>
      </w:r>
      <w:r w:rsidRPr="00BE4189">
        <w:rPr>
          <w:b/>
          <w:bCs/>
          <w:lang w:eastAsia="es-ES"/>
        </w:rPr>
        <w:lastRenderedPageBreak/>
        <w:t>-</w:t>
      </w:r>
      <w:r w:rsidRPr="00BE4189">
        <w:rPr>
          <w:lang w:eastAsia="es-ES"/>
        </w:rPr>
        <w:t xml:space="preserve"> Las observaciones sobre factores de riesgo de la CCI son las siguientes: se presenta una regresión logística para los factores asociados con tres </w:t>
      </w:r>
      <w:proofErr w:type="spellStart"/>
      <w:r w:rsidRPr="00BE4189">
        <w:rPr>
          <w:lang w:eastAsia="es-ES"/>
        </w:rPr>
        <w:t>covariables</w:t>
      </w:r>
      <w:proofErr w:type="spellEnd"/>
      <w:r w:rsidRPr="00BE4189">
        <w:rPr>
          <w:lang w:eastAsia="es-ES"/>
        </w:rPr>
        <w:t xml:space="preserve">: ARDS, </w:t>
      </w:r>
      <w:proofErr w:type="spellStart"/>
      <w:r w:rsidRPr="00BE4189">
        <w:rPr>
          <w:lang w:eastAsia="es-ES"/>
        </w:rPr>
        <w:t>referral</w:t>
      </w:r>
      <w:proofErr w:type="spellEnd"/>
      <w:r w:rsidRPr="00BE4189">
        <w:rPr>
          <w:lang w:eastAsia="es-ES"/>
        </w:rPr>
        <w:t xml:space="preserve"> </w:t>
      </w:r>
      <w:proofErr w:type="spellStart"/>
      <w:r w:rsidRPr="00BE4189">
        <w:rPr>
          <w:lang w:eastAsia="es-ES"/>
        </w:rPr>
        <w:t>from</w:t>
      </w:r>
      <w:proofErr w:type="spellEnd"/>
      <w:r w:rsidRPr="00BE4189">
        <w:rPr>
          <w:lang w:eastAsia="es-ES"/>
        </w:rPr>
        <w:t xml:space="preserve"> </w:t>
      </w:r>
      <w:proofErr w:type="spellStart"/>
      <w:r w:rsidRPr="00BE4189">
        <w:rPr>
          <w:lang w:eastAsia="es-ES"/>
        </w:rPr>
        <w:t>another</w:t>
      </w:r>
      <w:proofErr w:type="spellEnd"/>
      <w:r w:rsidRPr="00BE4189">
        <w:rPr>
          <w:lang w:eastAsia="es-ES"/>
        </w:rPr>
        <w:t xml:space="preserve"> ICU and Age. Con base en el valor-p, se verifica que los dos primeros son factores importantes.</w:t>
      </w:r>
      <w:r w:rsidRPr="00BE4189">
        <w:rPr>
          <w:lang w:eastAsia="es-ES"/>
        </w:rPr>
        <w:br/>
      </w:r>
      <w:r w:rsidRPr="00BE4189">
        <w:rPr>
          <w:lang w:eastAsia="es-ES"/>
        </w:rPr>
        <w:br/>
      </w:r>
      <w:r w:rsidRPr="00BE4189">
        <w:rPr>
          <w:b/>
          <w:bCs/>
          <w:lang w:eastAsia="es-ES"/>
        </w:rPr>
        <w:t xml:space="preserve">- </w:t>
      </w:r>
      <w:r w:rsidRPr="00BE4189">
        <w:rPr>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lang w:eastAsia="es-ES"/>
        </w:rPr>
        <w:br/>
      </w:r>
      <w:r w:rsidRPr="00BE4189">
        <w:rPr>
          <w:lang w:eastAsia="es-ES"/>
        </w:rPr>
        <w:br/>
      </w:r>
      <w:r w:rsidRPr="00BE4189">
        <w:rPr>
          <w:b/>
          <w:bCs/>
          <w:lang w:eastAsia="es-ES"/>
        </w:rPr>
        <w:t xml:space="preserve">- </w:t>
      </w:r>
      <w:r w:rsidRPr="00BE4189">
        <w:rPr>
          <w:lang w:eastAsia="es-ES"/>
        </w:rPr>
        <w:t>Pacientes con CCI quienes sobrevivieron al UCI fueron descargados a planta en 60%, especializados en centro de rehabilitación pulmonar en 26%, otras UCI en 13% y cuidados de enfermería en 1%.</w:t>
      </w:r>
      <w:r w:rsidRPr="00BE4189">
        <w:rPr>
          <w:lang w:eastAsia="es-ES"/>
        </w:rPr>
        <w:br/>
      </w:r>
      <w:r w:rsidRPr="00BE4189">
        <w:rPr>
          <w:lang w:eastAsia="es-ES"/>
        </w:rPr>
        <w:br/>
      </w:r>
      <w:r w:rsidRPr="00BE4189">
        <w:rPr>
          <w:b/>
          <w:bCs/>
          <w:lang w:eastAsia="es-ES"/>
        </w:rPr>
        <w:t xml:space="preserve">- </w:t>
      </w:r>
      <w:r w:rsidRPr="00BE4189">
        <w:rPr>
          <w:lang w:eastAsia="es-ES"/>
        </w:rPr>
        <w:t xml:space="preserve">Este es el primer estudio que examina la frecuencia, las </w:t>
      </w:r>
      <w:proofErr w:type="spellStart"/>
      <w:r w:rsidRPr="00BE4189">
        <w:rPr>
          <w:lang w:eastAsia="es-ES"/>
        </w:rPr>
        <w:t>caravterísticas</w:t>
      </w:r>
      <w:proofErr w:type="spellEnd"/>
      <w:r w:rsidRPr="00BE4189">
        <w:rPr>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lang w:eastAsia="es-ES"/>
        </w:rPr>
        <w:br/>
      </w:r>
      <w:r w:rsidRPr="00BE4189">
        <w:rPr>
          <w:lang w:eastAsia="es-ES"/>
        </w:rPr>
        <w:br/>
      </w:r>
      <w:r w:rsidRPr="00BE4189">
        <w:rPr>
          <w:lang w:val="en-US" w:eastAsia="es-ES"/>
        </w:rPr>
        <w:t xml:space="preserve">- </w:t>
      </w:r>
      <w:proofErr w:type="spellStart"/>
      <w:r w:rsidRPr="00BE4189">
        <w:rPr>
          <w:lang w:val="en-US" w:eastAsia="es-ES"/>
        </w:rPr>
        <w:t>Claramente</w:t>
      </w:r>
      <w:proofErr w:type="spellEnd"/>
      <w:r w:rsidRPr="00BE4189">
        <w:rPr>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lang w:val="en-US" w:eastAsia="es-ES"/>
        </w:rPr>
        <w:t>Zampieri</w:t>
      </w:r>
      <w:proofErr w:type="spellEnd"/>
      <w:r w:rsidRPr="00BE4189">
        <w:rPr>
          <w:lang w:val="en-US" w:eastAsia="es-ES"/>
        </w:rPr>
        <w:t xml:space="preserve"> et al., 2014- Admission factors associated with prolonged intensive care unit stay)</w:t>
      </w:r>
      <w:r w:rsidRPr="00BE4189">
        <w:rPr>
          <w:lang w:val="en-US" w:eastAsia="es-ES"/>
        </w:rPr>
        <w:br/>
      </w:r>
      <w:r w:rsidRPr="00BE4189">
        <w:rPr>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lang w:val="en-US" w:eastAsia="es-ES"/>
        </w:rPr>
        <w:t>unfavourable</w:t>
      </w:r>
      <w:proofErr w:type="spellEnd"/>
      <w:r w:rsidRPr="00BE4189">
        <w:rPr>
          <w:lang w:val="en-US" w:eastAsia="es-ES"/>
        </w:rPr>
        <w:t xml:space="preserve"> long-term survival and quality of life (Carson et al., 1999. Outcomes after long-term acute care; </w:t>
      </w:r>
      <w:proofErr w:type="spellStart"/>
      <w:r w:rsidRPr="00BE4189">
        <w:rPr>
          <w:lang w:val="en-US" w:eastAsia="es-ES"/>
        </w:rPr>
        <w:t>Karth</w:t>
      </w:r>
      <w:proofErr w:type="spellEnd"/>
      <w:r w:rsidRPr="00BE4189">
        <w:rPr>
          <w:lang w:val="en-US" w:eastAsia="es-ES"/>
        </w:rPr>
        <w:t xml:space="preserve"> et al., 2006. Outcome and functional capacity after prolonged intensive care unit stay)</w:t>
      </w:r>
    </w:p>
    <w:p w14:paraId="22503BFF" w14:textId="77777777" w:rsidR="00BE4189" w:rsidRDefault="00BE4189" w:rsidP="00BE4189">
      <w:pPr>
        <w:rPr>
          <w:lang w:val="en-US" w:eastAsia="es-ES"/>
        </w:rPr>
      </w:pPr>
    </w:p>
    <w:p w14:paraId="5CD1B396" w14:textId="004D99C9" w:rsidR="00BE4189" w:rsidRPr="00BE4189" w:rsidRDefault="00BE4189" w:rsidP="00BE4189">
      <w:pPr>
        <w:rPr>
          <w:lang w:val="en-US" w:eastAsia="es-ES"/>
        </w:rPr>
      </w:pPr>
      <w:r w:rsidRPr="00BE4189">
        <w:rPr>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lang w:val="en-US" w:eastAsia="es-ES"/>
        </w:rPr>
        <w:t>differente</w:t>
      </w:r>
      <w:proofErr w:type="spellEnd"/>
      <w:r w:rsidRPr="00BE4189">
        <w:rPr>
          <w:lang w:val="en-US" w:eastAsia="es-ES"/>
        </w:rPr>
        <w:t xml:space="preserve"> factors: based on their cohort, the non-CCI group were </w:t>
      </w:r>
      <w:proofErr w:type="spellStart"/>
      <w:r w:rsidRPr="00BE4189">
        <w:rPr>
          <w:lang w:val="en-US" w:eastAsia="es-ES"/>
        </w:rPr>
        <w:t>critcally</w:t>
      </w:r>
      <w:proofErr w:type="spellEnd"/>
      <w:r w:rsidRPr="00BE4189">
        <w:rPr>
          <w:lang w:val="en-US" w:eastAsia="es-ES"/>
        </w:rPr>
        <w:t xml:space="preserve"> ill, and they observed similar SAPS II scores on admission.</w:t>
      </w:r>
    </w:p>
    <w:p w14:paraId="411DCE10" w14:textId="442AA461" w:rsidR="00BE4189" w:rsidRDefault="00BE4189" w:rsidP="00BE4189">
      <w:pPr>
        <w:jc w:val="both"/>
        <w:rPr>
          <w:bCs/>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yperlink"/>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of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of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uno,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lang w:val="en-US"/>
        </w:rPr>
      </w:pPr>
      <w:proofErr w:type="spellStart"/>
      <w:r w:rsidRPr="00B27C69">
        <w:rPr>
          <w:b/>
          <w:bCs/>
        </w:rPr>
        <w:t>Rmk</w:t>
      </w:r>
      <w:proofErr w:type="spellEnd"/>
      <w:r w:rsidRPr="00B27C69">
        <w:rPr>
          <w:b/>
          <w:bCs/>
        </w:rPr>
        <w:t xml:space="preserve"> 8: </w:t>
      </w:r>
      <w:bookmarkStart w:id="3" w:name="_Hlk129114195"/>
      <w:r w:rsidRPr="00B27C69">
        <w:t xml:space="preserve">se verifica que el tiempo de permanencia, así como las tasas de supervivencia, son sensibles a covariables como la edad y el sexo. </w:t>
      </w:r>
      <w:r w:rsidRPr="00B27C69">
        <w:rPr>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lang w:val="en-US"/>
        </w:rPr>
        <w:t>inhospital</w:t>
      </w:r>
      <w:proofErr w:type="spellEnd"/>
      <w:r w:rsidRPr="00B27C69">
        <w:rPr>
          <w:lang w:val="en-US"/>
        </w:rPr>
        <w:t xml:space="preserve"> mortality, a higher rate of intubation and a longer </w:t>
      </w:r>
      <w:proofErr w:type="spellStart"/>
      <w:r w:rsidRPr="00B27C69">
        <w:rPr>
          <w:lang w:val="en-US"/>
        </w:rPr>
        <w:t>lenght</w:t>
      </w:r>
      <w:proofErr w:type="spellEnd"/>
      <w:r w:rsidRPr="00B27C69">
        <w:rPr>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lang w:val="en-US"/>
        </w:rPr>
      </w:pPr>
    </w:p>
    <w:p w14:paraId="05F3F009" w14:textId="7B85B504" w:rsidR="00F444F1" w:rsidRPr="00F444F1" w:rsidRDefault="00F444F1" w:rsidP="00F444F1">
      <w:pPr>
        <w:pStyle w:val="ListParagraph"/>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Lancet</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yperlink"/>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b/>
          <w:bCs/>
          <w:lang w:eastAsia="es-ES"/>
        </w:rPr>
      </w:pPr>
    </w:p>
    <w:p w14:paraId="34936D62" w14:textId="3D21BA98" w:rsidR="00F444F1" w:rsidRPr="00F444F1" w:rsidRDefault="00F444F1" w:rsidP="00F444F1">
      <w:pPr>
        <w:ind w:left="360"/>
        <w:rPr>
          <w:lang w:eastAsia="es-ES"/>
        </w:rPr>
      </w:pPr>
      <w:proofErr w:type="spellStart"/>
      <w:r w:rsidRPr="00F444F1">
        <w:rPr>
          <w:b/>
          <w:bCs/>
          <w:lang w:eastAsia="es-ES"/>
        </w:rPr>
        <w:t>Rmk</w:t>
      </w:r>
      <w:proofErr w:type="spellEnd"/>
      <w:r w:rsidRPr="00F444F1">
        <w:rPr>
          <w:b/>
          <w:bCs/>
          <w:lang w:eastAsia="es-ES"/>
        </w:rPr>
        <w:t xml:space="preserve"> 1: </w:t>
      </w:r>
      <w:r w:rsidRPr="00F444F1">
        <w:rPr>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lang w:eastAsia="es-ES"/>
        </w:rPr>
        <w:br/>
      </w:r>
      <w:r w:rsidRPr="00F444F1">
        <w:rPr>
          <w:lang w:eastAsia="es-ES"/>
        </w:rPr>
        <w:br/>
      </w:r>
      <w:proofErr w:type="spellStart"/>
      <w:r w:rsidRPr="00F444F1">
        <w:rPr>
          <w:b/>
          <w:bCs/>
          <w:lang w:eastAsia="es-ES"/>
        </w:rPr>
        <w:t>Rmk</w:t>
      </w:r>
      <w:proofErr w:type="spellEnd"/>
      <w:r w:rsidRPr="00F444F1">
        <w:rPr>
          <w:b/>
          <w:bCs/>
          <w:lang w:eastAsia="es-ES"/>
        </w:rPr>
        <w:t xml:space="preserve"> 2: </w:t>
      </w:r>
      <w:r w:rsidRPr="00F444F1">
        <w:rPr>
          <w:lang w:eastAsia="es-ES"/>
        </w:rPr>
        <w:t>considérese los siguientes resultados generales:</w:t>
      </w:r>
      <w:r w:rsidRPr="00F444F1">
        <w:rPr>
          <w:lang w:eastAsia="es-ES"/>
        </w:rPr>
        <w:br/>
      </w:r>
      <w:r w:rsidRPr="00F444F1">
        <w:rPr>
          <w:lang w:eastAsia="es-ES"/>
        </w:rPr>
        <w:br/>
        <w:t>* Se estima que la duración media entre la aparición de síntomas y la muerte es de 17.8 días.</w:t>
      </w:r>
      <w:r w:rsidRPr="00F444F1">
        <w:rPr>
          <w:lang w:eastAsia="es-ES"/>
        </w:rPr>
        <w:br/>
      </w:r>
      <w:r w:rsidRPr="00F444F1">
        <w:rPr>
          <w:lang w:eastAsia="es-ES"/>
        </w:rPr>
        <w:lastRenderedPageBreak/>
        <w:br/>
        <w:t>* Se estima que la duración media entre la aparición de síntomas y ser dado de alta es de 24.7 días.</w:t>
      </w:r>
      <w:r w:rsidRPr="00F444F1">
        <w:rPr>
          <w:lang w:eastAsia="es-ES"/>
        </w:rPr>
        <w:br/>
      </w:r>
      <w:r w:rsidRPr="00F444F1">
        <w:rPr>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lang w:eastAsia="es-ES"/>
        </w:rPr>
        <w:br/>
      </w:r>
      <w:r w:rsidRPr="00F444F1">
        <w:rPr>
          <w:lang w:eastAsia="es-ES"/>
        </w:rPr>
        <w:br/>
      </w:r>
      <w:proofErr w:type="spellStart"/>
      <w:r w:rsidRPr="00F444F1">
        <w:rPr>
          <w:b/>
          <w:bCs/>
          <w:lang w:eastAsia="es-ES"/>
        </w:rPr>
        <w:t>Rmk</w:t>
      </w:r>
      <w:proofErr w:type="spellEnd"/>
      <w:r w:rsidRPr="00F444F1">
        <w:rPr>
          <w:b/>
          <w:bCs/>
          <w:lang w:eastAsia="es-ES"/>
        </w:rPr>
        <w:t xml:space="preserve"> 3 [</w:t>
      </w:r>
      <w:proofErr w:type="spellStart"/>
      <w:r w:rsidRPr="00F444F1">
        <w:rPr>
          <w:b/>
          <w:bCs/>
          <w:lang w:eastAsia="es-ES"/>
        </w:rPr>
        <w:t>Parametric</w:t>
      </w:r>
      <w:proofErr w:type="spellEnd"/>
      <w:r w:rsidRPr="00F444F1">
        <w:rPr>
          <w:b/>
          <w:bCs/>
          <w:lang w:eastAsia="es-ES"/>
        </w:rPr>
        <w:t xml:space="preserve"> </w:t>
      </w:r>
      <w:proofErr w:type="spellStart"/>
      <w:r w:rsidRPr="00F444F1">
        <w:rPr>
          <w:b/>
          <w:bCs/>
          <w:lang w:eastAsia="es-ES"/>
        </w:rPr>
        <w:t>model</w:t>
      </w:r>
      <w:proofErr w:type="spellEnd"/>
      <w:r w:rsidRPr="00F444F1">
        <w:rPr>
          <w:b/>
          <w:bCs/>
          <w:lang w:eastAsia="es-ES"/>
        </w:rPr>
        <w:t xml:space="preserve">]: </w:t>
      </w:r>
      <w:r w:rsidRPr="00F444F1">
        <w:rPr>
          <w:lang w:eastAsia="es-ES"/>
        </w:rPr>
        <w:t xml:space="preserve">siguiendo la metodología de Ghani et al. (s.f.), se emplean métodos paramétricos para estimar el CFR. </w:t>
      </w:r>
    </w:p>
    <w:p w14:paraId="16D826F0" w14:textId="77777777" w:rsidR="00F444F1" w:rsidRPr="00F444F1" w:rsidRDefault="00F444F1" w:rsidP="00F444F1">
      <w:pPr>
        <w:rPr>
          <w:lang w:eastAsia="es-ES"/>
        </w:rPr>
      </w:pPr>
      <w:r w:rsidRPr="00F444F1">
        <w:rPr>
          <w:lang w:eastAsia="es-ES"/>
        </w:rPr>
        <w:t xml:space="preserve">En el caso de los modelos paramétricos, se consideran estimadores gamma-distribuidos del </w:t>
      </w:r>
      <w:proofErr w:type="spellStart"/>
      <w:r w:rsidRPr="00F444F1">
        <w:rPr>
          <w:lang w:eastAsia="es-ES"/>
        </w:rPr>
        <w:t>onset</w:t>
      </w:r>
      <w:proofErr w:type="spellEnd"/>
      <w:r w:rsidRPr="00F444F1">
        <w:rPr>
          <w:lang w:eastAsia="es-ES"/>
        </w:rPr>
        <w:t>-to-</w:t>
      </w:r>
      <w:proofErr w:type="spellStart"/>
      <w:r w:rsidRPr="00F444F1">
        <w:rPr>
          <w:lang w:eastAsia="es-ES"/>
        </w:rPr>
        <w:t>death</w:t>
      </w:r>
      <w:proofErr w:type="spellEnd"/>
      <w:r w:rsidRPr="00F444F1">
        <w:rPr>
          <w:lang w:eastAsia="es-ES"/>
        </w:rPr>
        <w:t xml:space="preserve"> y </w:t>
      </w:r>
      <w:proofErr w:type="spellStart"/>
      <w:r w:rsidRPr="00F444F1">
        <w:rPr>
          <w:lang w:eastAsia="es-ES"/>
        </w:rPr>
        <w:t>onset</w:t>
      </w:r>
      <w:proofErr w:type="spellEnd"/>
      <w:r w:rsidRPr="00F444F1">
        <w:rPr>
          <w:lang w:eastAsia="es-ES"/>
        </w:rPr>
        <w:t>-to-</w:t>
      </w:r>
      <w:proofErr w:type="spellStart"/>
      <w:r w:rsidRPr="00F444F1">
        <w:rPr>
          <w:lang w:eastAsia="es-ES"/>
        </w:rPr>
        <w:t>recovery</w:t>
      </w:r>
      <w:proofErr w:type="spellEnd"/>
      <w:r w:rsidRPr="00F444F1">
        <w:rPr>
          <w:lang w:eastAsia="es-ES"/>
        </w:rPr>
        <w:t>-</w:t>
      </w:r>
    </w:p>
    <w:p w14:paraId="7D5A92F6" w14:textId="77777777" w:rsidR="00F444F1" w:rsidRPr="00F444F1" w:rsidRDefault="00F444F1" w:rsidP="00F444F1">
      <w:pPr>
        <w:rPr>
          <w:lang w:eastAsia="es-ES"/>
        </w:rPr>
      </w:pPr>
      <w:r w:rsidRPr="00F444F1">
        <w:rPr>
          <w:b/>
          <w:bCs/>
          <w:lang w:eastAsia="es-ES"/>
        </w:rPr>
        <w:br/>
      </w:r>
      <w:proofErr w:type="spellStart"/>
      <w:r w:rsidRPr="00F444F1">
        <w:rPr>
          <w:b/>
          <w:bCs/>
          <w:lang w:eastAsia="es-ES"/>
        </w:rPr>
        <w:t>Rmk</w:t>
      </w:r>
      <w:proofErr w:type="spellEnd"/>
      <w:r w:rsidRPr="00F444F1">
        <w:rPr>
          <w:b/>
          <w:bCs/>
          <w:lang w:eastAsia="es-ES"/>
        </w:rPr>
        <w:t xml:space="preserve"> 4 [Non-</w:t>
      </w:r>
      <w:proofErr w:type="spellStart"/>
      <w:r w:rsidRPr="00F444F1">
        <w:rPr>
          <w:b/>
          <w:bCs/>
          <w:lang w:eastAsia="es-ES"/>
        </w:rPr>
        <w:t>parametric</w:t>
      </w:r>
      <w:proofErr w:type="spellEnd"/>
      <w:r w:rsidRPr="00F444F1">
        <w:rPr>
          <w:b/>
          <w:bCs/>
          <w:lang w:eastAsia="es-ES"/>
        </w:rPr>
        <w:t xml:space="preserve"> </w:t>
      </w:r>
      <w:proofErr w:type="spellStart"/>
      <w:r w:rsidRPr="00F444F1">
        <w:rPr>
          <w:b/>
          <w:bCs/>
          <w:lang w:eastAsia="es-ES"/>
        </w:rPr>
        <w:t>model</w:t>
      </w:r>
      <w:proofErr w:type="spellEnd"/>
      <w:r w:rsidRPr="00F444F1">
        <w:rPr>
          <w:b/>
          <w:bCs/>
          <w:lang w:eastAsia="es-ES"/>
        </w:rPr>
        <w:t xml:space="preserve">]: </w:t>
      </w:r>
      <w:r w:rsidRPr="00F444F1">
        <w:rPr>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lang w:eastAsia="es-ES"/>
        </w:rPr>
      </w:pPr>
    </w:p>
    <w:p w14:paraId="634F6011" w14:textId="1853FC0D" w:rsidR="00B27C69" w:rsidRPr="00F444F1" w:rsidRDefault="00F444F1" w:rsidP="00F444F1">
      <w:pPr>
        <w:jc w:val="both"/>
        <w:rPr>
          <w:bCs/>
        </w:rPr>
      </w:pPr>
      <w:r w:rsidRPr="00F444F1">
        <w:rPr>
          <w:lang w:eastAsia="es-ES"/>
        </w:rPr>
        <w:t>En el caso de los modelos no paramétricos, se presentan como estimadores de máxima verosimilitud siguiendo el método de Kaplan-Meier.</w:t>
      </w:r>
      <w:r w:rsidRPr="00F444F1">
        <w:rPr>
          <w:b/>
          <w:bCs/>
          <w:lang w:eastAsia="es-ES"/>
        </w:rPr>
        <w:br/>
      </w:r>
      <w:r w:rsidRPr="00F444F1">
        <w:rPr>
          <w:b/>
          <w:bCs/>
          <w:lang w:eastAsia="es-ES"/>
        </w:rPr>
        <w:br/>
      </w:r>
      <w:proofErr w:type="spellStart"/>
      <w:r w:rsidRPr="00F444F1">
        <w:rPr>
          <w:b/>
          <w:bCs/>
          <w:lang w:eastAsia="es-ES"/>
        </w:rPr>
        <w:t>Rmk</w:t>
      </w:r>
      <w:proofErr w:type="spellEnd"/>
      <w:r w:rsidRPr="00F444F1">
        <w:rPr>
          <w:b/>
          <w:bCs/>
          <w:lang w:eastAsia="es-ES"/>
        </w:rPr>
        <w:t xml:space="preserve"> 5: </w:t>
      </w:r>
      <w:r w:rsidRPr="00F444F1">
        <w:rPr>
          <w:lang w:eastAsia="es-ES"/>
        </w:rPr>
        <w:t xml:space="preserve">numerosos estudios han estimado la el case </w:t>
      </w:r>
      <w:proofErr w:type="spellStart"/>
      <w:r w:rsidRPr="00F444F1">
        <w:rPr>
          <w:lang w:eastAsia="es-ES"/>
        </w:rPr>
        <w:t>fatality</w:t>
      </w:r>
      <w:proofErr w:type="spellEnd"/>
      <w:r w:rsidRPr="00F444F1">
        <w:rPr>
          <w:lang w:eastAsia="es-ES"/>
        </w:rPr>
        <w:t xml:space="preserve"> ratio (</w:t>
      </w:r>
      <w:proofErr w:type="spellStart"/>
      <w:r w:rsidRPr="00F444F1">
        <w:rPr>
          <w:lang w:eastAsia="es-ES"/>
        </w:rPr>
        <w:t>ie</w:t>
      </w:r>
      <w:proofErr w:type="spellEnd"/>
      <w:r w:rsidRPr="00F444F1">
        <w:rPr>
          <w:lang w:eastAsia="es-ES"/>
        </w:rPr>
        <w:t xml:space="preserve">.: el porcentaje de individuos con síntomas o enfermedad confirmada que mueren a causa de la infección) y también el </w:t>
      </w:r>
      <w:proofErr w:type="spellStart"/>
      <w:r w:rsidRPr="00F444F1">
        <w:rPr>
          <w:lang w:eastAsia="es-ES"/>
        </w:rPr>
        <w:t>infection</w:t>
      </w:r>
      <w:proofErr w:type="spellEnd"/>
      <w:r w:rsidRPr="00F444F1">
        <w:rPr>
          <w:lang w:eastAsia="es-ES"/>
        </w:rPr>
        <w:t xml:space="preserve"> </w:t>
      </w:r>
      <w:proofErr w:type="spellStart"/>
      <w:r w:rsidRPr="00F444F1">
        <w:rPr>
          <w:lang w:eastAsia="es-ES"/>
        </w:rPr>
        <w:t>fatality</w:t>
      </w:r>
      <w:proofErr w:type="spellEnd"/>
      <w:r w:rsidRPr="00F444F1">
        <w:rPr>
          <w:lang w:eastAsia="es-ES"/>
        </w:rPr>
        <w:t xml:space="preserve"> ratio (el porcentaje de todos los individuos infectados que mueren en virtud de la enfermedad).</w:t>
      </w:r>
    </w:p>
    <w:p w14:paraId="5E2CEAFD" w14:textId="1D529D52" w:rsidR="00EC3CB1" w:rsidRDefault="00EC3CB1" w:rsidP="00EC3CB1">
      <w:pPr>
        <w:jc w:val="both"/>
        <w:rPr>
          <w:bCs/>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bCs/>
        </w:rPr>
      </w:pPr>
    </w:p>
    <w:p w14:paraId="4E0206C2" w14:textId="22E13F7B" w:rsidR="00E57EF4" w:rsidRPr="00E57EF4" w:rsidRDefault="00E57EF4" w:rsidP="00E57EF4">
      <w:pPr>
        <w:pStyle w:val="ListParagraph"/>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yperlink"/>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b/>
          <w:bCs/>
          <w:lang w:val="en-US"/>
        </w:rPr>
      </w:pPr>
    </w:p>
    <w:p w14:paraId="6529BA08" w14:textId="55A0F490" w:rsidR="00660CFB" w:rsidRPr="00E57EF4" w:rsidRDefault="00E57EF4" w:rsidP="00E57EF4">
      <w:pPr>
        <w:rPr>
          <w:bCs/>
          <w:lang w:val="en-US"/>
        </w:rPr>
      </w:pPr>
      <w:proofErr w:type="spellStart"/>
      <w:r w:rsidRPr="00E57EF4">
        <w:rPr>
          <w:b/>
          <w:bCs/>
          <w:lang w:val="en-US"/>
        </w:rPr>
        <w:t>Rmk</w:t>
      </w:r>
      <w:proofErr w:type="spellEnd"/>
      <w:r w:rsidRPr="00E57EF4">
        <w:rPr>
          <w:b/>
          <w:bCs/>
          <w:lang w:val="en-US"/>
        </w:rPr>
        <w:t xml:space="preserve"> 1: </w:t>
      </w:r>
      <w:bookmarkStart w:id="4" w:name="_Hlk129121539"/>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Their</w:t>
      </w:r>
      <w:r>
        <w:rPr>
          <w:lang w:val="en-US"/>
        </w:rPr>
        <w:t xml:space="preserve"> </w:t>
      </w:r>
      <w:r w:rsidRPr="00E57EF4">
        <w:rPr>
          <w:lang w:val="en-US"/>
        </w:rPr>
        <w:t xml:space="preserve">study, showed that males have a higher risk for mortality, hospitalization and mechanical ventilation even when compared to a matched cohort of females with similar age, high-risk behavior </w:t>
      </w:r>
      <w:bookmarkEnd w:id="4"/>
      <w:r w:rsidRPr="00E57EF4">
        <w:rPr>
          <w:lang w:val="en-US"/>
        </w:rPr>
        <w:t xml:space="preserve">and comorbidities. </w:t>
      </w:r>
      <w:r w:rsidRPr="00E57EF4">
        <w:rPr>
          <w:lang w:val="en-US"/>
        </w:rPr>
        <w:br/>
      </w:r>
      <w:r w:rsidRPr="00E57EF4">
        <w:rPr>
          <w:lang w:val="en-US"/>
        </w:rPr>
        <w:br/>
      </w:r>
      <w:proofErr w:type="spellStart"/>
      <w:r w:rsidRPr="00E57EF4">
        <w:rPr>
          <w:b/>
          <w:bCs/>
        </w:rPr>
        <w:t>Rmk</w:t>
      </w:r>
      <w:proofErr w:type="spellEnd"/>
      <w:r w:rsidRPr="00E57EF4">
        <w:rPr>
          <w:b/>
          <w:bCs/>
        </w:rPr>
        <w:t xml:space="preserve"> 2: </w:t>
      </w:r>
      <w:r w:rsidRPr="00E57EF4">
        <w:t>se emplean las curvas de Kaplan-Meier para estimar la probabilidad supervivencia a 30 días. La variable de interés es "</w:t>
      </w:r>
      <w:proofErr w:type="spellStart"/>
      <w:r w:rsidRPr="00E57EF4">
        <w:t>Days</w:t>
      </w:r>
      <w:proofErr w:type="spellEnd"/>
      <w:r w:rsidRPr="00E57EF4">
        <w:t xml:space="preserve"> </w:t>
      </w:r>
      <w:proofErr w:type="spellStart"/>
      <w:r w:rsidRPr="00E57EF4">
        <w:t>after</w:t>
      </w:r>
      <w:proofErr w:type="spellEnd"/>
      <w:r w:rsidRPr="00E57EF4">
        <w:t xml:space="preserve"> </w:t>
      </w:r>
      <w:proofErr w:type="spellStart"/>
      <w:r w:rsidRPr="00E57EF4">
        <w:t>index</w:t>
      </w:r>
      <w:proofErr w:type="spellEnd"/>
      <w:r w:rsidRPr="00E57EF4">
        <w:t xml:space="preserve"> </w:t>
      </w:r>
      <w:proofErr w:type="spellStart"/>
      <w:r w:rsidRPr="00E57EF4">
        <w:t>event</w:t>
      </w:r>
      <w:proofErr w:type="spellEnd"/>
      <w:r w:rsidRPr="00E57EF4">
        <w:t xml:space="preserve">". El evento de interés es el tiempo desde el </w:t>
      </w:r>
      <w:r w:rsidRPr="00E57EF4">
        <w:lastRenderedPageBreak/>
        <w:t xml:space="preserve">diagnóstico hasta la ocurrencia de un desenlace. </w:t>
      </w:r>
      <w:proofErr w:type="spellStart"/>
      <w:r w:rsidRPr="00E57EF4">
        <w:rPr>
          <w:lang w:val="en-US"/>
        </w:rPr>
        <w:t>Así</w:t>
      </w:r>
      <w:proofErr w:type="spellEnd"/>
      <w:r w:rsidRPr="00E57EF4">
        <w:rPr>
          <w:lang w:val="en-US"/>
        </w:rPr>
        <w:t xml:space="preserve">, el </w:t>
      </w:r>
      <w:proofErr w:type="spellStart"/>
      <w:r w:rsidRPr="00E57EF4">
        <w:rPr>
          <w:lang w:val="en-US"/>
        </w:rPr>
        <w:t>análisis</w:t>
      </w:r>
      <w:proofErr w:type="spellEnd"/>
      <w:r w:rsidRPr="00E57EF4">
        <w:rPr>
          <w:lang w:val="en-US"/>
        </w:rPr>
        <w:t xml:space="preserve"> de </w:t>
      </w:r>
      <w:proofErr w:type="spellStart"/>
      <w:r w:rsidRPr="00E57EF4">
        <w:rPr>
          <w:lang w:val="en-US"/>
        </w:rPr>
        <w:t>supervivencia</w:t>
      </w:r>
      <w:proofErr w:type="spellEnd"/>
      <w:r w:rsidRPr="00E57EF4">
        <w:rPr>
          <w:lang w:val="en-US"/>
        </w:rPr>
        <w:t xml:space="preserve"> </w:t>
      </w:r>
      <w:proofErr w:type="spellStart"/>
      <w:r w:rsidRPr="00E57EF4">
        <w:rPr>
          <w:lang w:val="en-US"/>
        </w:rPr>
        <w:t>pretende</w:t>
      </w:r>
      <w:proofErr w:type="spellEnd"/>
      <w:r w:rsidRPr="00E57EF4">
        <w:rPr>
          <w:lang w:val="en-US"/>
        </w:rPr>
        <w:t xml:space="preserve"> </w:t>
      </w:r>
      <w:proofErr w:type="spellStart"/>
      <w:r w:rsidRPr="00E57EF4">
        <w:rPr>
          <w:lang w:val="en-US"/>
        </w:rPr>
        <w:t>estimar</w:t>
      </w:r>
      <w:proofErr w:type="spellEnd"/>
      <w:r w:rsidRPr="00E57EF4">
        <w:rPr>
          <w:lang w:val="en-US"/>
        </w:rPr>
        <w:t xml:space="preserve"> the survival probability of each outcome at the end 30 days after the diagnosis of COVID-19.</w:t>
      </w:r>
    </w:p>
    <w:p w14:paraId="645759AA" w14:textId="46807B8D" w:rsidR="00EC3CB1" w:rsidRDefault="00EC3CB1" w:rsidP="00E57EF4">
      <w:pPr>
        <w:rPr>
          <w:b/>
          <w:bCs/>
          <w:lang w:val="en-US"/>
        </w:rPr>
      </w:pPr>
    </w:p>
    <w:p w14:paraId="105EB3A7" w14:textId="539F7119" w:rsidR="00E57EF4" w:rsidRPr="00E57EF4" w:rsidRDefault="00E57EF4" w:rsidP="00E57EF4">
      <w:pPr>
        <w:pStyle w:val="ListParagraph"/>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yperlink"/>
            <w:b/>
            <w:bCs/>
            <w:lang w:val="en-US"/>
          </w:rPr>
          <w:t>https://doi.org/10.1038/s41467-020-19741-6</w:t>
        </w:r>
      </w:hyperlink>
    </w:p>
    <w:p w14:paraId="65E6EA53" w14:textId="77777777" w:rsidR="00E57EF4" w:rsidRDefault="00E57EF4" w:rsidP="00E57EF4">
      <w:pPr>
        <w:ind w:left="360"/>
        <w:rPr>
          <w:b/>
          <w:bCs/>
        </w:rPr>
      </w:pPr>
    </w:p>
    <w:p w14:paraId="4A10B78C" w14:textId="71E28418" w:rsidR="00E57EF4" w:rsidRPr="00E57EF4" w:rsidRDefault="00E57EF4" w:rsidP="00E57EF4">
      <w:pPr>
        <w:ind w:left="360"/>
        <w:rPr>
          <w:b/>
          <w:bCs/>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el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r w:rsidR="0036526E" w:rsidRPr="00E57EF4">
        <w:rPr>
          <w:lang w:val="en-US"/>
        </w:rPr>
        <w:t>Their study</w:t>
      </w:r>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ListParagraph"/>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hAnsi="Arial" w:cs="Arial"/>
          <w:color w:val="2E2E2E"/>
          <w:sz w:val="21"/>
          <w:szCs w:val="21"/>
          <w:lang w:val="en-US" w:eastAsia="es-CO"/>
        </w:rPr>
      </w:pPr>
      <w:r w:rsidRPr="00DE4DF8">
        <w:rPr>
          <w:rFonts w:ascii="Arial"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hAnsi="Arial" w:cs="Arial"/>
          <w:color w:val="2E2E2E"/>
          <w:sz w:val="21"/>
          <w:szCs w:val="21"/>
          <w:lang w:val="en-US" w:eastAsia="es-CO"/>
        </w:rPr>
      </w:pPr>
      <w:proofErr w:type="spellStart"/>
      <w:r w:rsidRPr="00DE4DF8">
        <w:rPr>
          <w:rFonts w:ascii="Arial" w:hAnsi="Arial" w:cs="Arial"/>
          <w:b/>
          <w:bCs/>
          <w:color w:val="2E2E2E"/>
          <w:sz w:val="21"/>
          <w:szCs w:val="21"/>
          <w:lang w:val="en-US" w:eastAsia="es-CO"/>
        </w:rPr>
        <w:t>Rmk</w:t>
      </w:r>
      <w:proofErr w:type="spellEnd"/>
      <w:r w:rsidRPr="00DE4DF8">
        <w:rPr>
          <w:rFonts w:ascii="Arial" w:hAnsi="Arial" w:cs="Arial"/>
          <w:b/>
          <w:bCs/>
          <w:color w:val="2E2E2E"/>
          <w:sz w:val="21"/>
          <w:szCs w:val="21"/>
          <w:lang w:val="en-US" w:eastAsia="es-CO"/>
        </w:rPr>
        <w:t xml:space="preserve"> 1: </w:t>
      </w:r>
      <w:r w:rsidRPr="00DE4DF8">
        <w:rPr>
          <w:rFonts w:ascii="Arial" w:hAnsi="Arial" w:cs="Arial"/>
          <w:color w:val="2E2E2E"/>
          <w:sz w:val="21"/>
          <w:szCs w:val="21"/>
          <w:lang w:val="en-US" w:eastAsia="es-CO"/>
        </w:rPr>
        <w:t xml:space="preserve">el </w:t>
      </w:r>
      <w:proofErr w:type="spellStart"/>
      <w:r w:rsidRPr="00DE4DF8">
        <w:rPr>
          <w:rFonts w:ascii="Arial" w:hAnsi="Arial" w:cs="Arial"/>
          <w:color w:val="2E2E2E"/>
          <w:sz w:val="21"/>
          <w:szCs w:val="21"/>
          <w:lang w:val="en-US" w:eastAsia="es-CO"/>
        </w:rPr>
        <w:t>objetivo</w:t>
      </w:r>
      <w:proofErr w:type="spellEnd"/>
      <w:r w:rsidRPr="00DE4DF8">
        <w:rPr>
          <w:rFonts w:ascii="Arial" w:hAnsi="Arial" w:cs="Arial"/>
          <w:color w:val="2E2E2E"/>
          <w:sz w:val="21"/>
          <w:szCs w:val="21"/>
          <w:lang w:val="en-US" w:eastAsia="es-CO"/>
        </w:rPr>
        <w:t xml:space="preserve"> de la </w:t>
      </w:r>
      <w:proofErr w:type="spellStart"/>
      <w:r w:rsidRPr="00DE4DF8">
        <w:rPr>
          <w:rFonts w:ascii="Arial" w:hAnsi="Arial" w:cs="Arial"/>
          <w:color w:val="2E2E2E"/>
          <w:sz w:val="21"/>
          <w:szCs w:val="21"/>
          <w:lang w:val="en-US" w:eastAsia="es-CO"/>
        </w:rPr>
        <w:t>investigación</w:t>
      </w:r>
      <w:proofErr w:type="spellEnd"/>
      <w:r w:rsidRPr="00DE4DF8">
        <w:rPr>
          <w:rFonts w:ascii="Arial" w:hAnsi="Arial" w:cs="Arial"/>
          <w:color w:val="2E2E2E"/>
          <w:sz w:val="21"/>
          <w:szCs w:val="21"/>
          <w:lang w:val="en-US" w:eastAsia="es-CO"/>
        </w:rPr>
        <w:t xml:space="preserve"> es </w:t>
      </w:r>
      <w:proofErr w:type="spellStart"/>
      <w:r w:rsidRPr="00DE4DF8">
        <w:rPr>
          <w:rFonts w:ascii="Arial" w:hAnsi="Arial" w:cs="Arial"/>
          <w:color w:val="2E2E2E"/>
          <w:sz w:val="21"/>
          <w:szCs w:val="21"/>
          <w:lang w:val="en-US" w:eastAsia="es-CO"/>
        </w:rPr>
        <w:t>analizar</w:t>
      </w:r>
      <w:proofErr w:type="spellEnd"/>
      <w:r w:rsidRPr="00DE4DF8">
        <w:rPr>
          <w:rFonts w:ascii="Arial" w:hAnsi="Arial" w:cs="Arial"/>
          <w:color w:val="2E2E2E"/>
          <w:sz w:val="21"/>
          <w:szCs w:val="21"/>
          <w:lang w:val="en-US" w:eastAsia="es-CO"/>
        </w:rPr>
        <w:t xml:space="preserve"> los </w:t>
      </w:r>
      <w:proofErr w:type="spellStart"/>
      <w:r w:rsidRPr="00DE4DF8">
        <w:rPr>
          <w:rFonts w:ascii="Arial" w:hAnsi="Arial" w:cs="Arial"/>
          <w:color w:val="2E2E2E"/>
          <w:sz w:val="21"/>
          <w:szCs w:val="21"/>
          <w:lang w:val="en-US" w:eastAsia="es-CO"/>
        </w:rPr>
        <w:t>datos</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clínicos</w:t>
      </w:r>
      <w:proofErr w:type="spellEnd"/>
      <w:r w:rsidRPr="00DE4DF8">
        <w:rPr>
          <w:rFonts w:ascii="Arial" w:hAnsi="Arial" w:cs="Arial"/>
          <w:color w:val="2E2E2E"/>
          <w:sz w:val="21"/>
          <w:szCs w:val="21"/>
          <w:lang w:val="en-US" w:eastAsia="es-CO"/>
        </w:rPr>
        <w:t xml:space="preserve"> de </w:t>
      </w:r>
      <w:proofErr w:type="spellStart"/>
      <w:r w:rsidRPr="00DE4DF8">
        <w:rPr>
          <w:rFonts w:ascii="Arial" w:hAnsi="Arial" w:cs="Arial"/>
          <w:color w:val="2E2E2E"/>
          <w:sz w:val="21"/>
          <w:szCs w:val="21"/>
          <w:lang w:val="en-US" w:eastAsia="es-CO"/>
        </w:rPr>
        <w:t>todos</w:t>
      </w:r>
      <w:proofErr w:type="spellEnd"/>
      <w:r w:rsidRPr="00DE4DF8">
        <w:rPr>
          <w:rFonts w:ascii="Arial" w:hAnsi="Arial" w:cs="Arial"/>
          <w:color w:val="2E2E2E"/>
          <w:sz w:val="21"/>
          <w:szCs w:val="21"/>
          <w:lang w:val="en-US" w:eastAsia="es-CO"/>
        </w:rPr>
        <w:t xml:space="preserve"> las personas </w:t>
      </w:r>
      <w:proofErr w:type="spellStart"/>
      <w:r w:rsidRPr="00DE4DF8">
        <w:rPr>
          <w:rFonts w:ascii="Arial" w:hAnsi="Arial" w:cs="Arial"/>
          <w:color w:val="2E2E2E"/>
          <w:sz w:val="21"/>
          <w:szCs w:val="21"/>
          <w:lang w:val="en-US" w:eastAsia="es-CO"/>
        </w:rPr>
        <w:t>admitidas</w:t>
      </w:r>
      <w:proofErr w:type="spellEnd"/>
      <w:r w:rsidRPr="00DE4DF8">
        <w:rPr>
          <w:rFonts w:ascii="Arial" w:hAnsi="Arial" w:cs="Arial"/>
          <w:color w:val="2E2E2E"/>
          <w:sz w:val="21"/>
          <w:szCs w:val="21"/>
          <w:lang w:val="en-US" w:eastAsia="es-CO"/>
        </w:rPr>
        <w:t xml:space="preserve"> por COVID-19 </w:t>
      </w:r>
      <w:proofErr w:type="spellStart"/>
      <w:r w:rsidRPr="00DE4DF8">
        <w:rPr>
          <w:rFonts w:ascii="Arial" w:hAnsi="Arial" w:cs="Arial"/>
          <w:color w:val="2E2E2E"/>
          <w:sz w:val="21"/>
          <w:szCs w:val="21"/>
          <w:lang w:val="en-US" w:eastAsia="es-CO"/>
        </w:rPr>
        <w:t>en</w:t>
      </w:r>
      <w:proofErr w:type="spellEnd"/>
      <w:r w:rsidRPr="00DE4DF8">
        <w:rPr>
          <w:rFonts w:ascii="Arial" w:hAnsi="Arial" w:cs="Arial"/>
          <w:color w:val="2E2E2E"/>
          <w:sz w:val="21"/>
          <w:szCs w:val="21"/>
          <w:lang w:val="en-US" w:eastAsia="es-CO"/>
        </w:rPr>
        <w:t xml:space="preserve"> una </w:t>
      </w:r>
      <w:proofErr w:type="spellStart"/>
      <w:r w:rsidRPr="00DE4DF8">
        <w:rPr>
          <w:rFonts w:ascii="Arial" w:hAnsi="Arial" w:cs="Arial"/>
          <w:color w:val="2E2E2E"/>
          <w:sz w:val="21"/>
          <w:szCs w:val="21"/>
          <w:lang w:val="en-US" w:eastAsia="es-CO"/>
        </w:rPr>
        <w:t>cohorte</w:t>
      </w:r>
      <w:proofErr w:type="spellEnd"/>
      <w:r w:rsidRPr="00DE4DF8">
        <w:rPr>
          <w:rFonts w:ascii="Arial" w:hAnsi="Arial" w:cs="Arial"/>
          <w:color w:val="2E2E2E"/>
          <w:sz w:val="21"/>
          <w:szCs w:val="21"/>
          <w:lang w:val="en-US" w:eastAsia="es-CO"/>
        </w:rPr>
        <w:t xml:space="preserve"> de 9 596 321 </w:t>
      </w:r>
      <w:proofErr w:type="spellStart"/>
      <w:r w:rsidRPr="00DE4DF8">
        <w:rPr>
          <w:rFonts w:ascii="Arial" w:hAnsi="Arial" w:cs="Arial"/>
          <w:color w:val="2E2E2E"/>
          <w:sz w:val="21"/>
          <w:szCs w:val="21"/>
          <w:lang w:val="en-US" w:eastAsia="es-CO"/>
        </w:rPr>
        <w:t>pacientes.Se</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consideran</w:t>
      </w:r>
      <w:proofErr w:type="spellEnd"/>
      <w:r w:rsidRPr="00DE4DF8">
        <w:rPr>
          <w:rFonts w:ascii="Arial" w:hAnsi="Arial" w:cs="Arial"/>
          <w:color w:val="2E2E2E"/>
          <w:sz w:val="21"/>
          <w:szCs w:val="21"/>
          <w:lang w:val="en-US" w:eastAsia="es-CO"/>
        </w:rPr>
        <w:t xml:space="preserve"> las </w:t>
      </w:r>
      <w:proofErr w:type="spellStart"/>
      <w:r w:rsidRPr="00DE4DF8">
        <w:rPr>
          <w:rFonts w:ascii="Arial" w:hAnsi="Arial" w:cs="Arial"/>
          <w:color w:val="2E2E2E"/>
          <w:sz w:val="21"/>
          <w:szCs w:val="21"/>
          <w:lang w:val="en-US" w:eastAsia="es-CO"/>
        </w:rPr>
        <w:t>siguientes</w:t>
      </w:r>
      <w:proofErr w:type="spellEnd"/>
      <w:r w:rsidRPr="00DE4DF8">
        <w:rPr>
          <w:rFonts w:ascii="Arial" w:hAnsi="Arial" w:cs="Arial"/>
          <w:color w:val="2E2E2E"/>
          <w:sz w:val="21"/>
          <w:szCs w:val="21"/>
          <w:lang w:val="en-US" w:eastAsia="es-CO"/>
        </w:rPr>
        <w:t xml:space="preserve"> variables de </w:t>
      </w:r>
      <w:proofErr w:type="spellStart"/>
      <w:r w:rsidRPr="00DE4DF8">
        <w:rPr>
          <w:rFonts w:ascii="Arial" w:hAnsi="Arial" w:cs="Arial"/>
          <w:color w:val="2E2E2E"/>
          <w:sz w:val="21"/>
          <w:szCs w:val="21"/>
          <w:lang w:val="en-US" w:eastAsia="es-CO"/>
        </w:rPr>
        <w:t>interés</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edad</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raza</w:t>
      </w:r>
      <w:proofErr w:type="spellEnd"/>
      <w:r w:rsidRPr="00DE4DF8">
        <w:rPr>
          <w:rFonts w:ascii="Arial" w:hAnsi="Arial" w:cs="Arial"/>
          <w:color w:val="2E2E2E"/>
          <w:sz w:val="21"/>
          <w:szCs w:val="21"/>
          <w:lang w:val="en-US" w:eastAsia="es-CO"/>
        </w:rPr>
        <w:t xml:space="preserve"> y </w:t>
      </w:r>
      <w:proofErr w:type="spellStart"/>
      <w:r w:rsidRPr="00DE4DF8">
        <w:rPr>
          <w:rFonts w:ascii="Arial" w:hAnsi="Arial" w:cs="Arial"/>
          <w:color w:val="2E2E2E"/>
          <w:sz w:val="21"/>
          <w:szCs w:val="21"/>
          <w:lang w:val="en-US" w:eastAsia="es-CO"/>
        </w:rPr>
        <w:t>sexo</w:t>
      </w:r>
      <w:proofErr w:type="spellEnd"/>
      <w:r w:rsidRPr="00DE4DF8">
        <w:rPr>
          <w:rFonts w:ascii="Arial"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hAnsi="Arial" w:cs="Arial"/>
          <w:color w:val="2E2E2E"/>
          <w:sz w:val="21"/>
          <w:szCs w:val="21"/>
          <w:lang w:val="en-US" w:eastAsia="es-CO"/>
        </w:rPr>
        <w:t>april</w:t>
      </w:r>
      <w:proofErr w:type="spellEnd"/>
      <w:r w:rsidRPr="00DE4DF8">
        <w:rPr>
          <w:rFonts w:ascii="Arial"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hAnsi="Arial" w:cs="Arial"/>
          <w:color w:val="2E2E2E"/>
          <w:sz w:val="21"/>
          <w:szCs w:val="21"/>
          <w:lang w:val="en-US" w:eastAsia="es-CO"/>
        </w:rPr>
      </w:pPr>
      <w:r w:rsidRPr="00DE4DF8">
        <w:rPr>
          <w:rFonts w:ascii="Arial"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hAnsi="Arial" w:cs="Arial"/>
          <w:color w:val="2E2E2E"/>
          <w:sz w:val="21"/>
          <w:szCs w:val="21"/>
          <w:lang w:val="en-US" w:eastAsia="es-CO"/>
        </w:rPr>
      </w:pPr>
      <w:proofErr w:type="spellStart"/>
      <w:r w:rsidRPr="00DE4DF8">
        <w:rPr>
          <w:rFonts w:ascii="Arial" w:hAnsi="Arial" w:cs="Arial"/>
          <w:b/>
          <w:bCs/>
          <w:color w:val="2E2E2E"/>
          <w:sz w:val="21"/>
          <w:szCs w:val="21"/>
          <w:lang w:val="en-US" w:eastAsia="es-CO"/>
        </w:rPr>
        <w:t>Rmk</w:t>
      </w:r>
      <w:proofErr w:type="spellEnd"/>
      <w:r w:rsidRPr="00DE4DF8">
        <w:rPr>
          <w:rFonts w:ascii="Arial" w:hAnsi="Arial" w:cs="Arial"/>
          <w:b/>
          <w:bCs/>
          <w:color w:val="2E2E2E"/>
          <w:sz w:val="21"/>
          <w:szCs w:val="21"/>
          <w:lang w:val="en-US" w:eastAsia="es-CO"/>
        </w:rPr>
        <w:t xml:space="preserve"> 2: </w:t>
      </w:r>
      <w:proofErr w:type="spellStart"/>
      <w:r w:rsidRPr="00DE4DF8">
        <w:rPr>
          <w:rFonts w:ascii="Arial" w:hAnsi="Arial" w:cs="Arial"/>
          <w:color w:val="2E2E2E"/>
          <w:sz w:val="21"/>
          <w:szCs w:val="21"/>
          <w:lang w:val="en-US" w:eastAsia="es-CO"/>
        </w:rPr>
        <w:t>en</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términos</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metodológicos</w:t>
      </w:r>
      <w:proofErr w:type="spellEnd"/>
      <w:r w:rsidRPr="00DE4DF8">
        <w:rPr>
          <w:rFonts w:ascii="Arial" w:hAnsi="Arial" w:cs="Arial"/>
          <w:color w:val="2E2E2E"/>
          <w:sz w:val="21"/>
          <w:szCs w:val="21"/>
          <w:lang w:val="en-US" w:eastAsia="es-CO"/>
        </w:rPr>
        <w:t xml:space="preserve">, se </w:t>
      </w:r>
      <w:proofErr w:type="spellStart"/>
      <w:r w:rsidRPr="00DE4DF8">
        <w:rPr>
          <w:rFonts w:ascii="Arial" w:hAnsi="Arial" w:cs="Arial"/>
          <w:color w:val="2E2E2E"/>
          <w:sz w:val="21"/>
          <w:szCs w:val="21"/>
          <w:lang w:val="en-US" w:eastAsia="es-CO"/>
        </w:rPr>
        <w:t>emplean</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métodos</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paramétricos</w:t>
      </w:r>
      <w:proofErr w:type="spellEnd"/>
      <w:r w:rsidRPr="00DE4DF8">
        <w:rPr>
          <w:rFonts w:ascii="Arial" w:hAnsi="Arial" w:cs="Arial"/>
          <w:color w:val="2E2E2E"/>
          <w:sz w:val="21"/>
          <w:szCs w:val="21"/>
          <w:lang w:val="en-US" w:eastAsia="es-CO"/>
        </w:rPr>
        <w:t xml:space="preserve"> de </w:t>
      </w:r>
      <w:proofErr w:type="spellStart"/>
      <w:r w:rsidRPr="00DE4DF8">
        <w:rPr>
          <w:rFonts w:ascii="Arial" w:hAnsi="Arial" w:cs="Arial"/>
          <w:color w:val="2E2E2E"/>
          <w:sz w:val="21"/>
          <w:szCs w:val="21"/>
          <w:lang w:val="en-US" w:eastAsia="es-CO"/>
        </w:rPr>
        <w:t>análisis</w:t>
      </w:r>
      <w:proofErr w:type="spellEnd"/>
      <w:r w:rsidRPr="00DE4DF8">
        <w:rPr>
          <w:rFonts w:ascii="Arial" w:hAnsi="Arial" w:cs="Arial"/>
          <w:color w:val="2E2E2E"/>
          <w:sz w:val="21"/>
          <w:szCs w:val="21"/>
          <w:lang w:val="en-US" w:eastAsia="es-CO"/>
        </w:rPr>
        <w:t xml:space="preserve"> de </w:t>
      </w:r>
      <w:proofErr w:type="spellStart"/>
      <w:r w:rsidRPr="00DE4DF8">
        <w:rPr>
          <w:rFonts w:ascii="Arial" w:hAnsi="Arial" w:cs="Arial"/>
          <w:color w:val="2E2E2E"/>
          <w:sz w:val="21"/>
          <w:szCs w:val="21"/>
          <w:lang w:val="en-US" w:eastAsia="es-CO"/>
        </w:rPr>
        <w:t>supervivencia</w:t>
      </w:r>
      <w:proofErr w:type="spellEnd"/>
      <w:r w:rsidRPr="00DE4DF8">
        <w:rPr>
          <w:rFonts w:ascii="Arial" w:hAnsi="Arial" w:cs="Arial"/>
          <w:color w:val="2E2E2E"/>
          <w:sz w:val="21"/>
          <w:szCs w:val="21"/>
          <w:lang w:val="en-US" w:eastAsia="es-CO"/>
        </w:rPr>
        <w:t xml:space="preserve"> de </w:t>
      </w:r>
      <w:proofErr w:type="spellStart"/>
      <w:r w:rsidRPr="00DE4DF8">
        <w:rPr>
          <w:rFonts w:ascii="Arial" w:hAnsi="Arial" w:cs="Arial"/>
          <w:color w:val="2E2E2E"/>
          <w:sz w:val="21"/>
          <w:szCs w:val="21"/>
          <w:lang w:val="en-US" w:eastAsia="es-CO"/>
        </w:rPr>
        <w:t>compentencia</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en</w:t>
      </w:r>
      <w:proofErr w:type="spellEnd"/>
      <w:r w:rsidRPr="00DE4DF8">
        <w:rPr>
          <w:rFonts w:ascii="Arial" w:hAnsi="Arial" w:cs="Arial"/>
          <w:color w:val="2E2E2E"/>
          <w:sz w:val="21"/>
          <w:szCs w:val="21"/>
          <w:lang w:val="en-US" w:eastAsia="es-CO"/>
        </w:rPr>
        <w:t xml:space="preserve"> </w:t>
      </w:r>
      <w:proofErr w:type="spellStart"/>
      <w:r w:rsidRPr="00DE4DF8">
        <w:rPr>
          <w:rFonts w:ascii="Arial" w:hAnsi="Arial" w:cs="Arial"/>
          <w:color w:val="2E2E2E"/>
          <w:sz w:val="21"/>
          <w:szCs w:val="21"/>
          <w:lang w:val="en-US" w:eastAsia="es-CO"/>
        </w:rPr>
        <w:t>riesgo</w:t>
      </w:r>
      <w:proofErr w:type="spellEnd"/>
      <w:r w:rsidRPr="00DE4DF8">
        <w:rPr>
          <w:rFonts w:ascii="Arial"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hAnsi="Arial" w:cs="Arial"/>
          <w:color w:val="2E2E2E"/>
          <w:sz w:val="21"/>
          <w:szCs w:val="21"/>
          <w:lang w:val="en-US" w:eastAsia="es-CO"/>
        </w:rPr>
      </w:pPr>
      <w:r w:rsidRPr="00DE4DF8">
        <w:rPr>
          <w:rFonts w:ascii="Arial"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b/>
          <w:bCs/>
          <w:color w:val="2E2E2E"/>
          <w:sz w:val="21"/>
          <w:szCs w:val="21"/>
          <w:lang w:val="es-CO" w:eastAsia="es-CO"/>
        </w:rPr>
        <w:t xml:space="preserve">Rmk 3: </w:t>
      </w:r>
      <w:r w:rsidRPr="00DE4DF8">
        <w:rPr>
          <w:rFonts w:ascii="Arial"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b/>
          <w:bCs/>
          <w:color w:val="2E2E2E"/>
          <w:sz w:val="21"/>
          <w:szCs w:val="21"/>
          <w:lang w:val="es-CO" w:eastAsia="es-CO"/>
        </w:rPr>
        <w:t xml:space="preserve">[1] Duración de estancia en hospital y UCI: </w:t>
      </w:r>
      <w:r w:rsidRPr="00DE4DF8">
        <w:rPr>
          <w:rFonts w:ascii="Arial" w:hAnsi="Arial" w:cs="Arial"/>
          <w:color w:val="2E2E2E"/>
          <w:sz w:val="21"/>
          <w:szCs w:val="21"/>
          <w:lang w:val="es-CO" w:eastAsia="es-CO"/>
        </w:rPr>
        <w:t>se infieren distribuciones de la duración de estancia en UCI y la distribución de la duración de la estancia en UCI</w:t>
      </w:r>
      <w:r w:rsidRPr="00C6055F">
        <w:rPr>
          <w:rFonts w:ascii="Arial" w:hAnsi="Arial" w:cs="Arial"/>
          <w:color w:val="2E2E2E"/>
          <w:sz w:val="21"/>
          <w:szCs w:val="21"/>
          <w:highlight w:val="yellow"/>
          <w:lang w:val="es-CO" w:eastAsia="es-CO"/>
        </w:rPr>
        <w:t>. Se emplean el paquete CFC de R para ajustar modelos de competencia en riesgo derivados de una distribución Weibull (to fit age adjusted Weibull competing risk models).</w:t>
      </w:r>
    </w:p>
    <w:p w14:paraId="2DD7EE1F"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hAnsi="Arial" w:cs="Arial"/>
          <w:color w:val="2E2E2E"/>
          <w:sz w:val="21"/>
          <w:szCs w:val="21"/>
          <w:lang w:val="en-US" w:eastAsia="es-CO"/>
        </w:rPr>
      </w:pPr>
      <w:r w:rsidRPr="00DE4DF8">
        <w:rPr>
          <w:rFonts w:ascii="Arial" w:hAnsi="Arial" w:cs="Arial"/>
          <w:b/>
          <w:bCs/>
          <w:color w:val="2E2E2E"/>
          <w:sz w:val="21"/>
          <w:szCs w:val="21"/>
          <w:lang w:val="es-CO" w:eastAsia="es-CO"/>
        </w:rPr>
        <w:t xml:space="preserve">[2] Inferencia insesgada: </w:t>
      </w:r>
      <w:r w:rsidRPr="00DE4DF8">
        <w:rPr>
          <w:rFonts w:ascii="Arial" w:hAnsi="Arial" w:cs="Arial"/>
          <w:color w:val="2E2E2E"/>
          <w:sz w:val="21"/>
          <w:szCs w:val="21"/>
          <w:lang w:val="es-CO" w:eastAsia="es-CO"/>
        </w:rPr>
        <w:t xml:space="preserve">para la inferencia insesgada de la duración de la estancia en UCI, se implementa un remuestreo a partir de las distribuciones condicionales de los participantes de la duración de estancia en UCI, dada su duración en el hospital, grupo de edad y estado de superviviente (o no). </w:t>
      </w:r>
      <w:r w:rsidRPr="00C6055F">
        <w:rPr>
          <w:rFonts w:ascii="Arial" w:hAnsi="Arial" w:cs="Arial"/>
          <w:color w:val="2E2E2E"/>
          <w:sz w:val="21"/>
          <w:szCs w:val="21"/>
          <w:highlight w:val="yellow"/>
          <w:lang w:val="en-US" w:eastAsia="es-CO"/>
        </w:rPr>
        <w:t>(For unbiased inference of the duration of ICU stay, we resampled observations from participants' conditional distribution of ICU lengths of stay given their duration of hospital admission, age group, and survivor or no-survivor status).</w:t>
      </w:r>
      <w:r w:rsidRPr="00DE4DF8">
        <w:rPr>
          <w:rFonts w:ascii="Arial" w:hAnsi="Arial" w:cs="Arial"/>
          <w:color w:val="2E2E2E"/>
          <w:sz w:val="21"/>
          <w:szCs w:val="21"/>
          <w:lang w:val="en-US" w:eastAsia="es-CO"/>
        </w:rPr>
        <w:t xml:space="preserve"> </w:t>
      </w:r>
    </w:p>
    <w:p w14:paraId="030A4931" w14:textId="77777777" w:rsidR="00DE4DF8" w:rsidRPr="00DE4DF8" w:rsidRDefault="00DE4DF8" w:rsidP="00DE4DF8">
      <w:pPr>
        <w:shd w:val="clear" w:color="auto" w:fill="FFFFFF"/>
        <w:rPr>
          <w:rFonts w:ascii="Arial" w:hAnsi="Arial" w:cs="Arial"/>
          <w:color w:val="2E2E2E"/>
          <w:sz w:val="21"/>
          <w:szCs w:val="21"/>
          <w:lang w:val="en-US" w:eastAsia="es-CO"/>
        </w:rPr>
      </w:pPr>
      <w:r w:rsidRPr="00DE4DF8">
        <w:rPr>
          <w:rFonts w:ascii="Arial"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color w:val="2E2E2E"/>
          <w:sz w:val="21"/>
          <w:szCs w:val="21"/>
          <w:lang w:val="es-CO" w:eastAsia="es-CO"/>
        </w:rPr>
        <w:t>Se ajustan los parámetros de la distribución Weibull a los datos del remuestreo a través del principio de máximo verosimilitud para reconstruir las distribuciones insesgadas de la duración total de la estancia en UCI (</w:t>
      </w:r>
      <w:r w:rsidRPr="00C6055F">
        <w:rPr>
          <w:rFonts w:ascii="Arial" w:hAnsi="Arial" w:cs="Arial"/>
          <w:color w:val="2E2E2E"/>
          <w:sz w:val="21"/>
          <w:szCs w:val="21"/>
          <w:highlight w:val="yellow"/>
          <w:lang w:val="es-CO" w:eastAsia="es-CO"/>
        </w:rPr>
        <w:t>We fitted Weibull distribution parameters to the resampled data through maximum likelihood to reconstruct unbiased distributions of the total duration of ICU stay</w:t>
      </w:r>
      <w:r w:rsidRPr="00DE4DF8">
        <w:rPr>
          <w:rFonts w:ascii="Arial"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color w:val="2E2E2E"/>
          <w:sz w:val="21"/>
          <w:szCs w:val="21"/>
          <w:lang w:val="es-CO" w:eastAsia="es-CO"/>
        </w:rPr>
        <w:br/>
      </w:r>
    </w:p>
    <w:p w14:paraId="00C0E939" w14:textId="7F98EB21" w:rsidR="00DE4DF8" w:rsidRDefault="00DE4DF8" w:rsidP="00DE4DF8">
      <w:pPr>
        <w:shd w:val="clear" w:color="auto" w:fill="FFFFFF"/>
        <w:rPr>
          <w:rFonts w:ascii="Arial" w:hAnsi="Arial" w:cs="Arial"/>
          <w:color w:val="2E2E2E"/>
          <w:sz w:val="21"/>
          <w:szCs w:val="21"/>
          <w:lang w:val="es-CO" w:eastAsia="es-CO"/>
        </w:rPr>
      </w:pPr>
      <w:r w:rsidRPr="00DE4DF8">
        <w:rPr>
          <w:rFonts w:ascii="Arial" w:hAnsi="Arial" w:cs="Arial"/>
          <w:b/>
          <w:bCs/>
          <w:color w:val="2E2E2E"/>
          <w:sz w:val="21"/>
          <w:szCs w:val="21"/>
          <w:lang w:val="es-CO" w:eastAsia="es-CO"/>
        </w:rPr>
        <w:t xml:space="preserve">[3] Probabilidad de admisión: </w:t>
      </w:r>
      <w:r w:rsidRPr="00DE4DF8">
        <w:rPr>
          <w:rFonts w:ascii="Arial"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r w:rsidRPr="00C6055F">
        <w:rPr>
          <w:rFonts w:ascii="Arial" w:hAnsi="Arial" w:cs="Arial"/>
          <w:color w:val="2E2E2E"/>
          <w:sz w:val="21"/>
          <w:szCs w:val="21"/>
          <w:highlight w:val="yellow"/>
          <w:lang w:val="es-CO" w:eastAsia="es-CO"/>
        </w:rPr>
        <w:t>Using generalized linear models with Poisson link function, we estimated the conditional probability of each outcome among those with completed hospital admissions given the duration of hospital stay, age, and sex</w:t>
      </w:r>
      <w:r w:rsidRPr="00DE4DF8">
        <w:rPr>
          <w:rFonts w:ascii="Arial" w:hAnsi="Arial" w:cs="Arial"/>
          <w:color w:val="2E2E2E"/>
          <w:sz w:val="21"/>
          <w:szCs w:val="21"/>
          <w:lang w:val="es-CO" w:eastAsia="es-CO"/>
        </w:rPr>
        <w:t>)</w:t>
      </w:r>
    </w:p>
    <w:p w14:paraId="28814E45" w14:textId="03A47B85" w:rsidR="0085465C" w:rsidRDefault="0085465C" w:rsidP="00DE4DF8">
      <w:pPr>
        <w:shd w:val="clear" w:color="auto" w:fill="FFFFFF"/>
        <w:rPr>
          <w:rFonts w:ascii="Arial" w:hAnsi="Arial" w:cs="Arial"/>
          <w:color w:val="2E2E2E"/>
          <w:sz w:val="21"/>
          <w:szCs w:val="21"/>
          <w:lang w:val="es-CO" w:eastAsia="es-CO"/>
        </w:rPr>
      </w:pPr>
    </w:p>
    <w:p w14:paraId="79D4A168" w14:textId="77777777" w:rsidR="00C70248" w:rsidRDefault="00C70248">
      <w:pPr>
        <w:rPr>
          <w:rFonts w:ascii="Arial" w:hAnsi="Arial" w:cs="Arial"/>
          <w:b/>
          <w:bCs/>
          <w:color w:val="2E2E2E"/>
          <w:sz w:val="21"/>
          <w:szCs w:val="21"/>
          <w:lang w:val="es-CO" w:eastAsia="es-CO"/>
        </w:rPr>
      </w:pPr>
    </w:p>
    <w:p w14:paraId="7103D7CD" w14:textId="77777777" w:rsidR="00C70248" w:rsidRDefault="00C70248" w:rsidP="00C70248">
      <w:pPr>
        <w:pStyle w:val="ListParagraph"/>
        <w:numPr>
          <w:ilvl w:val="0"/>
          <w:numId w:val="21"/>
        </w:numPr>
        <w:rPr>
          <w:rFonts w:ascii="Times New Roman" w:eastAsia="Times New Roman" w:hAnsi="Times New Roman" w:cs="Times New Roman"/>
          <w:sz w:val="24"/>
          <w:szCs w:val="24"/>
        </w:rPr>
      </w:pPr>
      <w:r w:rsidRPr="00C70248">
        <w:rPr>
          <w:rFonts w:ascii="Times New Roman" w:eastAsia="Times New Roman" w:hAnsi="Times New Roman" w:cs="Times New Roman"/>
          <w:b/>
          <w:bCs/>
          <w:sz w:val="24"/>
          <w:szCs w:val="24"/>
        </w:rPr>
        <w:t xml:space="preserve">Anotaciones generales a Vekaria, B., Overton, C., Wiśniowski, A., Ahmad, S., Aparicio-Castro, A., Curran-Sebastian, J., Eddleston, J., Hanley, N. A., House, T., Kim, J., Olsen, W., Pampaka, M., Pellis, L., Ruiz, D. P., Schofield, J., Shryane, N., &amp; Elliot, M. J. (2021). </w:t>
      </w:r>
      <w:r w:rsidRPr="00536BB9">
        <w:rPr>
          <w:rFonts w:ascii="Times New Roman" w:eastAsia="Times New Roman" w:hAnsi="Times New Roman" w:cs="Times New Roman"/>
          <w:b/>
          <w:bCs/>
          <w:sz w:val="24"/>
          <w:szCs w:val="24"/>
          <w:lang w:val="en-US"/>
        </w:rPr>
        <w:t xml:space="preserve">Hospital length of stay for COVID-19 patients: Data-driven methods for forward planning. </w:t>
      </w:r>
      <w:r w:rsidRPr="00C70248">
        <w:rPr>
          <w:rFonts w:ascii="Times New Roman" w:eastAsia="Times New Roman" w:hAnsi="Times New Roman" w:cs="Times New Roman"/>
          <w:b/>
          <w:bCs/>
          <w:i/>
          <w:iCs/>
          <w:sz w:val="24"/>
          <w:szCs w:val="24"/>
        </w:rPr>
        <w:t xml:space="preserve">BMC </w:t>
      </w:r>
      <w:proofErr w:type="spellStart"/>
      <w:r w:rsidRPr="00C70248">
        <w:rPr>
          <w:rFonts w:ascii="Times New Roman" w:eastAsia="Times New Roman" w:hAnsi="Times New Roman" w:cs="Times New Roman"/>
          <w:b/>
          <w:bCs/>
          <w:i/>
          <w:iCs/>
          <w:sz w:val="24"/>
          <w:szCs w:val="24"/>
        </w:rPr>
        <w:t>Infectious</w:t>
      </w:r>
      <w:proofErr w:type="spellEnd"/>
      <w:r w:rsidRPr="00C70248">
        <w:rPr>
          <w:rFonts w:ascii="Times New Roman" w:eastAsia="Times New Roman" w:hAnsi="Times New Roman" w:cs="Times New Roman"/>
          <w:b/>
          <w:bCs/>
          <w:i/>
          <w:iCs/>
          <w:sz w:val="24"/>
          <w:szCs w:val="24"/>
        </w:rPr>
        <w:t xml:space="preserve"> </w:t>
      </w:r>
      <w:proofErr w:type="spellStart"/>
      <w:r w:rsidRPr="00C70248">
        <w:rPr>
          <w:rFonts w:ascii="Times New Roman" w:eastAsia="Times New Roman" w:hAnsi="Times New Roman" w:cs="Times New Roman"/>
          <w:b/>
          <w:bCs/>
          <w:i/>
          <w:iCs/>
          <w:sz w:val="24"/>
          <w:szCs w:val="24"/>
        </w:rPr>
        <w:t>Diseases</w:t>
      </w:r>
      <w:proofErr w:type="spellEnd"/>
      <w:r w:rsidRPr="00C70248">
        <w:rPr>
          <w:rFonts w:ascii="Times New Roman" w:eastAsia="Times New Roman" w:hAnsi="Times New Roman" w:cs="Times New Roman"/>
          <w:b/>
          <w:bCs/>
          <w:sz w:val="24"/>
          <w:szCs w:val="24"/>
        </w:rPr>
        <w:t xml:space="preserve">, </w:t>
      </w:r>
      <w:r w:rsidRPr="00C70248">
        <w:rPr>
          <w:rFonts w:ascii="Times New Roman" w:eastAsia="Times New Roman" w:hAnsi="Times New Roman" w:cs="Times New Roman"/>
          <w:b/>
          <w:bCs/>
          <w:i/>
          <w:iCs/>
          <w:sz w:val="24"/>
          <w:szCs w:val="24"/>
        </w:rPr>
        <w:t>21</w:t>
      </w:r>
      <w:r w:rsidRPr="00C70248">
        <w:rPr>
          <w:rFonts w:ascii="Times New Roman" w:eastAsia="Times New Roman" w:hAnsi="Times New Roman" w:cs="Times New Roman"/>
          <w:b/>
          <w:bCs/>
          <w:sz w:val="24"/>
          <w:szCs w:val="24"/>
        </w:rPr>
        <w:t>(1).</w:t>
      </w:r>
    </w:p>
    <w:p w14:paraId="7F231D5C" w14:textId="77777777" w:rsidR="00C70248" w:rsidRDefault="00C70248" w:rsidP="00C70248">
      <w:pPr>
        <w:ind w:left="360"/>
        <w:rPr>
          <w:b/>
          <w:bCs/>
        </w:rPr>
      </w:pPr>
    </w:p>
    <w:p w14:paraId="38920A75" w14:textId="077DC60A" w:rsidR="00C70248" w:rsidRPr="00C70248" w:rsidRDefault="00C70248" w:rsidP="00C70248">
      <w:proofErr w:type="spellStart"/>
      <w:r w:rsidRPr="00536BB9">
        <w:rPr>
          <w:b/>
          <w:bCs/>
          <w:lang w:val="en-US"/>
        </w:rPr>
        <w:t>Rmk</w:t>
      </w:r>
      <w:proofErr w:type="spellEnd"/>
      <w:r w:rsidRPr="00536BB9">
        <w:rPr>
          <w:b/>
          <w:bCs/>
          <w:lang w:val="en-US"/>
        </w:rPr>
        <w:t xml:space="preserve"> 1: </w:t>
      </w:r>
      <w:proofErr w:type="spellStart"/>
      <w:r w:rsidRPr="00536BB9">
        <w:rPr>
          <w:lang w:val="en-US"/>
        </w:rPr>
        <w:t>Vekaria</w:t>
      </w:r>
      <w:proofErr w:type="spellEnd"/>
      <w:r w:rsidRPr="00536BB9">
        <w:rPr>
          <w:lang w:val="en-US"/>
        </w:rPr>
        <w:t xml:space="preserve"> et al. (2021) </w:t>
      </w:r>
      <w:proofErr w:type="spellStart"/>
      <w:r w:rsidRPr="00536BB9">
        <w:rPr>
          <w:lang w:val="en-US"/>
        </w:rPr>
        <w:t>presentan</w:t>
      </w:r>
      <w:proofErr w:type="spellEnd"/>
      <w:r w:rsidRPr="00536BB9">
        <w:rPr>
          <w:lang w:val="en-US"/>
        </w:rPr>
        <w:t xml:space="preserve"> </w:t>
      </w:r>
      <w:proofErr w:type="spellStart"/>
      <w:r w:rsidRPr="00536BB9">
        <w:rPr>
          <w:lang w:val="en-US"/>
        </w:rPr>
        <w:t>tres</w:t>
      </w:r>
      <w:proofErr w:type="spellEnd"/>
      <w:r w:rsidRPr="00536BB9">
        <w:rPr>
          <w:lang w:val="en-US"/>
        </w:rPr>
        <w:t xml:space="preserve"> </w:t>
      </w:r>
      <w:proofErr w:type="spellStart"/>
      <w:r w:rsidRPr="00536BB9">
        <w:rPr>
          <w:lang w:val="en-US"/>
        </w:rPr>
        <w:t>métodos</w:t>
      </w:r>
      <w:proofErr w:type="spellEnd"/>
      <w:r w:rsidRPr="00536BB9">
        <w:rPr>
          <w:lang w:val="en-US"/>
        </w:rPr>
        <w:t xml:space="preserve"> para </w:t>
      </w:r>
      <w:proofErr w:type="spellStart"/>
      <w:r w:rsidRPr="00536BB9">
        <w:rPr>
          <w:lang w:val="en-US"/>
        </w:rPr>
        <w:t>estimar</w:t>
      </w:r>
      <w:proofErr w:type="spellEnd"/>
      <w:r w:rsidRPr="00536BB9">
        <w:rPr>
          <w:lang w:val="en-US"/>
        </w:rPr>
        <w:t xml:space="preserve"> el </w:t>
      </w:r>
      <w:proofErr w:type="spellStart"/>
      <w:r w:rsidRPr="00536BB9">
        <w:rPr>
          <w:lang w:val="en-US"/>
        </w:rPr>
        <w:t>tiempo</w:t>
      </w:r>
      <w:proofErr w:type="spellEnd"/>
      <w:r w:rsidRPr="00536BB9">
        <w:rPr>
          <w:lang w:val="en-US"/>
        </w:rPr>
        <w:t xml:space="preserve"> de </w:t>
      </w:r>
      <w:proofErr w:type="spellStart"/>
      <w:r w:rsidRPr="00536BB9">
        <w:rPr>
          <w:lang w:val="en-US"/>
        </w:rPr>
        <w:t>permanencia</w:t>
      </w:r>
      <w:proofErr w:type="spellEnd"/>
      <w:r w:rsidRPr="00536BB9">
        <w:rPr>
          <w:lang w:val="en-US"/>
        </w:rPr>
        <w:t xml:space="preserve"> de </w:t>
      </w:r>
      <w:proofErr w:type="spellStart"/>
      <w:r w:rsidRPr="00536BB9">
        <w:rPr>
          <w:lang w:val="en-US"/>
        </w:rPr>
        <w:t>pacientes</w:t>
      </w:r>
      <w:proofErr w:type="spellEnd"/>
      <w:r w:rsidRPr="00536BB9">
        <w:rPr>
          <w:lang w:val="en-US"/>
        </w:rPr>
        <w:t xml:space="preserve"> con COVID-19: </w:t>
      </w:r>
      <w:r w:rsidRPr="00536BB9">
        <w:rPr>
          <w:lang w:val="en-US"/>
        </w:rPr>
        <w:br/>
      </w:r>
      <w:r w:rsidRPr="00536BB9">
        <w:rPr>
          <w:lang w:val="en-US"/>
        </w:rPr>
        <w:br/>
      </w:r>
      <w:r w:rsidRPr="00536BB9">
        <w:rPr>
          <w:b/>
          <w:bCs/>
          <w:lang w:val="en-US"/>
        </w:rPr>
        <w:t xml:space="preserve">[1] </w:t>
      </w:r>
      <w:r w:rsidRPr="00536BB9">
        <w:rPr>
          <w:lang w:val="en-US"/>
        </w:rPr>
        <w:t>The truncation corrected (TC) method corrects for the fact that observations are truncated at the day of reporting.</w:t>
      </w:r>
      <w:r w:rsidRPr="00536BB9">
        <w:rPr>
          <w:lang w:val="en-US"/>
        </w:rPr>
        <w:br/>
      </w:r>
      <w:r w:rsidRPr="00536BB9">
        <w:rPr>
          <w:lang w:val="en-US"/>
        </w:rPr>
        <w:br/>
      </w:r>
      <w:r w:rsidRPr="00536BB9">
        <w:rPr>
          <w:b/>
          <w:bCs/>
          <w:lang w:val="en-US"/>
        </w:rPr>
        <w:t xml:space="preserve">[2] </w:t>
      </w:r>
      <w:r w:rsidRPr="00536BB9">
        <w:rPr>
          <w:lang w:val="en-US"/>
        </w:rPr>
        <w:t>Accelerated failure time models (AFT) explicitly account for all observed length of stay including those censored by not having seen the outcome.</w:t>
      </w:r>
      <w:r w:rsidRPr="00536BB9">
        <w:rPr>
          <w:lang w:val="en-US"/>
        </w:rPr>
        <w:br/>
      </w:r>
      <w:r w:rsidRPr="00536BB9">
        <w:rPr>
          <w:lang w:val="en-US"/>
        </w:rPr>
        <w:br/>
      </w:r>
      <w:r w:rsidRPr="00536BB9">
        <w:rPr>
          <w:b/>
          <w:bCs/>
          <w:lang w:val="en-US"/>
        </w:rPr>
        <w:t xml:space="preserve">[3] </w:t>
      </w:r>
      <w:r w:rsidRPr="00536BB9">
        <w:rPr>
          <w:lang w:val="en-US"/>
        </w:rPr>
        <w:t>Multi-state (MS) approach analyses length of stay and takes into account dependence between outcomes such as discharge or death.</w:t>
      </w:r>
      <w:r w:rsidRPr="00536BB9">
        <w:rPr>
          <w:lang w:val="en-US"/>
        </w:rPr>
        <w:br/>
      </w:r>
      <w:r w:rsidRPr="00536BB9">
        <w:rPr>
          <w:lang w:val="en-US"/>
        </w:rPr>
        <w:br/>
      </w:r>
      <w:proofErr w:type="spellStart"/>
      <w:r w:rsidRPr="00536BB9">
        <w:rPr>
          <w:b/>
          <w:bCs/>
          <w:lang w:val="en-US"/>
        </w:rPr>
        <w:t>Rmk</w:t>
      </w:r>
      <w:proofErr w:type="spellEnd"/>
      <w:r w:rsidRPr="00536BB9">
        <w:rPr>
          <w:b/>
          <w:bCs/>
          <w:lang w:val="en-US"/>
        </w:rPr>
        <w:t xml:space="preserve"> 2: </w:t>
      </w:r>
      <w:r w:rsidRPr="00536BB9">
        <w:rPr>
          <w:lang w:val="en-US"/>
        </w:rPr>
        <w:t xml:space="preserve">La </w:t>
      </w:r>
      <w:proofErr w:type="spellStart"/>
      <w:r w:rsidRPr="00536BB9">
        <w:rPr>
          <w:lang w:val="en-US"/>
        </w:rPr>
        <w:t>muestra</w:t>
      </w:r>
      <w:proofErr w:type="spellEnd"/>
      <w:r w:rsidRPr="00536BB9">
        <w:rPr>
          <w:lang w:val="en-US"/>
        </w:rPr>
        <w:t xml:space="preserve"> </w:t>
      </w:r>
      <w:proofErr w:type="spellStart"/>
      <w:r w:rsidRPr="00536BB9">
        <w:rPr>
          <w:lang w:val="en-US"/>
        </w:rPr>
        <w:t>empleada</w:t>
      </w:r>
      <w:proofErr w:type="spellEnd"/>
      <w:r w:rsidRPr="00536BB9">
        <w:rPr>
          <w:lang w:val="en-US"/>
        </w:rPr>
        <w:t xml:space="preserve"> </w:t>
      </w:r>
      <w:proofErr w:type="spellStart"/>
      <w:r w:rsidRPr="00536BB9">
        <w:rPr>
          <w:lang w:val="en-US"/>
        </w:rPr>
        <w:t>corresponde</w:t>
      </w:r>
      <w:proofErr w:type="spellEnd"/>
      <w:r w:rsidRPr="00536BB9">
        <w:rPr>
          <w:lang w:val="en-US"/>
        </w:rPr>
        <w:t xml:space="preserve"> a "patients with COVID-19 infection using both a nationally collected dataset and local data from a large inner city hospital Trust in the UK". </w:t>
      </w:r>
      <w:r w:rsidRPr="00C70248">
        <w:t xml:space="preserve">Se consideran los siguientes tiempos de permanencia: primero, el tiempo de permanencia desde la entrada al hospital hasta la muerte o ser dado de alta; segundo, el tiempo de estancia desde la admisión en el hospital hasta el ingreso a UCI; y tercero, </w:t>
      </w:r>
      <w:r w:rsidRPr="00C70248">
        <w:rPr>
          <w:b/>
          <w:bCs/>
          <w:u w:val="single"/>
        </w:rPr>
        <w:t>el tiempo de estancia en UCI</w:t>
      </w:r>
      <w:r w:rsidRPr="00C70248">
        <w:t>.</w:t>
      </w:r>
      <w:r w:rsidRPr="00C70248">
        <w:br/>
      </w:r>
      <w:r w:rsidRPr="00C70248">
        <w:br/>
      </w:r>
      <w:r w:rsidRPr="00C70248">
        <w:rPr>
          <w:b/>
          <w:bCs/>
        </w:rPr>
        <w:t xml:space="preserve">Rmk 3: </w:t>
      </w:r>
      <w:r w:rsidRPr="00C70248">
        <w:t xml:space="preserve">el análisis de supevivencia puede suponer una distribución subyacente (underlying </w:t>
      </w:r>
      <w:r w:rsidRPr="00C70248">
        <w:lastRenderedPageBreak/>
        <w:t xml:space="preserve">distribution) para el tiempo de estancia en cada estado. Generalmente, el tiempo de permanencia es asimétrico positivo, lo cual implica que se puede emplear una distribución asimétrica. </w:t>
      </w:r>
      <w:r w:rsidRPr="00C70248">
        <w:br/>
      </w:r>
      <w:r w:rsidRPr="00C70248">
        <w:br/>
        <w:t>Vekaria et al. (2021) suponen que el tiempo de permanencia supone una distribución de Weibull .</w:t>
      </w:r>
      <w:r w:rsidRPr="00C70248">
        <w:br/>
      </w:r>
      <w:r w:rsidRPr="00C70248">
        <w:br/>
      </w:r>
      <w:r w:rsidRPr="00C6055F">
        <w:rPr>
          <w:b/>
          <w:bCs/>
          <w:highlight w:val="yellow"/>
        </w:rPr>
        <w:t xml:space="preserve">Rmk 4 [Accelerated failure time (AFT) model]: </w:t>
      </w:r>
      <w:r w:rsidRPr="00C6055F">
        <w:rPr>
          <w:highlight w:val="yellow"/>
        </w:rPr>
        <w:t>el propósito es estimar el tiempo de permanencia en relación con un estado específico (por ejemplo, el tiempo desde la admisión en el hospital hasta la admisión en UCI). El modelo presentado sigue la forma Ln(t) = XB + E, donde X es un vector de variables explicativas.</w:t>
      </w:r>
      <w:r w:rsidRPr="00C70248">
        <w:br/>
      </w:r>
      <w:r w:rsidRPr="00C70248">
        <w:br/>
        <w:t>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w:t>
      </w:r>
      <w:r w:rsidRPr="00C70248">
        <w:br/>
      </w:r>
      <w:r w:rsidRPr="00C70248">
        <w:br/>
        <w:t xml:space="preserve">¿Cuál es la limitación principal del AFT model? Presupone la estimación del tiempo de permanencia hasta la ocurrencia de un evento, el evento de interés. Sin embargo, cuando el desenlace es doble: muerte o ser dado de alta, se deben correr dos modelos. </w:t>
      </w:r>
      <w:r w:rsidRPr="00C70248">
        <w:br/>
      </w:r>
      <w:r w:rsidRPr="00C70248">
        <w:b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r w:rsidRPr="00C70248">
        <w:br/>
      </w:r>
      <w:r w:rsidRPr="00C70248">
        <w:br/>
        <w:t>¿Cómo solucionan la limitación? Aun cuando existen dos desenlaces, se considera un único evento de interés: estar muerto o ser dado de alta. (Para el tratamiento formal, véase los apuntes).</w:t>
      </w:r>
      <w:r w:rsidRPr="00C70248">
        <w:br/>
      </w:r>
      <w:r w:rsidRPr="00C70248">
        <w:br/>
        <w:t>Nótese que el modelo AFT considera riesgos en competencia en la misma línea sugerida por Lewnard et al. (2021).</w:t>
      </w:r>
      <w:r w:rsidRPr="00C70248">
        <w:br/>
      </w:r>
      <w:r w:rsidRPr="00C70248">
        <w:br/>
      </w:r>
      <w:r w:rsidRPr="00C6055F">
        <w:rPr>
          <w:b/>
          <w:bCs/>
          <w:highlight w:val="yellow"/>
        </w:rPr>
        <w:t xml:space="preserve">Rmk 5 [Truncation Corrected Method]: </w:t>
      </w:r>
      <w:r w:rsidRPr="00C6055F">
        <w:rPr>
          <w:highlight w:val="yellow"/>
        </w:rPr>
        <w:t>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w:t>
      </w:r>
    </w:p>
    <w:p w14:paraId="55A7F9C7" w14:textId="77777777" w:rsidR="00C70248" w:rsidRPr="00C70248" w:rsidRDefault="00C70248" w:rsidP="00C70248"/>
    <w:p w14:paraId="282627E1" w14:textId="77777777" w:rsidR="00C70248" w:rsidRPr="00C70248" w:rsidRDefault="00C70248" w:rsidP="00C70248">
      <w:r w:rsidRPr="00C70248">
        <w:t xml:space="preserve">Puesto que el LoS no es observado en todos los casos, existen datos truncados. Así, X se define como E2 = E1 + X, donde E2 y E1 es el evento final y el evento inicial, respectivamente. </w:t>
      </w:r>
    </w:p>
    <w:p w14:paraId="5AD49B62" w14:textId="77777777" w:rsidR="00C70248" w:rsidRPr="00C70248" w:rsidRDefault="00C70248" w:rsidP="00C70248"/>
    <w:p w14:paraId="2959E4BB" w14:textId="77777777" w:rsidR="00C70248" w:rsidRPr="00C70248" w:rsidRDefault="00C70248" w:rsidP="00C70248">
      <w:r w:rsidRPr="00C70248">
        <w:t>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w:t>
      </w:r>
    </w:p>
    <w:p w14:paraId="78A8A383" w14:textId="77777777" w:rsidR="00C70248" w:rsidRPr="00C70248" w:rsidRDefault="00C70248" w:rsidP="00C70248"/>
    <w:p w14:paraId="7895C0AA" w14:textId="77777777" w:rsidR="00C70248" w:rsidRPr="00C70248" w:rsidRDefault="00C70248" w:rsidP="00C70248">
      <w:pPr>
        <w:rPr>
          <w:highlight w:val="yellow"/>
        </w:rPr>
      </w:pPr>
      <w:r w:rsidRPr="00C70248">
        <w:rPr>
          <w:b/>
          <w:bCs/>
          <w:highlight w:val="yellow"/>
        </w:rPr>
        <w:t xml:space="preserve">Rmk 6 [Multi-state model]: </w:t>
      </w:r>
      <w:r w:rsidRPr="00C70248">
        <w:rPr>
          <w:highlight w:val="yellow"/>
        </w:rPr>
        <w:t>el multi-state model permite modelar el tiempo con desenlaces múltiples en presencia de riesgos en competencia.</w:t>
      </w:r>
    </w:p>
    <w:p w14:paraId="240D1F23" w14:textId="77777777" w:rsidR="00C70248" w:rsidRPr="00C70248" w:rsidRDefault="00C70248" w:rsidP="00C70248">
      <w:pPr>
        <w:rPr>
          <w:highlight w:val="yellow"/>
        </w:rPr>
      </w:pPr>
    </w:p>
    <w:p w14:paraId="2670526A" w14:textId="77777777" w:rsidR="00C70248" w:rsidRPr="00C70248" w:rsidRDefault="00C70248" w:rsidP="00C70248">
      <w:pPr>
        <w:rPr>
          <w:highlight w:val="yellow"/>
        </w:rPr>
      </w:pPr>
      <w:r w:rsidRPr="00C70248">
        <w:rPr>
          <w:highlight w:val="yellow"/>
        </w:rPr>
        <w:t>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w:t>
      </w:r>
    </w:p>
    <w:p w14:paraId="3E167809" w14:textId="77777777" w:rsidR="00C70248" w:rsidRPr="00C70248" w:rsidRDefault="00C70248" w:rsidP="00C70248">
      <w:pPr>
        <w:rPr>
          <w:highlight w:val="yellow"/>
        </w:rPr>
      </w:pPr>
    </w:p>
    <w:p w14:paraId="7F07CEB4" w14:textId="77777777" w:rsidR="00C70248" w:rsidRPr="00C70248" w:rsidRDefault="00C70248" w:rsidP="00C70248">
      <w:r w:rsidRPr="00C70248">
        <w:rPr>
          <w:highlight w:val="yellow"/>
        </w:rPr>
        <w:t>Así, a partir de los datos, se construyen series de eventos en el tiempo y tiempos de permanencia, donde cada uno corresponde a un cambio de estado.</w:t>
      </w:r>
      <w:r w:rsidRPr="00C70248">
        <w:t xml:space="preserve"> </w:t>
      </w:r>
    </w:p>
    <w:p w14:paraId="6991BCA2" w14:textId="77777777" w:rsidR="00C70248" w:rsidRPr="00C70248" w:rsidRDefault="00C70248" w:rsidP="00C70248">
      <w:pPr>
        <w:rPr>
          <w:b/>
          <w:bCs/>
        </w:rPr>
      </w:pPr>
    </w:p>
    <w:p w14:paraId="661ED421" w14:textId="287D35D3" w:rsidR="00C70248" w:rsidRDefault="00C70248" w:rsidP="00C70248">
      <w:r w:rsidRPr="00C70248">
        <w:rPr>
          <w:b/>
          <w:bCs/>
        </w:rPr>
        <w:t>Rmk 7</w:t>
      </w:r>
      <w:r w:rsidRPr="00C70248">
        <w:t xml:space="preserve">: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 </w:t>
      </w:r>
    </w:p>
    <w:p w14:paraId="6686B392" w14:textId="77777777" w:rsidR="007B58B3" w:rsidRDefault="007B58B3" w:rsidP="00C70248"/>
    <w:p w14:paraId="7BC9D2E2" w14:textId="77777777" w:rsidR="007B58B3" w:rsidRPr="007B58B3" w:rsidRDefault="007B58B3" w:rsidP="007B58B3">
      <w:pPr>
        <w:pStyle w:val="ListParagraph"/>
        <w:numPr>
          <w:ilvl w:val="0"/>
          <w:numId w:val="21"/>
        </w:numPr>
        <w:rPr>
          <w:rFonts w:ascii="Times New Roman" w:eastAsia="Times New Roman" w:hAnsi="Times New Roman" w:cs="Times New Roman"/>
          <w:sz w:val="24"/>
          <w:szCs w:val="24"/>
        </w:rPr>
      </w:pPr>
      <w:r w:rsidRPr="007B58B3">
        <w:rPr>
          <w:rFonts w:ascii="Times New Roman" w:hAnsi="Times New Roman" w:cs="Times New Roman"/>
          <w:b/>
          <w:bCs/>
          <w:sz w:val="24"/>
          <w:szCs w:val="24"/>
        </w:rPr>
        <w:t xml:space="preserve">Anotaciones generales sobre </w:t>
      </w:r>
      <w:proofErr w:type="spellStart"/>
      <w:r w:rsidRPr="007B58B3">
        <w:rPr>
          <w:rFonts w:ascii="Times New Roman" w:hAnsi="Times New Roman" w:cs="Times New Roman"/>
          <w:b/>
          <w:bCs/>
          <w:sz w:val="24"/>
          <w:szCs w:val="24"/>
        </w:rPr>
        <w:t>Lapidus</w:t>
      </w:r>
      <w:proofErr w:type="spellEnd"/>
      <w:r w:rsidRPr="007B58B3">
        <w:rPr>
          <w:rFonts w:ascii="Times New Roman" w:hAnsi="Times New Roman" w:cs="Times New Roman"/>
          <w:b/>
          <w:bCs/>
          <w:sz w:val="24"/>
          <w:szCs w:val="24"/>
        </w:rPr>
        <w:t xml:space="preserve">, N., Zhou, X., </w:t>
      </w:r>
      <w:proofErr w:type="spellStart"/>
      <w:r w:rsidRPr="007B58B3">
        <w:rPr>
          <w:rFonts w:ascii="Times New Roman" w:hAnsi="Times New Roman" w:cs="Times New Roman"/>
          <w:b/>
          <w:bCs/>
          <w:sz w:val="24"/>
          <w:szCs w:val="24"/>
        </w:rPr>
        <w:t>Carrat</w:t>
      </w:r>
      <w:proofErr w:type="spellEnd"/>
      <w:r w:rsidRPr="007B58B3">
        <w:rPr>
          <w:rFonts w:ascii="Times New Roman" w:hAnsi="Times New Roman" w:cs="Times New Roman"/>
          <w:b/>
          <w:bCs/>
          <w:sz w:val="24"/>
          <w:szCs w:val="24"/>
        </w:rPr>
        <w:t xml:space="preserve">, F., </w:t>
      </w:r>
      <w:proofErr w:type="spellStart"/>
      <w:r w:rsidRPr="007B58B3">
        <w:rPr>
          <w:rFonts w:ascii="Times New Roman" w:hAnsi="Times New Roman" w:cs="Times New Roman"/>
          <w:b/>
          <w:bCs/>
          <w:sz w:val="24"/>
          <w:szCs w:val="24"/>
        </w:rPr>
        <w:t>Riou</w:t>
      </w:r>
      <w:proofErr w:type="spellEnd"/>
      <w:r w:rsidRPr="007B58B3">
        <w:rPr>
          <w:rFonts w:ascii="Times New Roman" w:hAnsi="Times New Roman" w:cs="Times New Roman"/>
          <w:b/>
          <w:bCs/>
          <w:sz w:val="24"/>
          <w:szCs w:val="24"/>
        </w:rPr>
        <w:t xml:space="preserve">, B., Zhao, Y., &amp; </w:t>
      </w:r>
      <w:proofErr w:type="spellStart"/>
      <w:r w:rsidRPr="007B58B3">
        <w:rPr>
          <w:rFonts w:ascii="Times New Roman" w:hAnsi="Times New Roman" w:cs="Times New Roman"/>
          <w:b/>
          <w:bCs/>
          <w:sz w:val="24"/>
          <w:szCs w:val="24"/>
        </w:rPr>
        <w:t>Hejblum</w:t>
      </w:r>
      <w:proofErr w:type="spellEnd"/>
      <w:r w:rsidRPr="007B58B3">
        <w:rPr>
          <w:rFonts w:ascii="Times New Roman" w:hAnsi="Times New Roman" w:cs="Times New Roman"/>
          <w:b/>
          <w:bCs/>
          <w:sz w:val="24"/>
          <w:szCs w:val="24"/>
        </w:rPr>
        <w:t xml:space="preserve">, G. (2020). </w:t>
      </w:r>
      <w:r w:rsidRPr="007B58B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7B58B3">
        <w:rPr>
          <w:rFonts w:ascii="Times New Roman" w:hAnsi="Times New Roman" w:cs="Times New Roman"/>
          <w:b/>
          <w:bCs/>
          <w:i/>
          <w:iCs/>
          <w:sz w:val="24"/>
          <w:szCs w:val="24"/>
        </w:rPr>
        <w:t>Annals</w:t>
      </w:r>
      <w:proofErr w:type="spellEnd"/>
      <w:r w:rsidRPr="007B58B3">
        <w:rPr>
          <w:rFonts w:ascii="Times New Roman" w:hAnsi="Times New Roman" w:cs="Times New Roman"/>
          <w:b/>
          <w:bCs/>
          <w:i/>
          <w:iCs/>
          <w:sz w:val="24"/>
          <w:szCs w:val="24"/>
        </w:rPr>
        <w:t xml:space="preserve"> of </w:t>
      </w:r>
      <w:proofErr w:type="spellStart"/>
      <w:r w:rsidRPr="007B58B3">
        <w:rPr>
          <w:rFonts w:ascii="Times New Roman" w:hAnsi="Times New Roman" w:cs="Times New Roman"/>
          <w:b/>
          <w:bCs/>
          <w:i/>
          <w:iCs/>
          <w:sz w:val="24"/>
          <w:szCs w:val="24"/>
        </w:rPr>
        <w:t>Intensive</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Care</w:t>
      </w:r>
      <w:proofErr w:type="spellEnd"/>
      <w:r w:rsidRPr="007B58B3">
        <w:rPr>
          <w:rFonts w:ascii="Times New Roman" w:hAnsi="Times New Roman" w:cs="Times New Roman"/>
          <w:b/>
          <w:bCs/>
          <w:sz w:val="24"/>
          <w:szCs w:val="24"/>
        </w:rPr>
        <w:t xml:space="preserve">, </w:t>
      </w:r>
      <w:r w:rsidRPr="007B58B3">
        <w:rPr>
          <w:rFonts w:ascii="Times New Roman" w:hAnsi="Times New Roman" w:cs="Times New Roman"/>
          <w:b/>
          <w:bCs/>
          <w:i/>
          <w:iCs/>
          <w:sz w:val="24"/>
          <w:szCs w:val="24"/>
        </w:rPr>
        <w:t>10</w:t>
      </w:r>
      <w:r w:rsidRPr="007B58B3">
        <w:rPr>
          <w:rFonts w:ascii="Times New Roman" w:hAnsi="Times New Roman" w:cs="Times New Roman"/>
          <w:b/>
          <w:bCs/>
          <w:sz w:val="24"/>
          <w:szCs w:val="24"/>
        </w:rPr>
        <w:t>(1)</w:t>
      </w:r>
    </w:p>
    <w:p w14:paraId="1E6B07EE" w14:textId="77777777" w:rsidR="007B58B3" w:rsidRPr="007B58B3" w:rsidRDefault="007B58B3" w:rsidP="007B58B3">
      <w:pPr>
        <w:ind w:left="360"/>
        <w:rPr>
          <w:b/>
          <w:bCs/>
        </w:rPr>
      </w:pPr>
    </w:p>
    <w:p w14:paraId="7D5A5290" w14:textId="16631BE8" w:rsidR="000B2CAE" w:rsidRDefault="007B58B3" w:rsidP="007B58B3">
      <w:proofErr w:type="spellStart"/>
      <w:r w:rsidRPr="007B58B3">
        <w:rPr>
          <w:b/>
          <w:bCs/>
        </w:rPr>
        <w:t>Rmk</w:t>
      </w:r>
      <w:proofErr w:type="spellEnd"/>
      <w:r w:rsidRPr="007B58B3">
        <w:rPr>
          <w:b/>
          <w:bCs/>
        </w:rPr>
        <w:t xml:space="preserve"> 1: </w:t>
      </w:r>
      <w:r w:rsidRPr="00D376F4">
        <w:rPr>
          <w:highlight w:val="yellow"/>
        </w:rPr>
        <w:t>el tiempo de permanencia promedio en UCI (</w:t>
      </w:r>
      <w:proofErr w:type="spellStart"/>
      <w:r w:rsidRPr="00D376F4">
        <w:rPr>
          <w:highlight w:val="yellow"/>
        </w:rPr>
        <w:t>Average</w:t>
      </w:r>
      <w:proofErr w:type="spellEnd"/>
      <w:r w:rsidRPr="00D376F4">
        <w:rPr>
          <w:highlight w:val="yellow"/>
        </w:rPr>
        <w:t xml:space="preserve"> </w:t>
      </w:r>
      <w:proofErr w:type="spellStart"/>
      <w:r w:rsidRPr="00D376F4">
        <w:rPr>
          <w:highlight w:val="yellow"/>
        </w:rPr>
        <w:t>length</w:t>
      </w:r>
      <w:proofErr w:type="spellEnd"/>
      <w:r w:rsidRPr="00D376F4">
        <w:rPr>
          <w:highlight w:val="yellow"/>
        </w:rPr>
        <w:t xml:space="preserve"> of </w:t>
      </w:r>
      <w:proofErr w:type="spellStart"/>
      <w:r w:rsidRPr="00D376F4">
        <w:rPr>
          <w:highlight w:val="yellow"/>
        </w:rPr>
        <w:t>stay</w:t>
      </w:r>
      <w:proofErr w:type="spellEnd"/>
      <w:r w:rsidRPr="00D376F4">
        <w:rPr>
          <w:highlight w:val="yellow"/>
        </w:rPr>
        <w:t xml:space="preserve"> (ALOS) in ICU) es una estimación importante en relación con la estabilidad del sistema de salud en términos de ocupación de camas UCI.</w:t>
      </w:r>
      <w:r w:rsidRPr="007B58B3">
        <w:t xml:space="preserve"> </w:t>
      </w:r>
      <w:r w:rsidRPr="007B58B3">
        <w:br/>
      </w:r>
      <w:r w:rsidRPr="007B58B3">
        <w:br/>
        <w:t>Por ejemplo, si el ALOS en UCI es de 10 días, la probabilidad de desocupar una cama es 1/10. Esto verifica que estimar el ALOS en UCI.</w:t>
      </w:r>
      <w:r w:rsidRPr="007B58B3">
        <w:br/>
      </w:r>
      <w:r w:rsidRPr="007B58B3">
        <w:br/>
      </w:r>
      <w:proofErr w:type="spellStart"/>
      <w:r w:rsidRPr="007B58B3">
        <w:rPr>
          <w:b/>
          <w:bCs/>
        </w:rPr>
        <w:t>Rmk</w:t>
      </w:r>
      <w:proofErr w:type="spellEnd"/>
      <w:r w:rsidRPr="007B58B3">
        <w:rPr>
          <w:b/>
          <w:bCs/>
        </w:rPr>
        <w:t xml:space="preserve"> 2: </w:t>
      </w:r>
      <w:r w:rsidRPr="007B58B3">
        <w:t xml:space="preserve">en este estudio, se presenta </w:t>
      </w:r>
      <w:proofErr w:type="gramStart"/>
      <w:r w:rsidRPr="007B58B3">
        <w:t>una examen</w:t>
      </w:r>
      <w:proofErr w:type="gramEnd"/>
      <w:r w:rsidRPr="007B58B3">
        <w:t xml:space="preserve"> detallada de la evolución el tiempo de la enfermedad en una cohorte de pacientes de COVID-19 admitidos en UCI en el hospital de </w:t>
      </w:r>
      <w:proofErr w:type="spellStart"/>
      <w:r w:rsidRPr="007B58B3">
        <w:t>Zhongnan</w:t>
      </w:r>
      <w:proofErr w:type="spellEnd"/>
      <w:r w:rsidRPr="007B58B3">
        <w:t xml:space="preserve"> de la Universidad de Wuhan (ZHWU). Se determinará el ALOS en UCI a partir de dos métodos de estimación.</w:t>
      </w:r>
      <w:r w:rsidRPr="007B58B3">
        <w:br/>
      </w:r>
      <w:r w:rsidRPr="007B58B3">
        <w:br/>
      </w:r>
      <w:proofErr w:type="spellStart"/>
      <w:r w:rsidRPr="007B58B3">
        <w:rPr>
          <w:b/>
          <w:bCs/>
        </w:rPr>
        <w:t>Rmk</w:t>
      </w:r>
      <w:proofErr w:type="spellEnd"/>
      <w:r w:rsidRPr="007B58B3">
        <w:rPr>
          <w:b/>
          <w:bCs/>
        </w:rPr>
        <w:t xml:space="preserve"> 3: </w:t>
      </w:r>
      <w:r w:rsidRPr="007B58B3">
        <w:t>en general, se examina cómo la estimación del ALOS en UCI varía en pacientes de COVID-19 según dos métodos principales:</w:t>
      </w:r>
      <w:r w:rsidRPr="007B58B3">
        <w:br/>
      </w:r>
      <w:r w:rsidRPr="007B58B3">
        <w:br/>
      </w:r>
      <w:r w:rsidRPr="007B58B3">
        <w:rPr>
          <w:b/>
          <w:bCs/>
        </w:rPr>
        <w:t xml:space="preserve">[1] </w:t>
      </w:r>
      <w:proofErr w:type="spellStart"/>
      <w:r w:rsidRPr="007B58B3">
        <w:rPr>
          <w:b/>
          <w:bCs/>
        </w:rPr>
        <w:t>Discharged</w:t>
      </w:r>
      <w:proofErr w:type="spellEnd"/>
      <w:r w:rsidRPr="007B58B3">
        <w:rPr>
          <w:b/>
          <w:bCs/>
        </w:rPr>
        <w:t xml:space="preserve"> </w:t>
      </w:r>
      <w:proofErr w:type="spellStart"/>
      <w:r w:rsidRPr="007B58B3">
        <w:rPr>
          <w:b/>
          <w:bCs/>
        </w:rPr>
        <w:t>patients</w:t>
      </w:r>
      <w:proofErr w:type="spellEnd"/>
      <w:r w:rsidRPr="007B58B3">
        <w:rPr>
          <w:b/>
          <w:bCs/>
        </w:rPr>
        <w:t xml:space="preserve">' </w:t>
      </w:r>
      <w:proofErr w:type="spellStart"/>
      <w:r w:rsidRPr="007B58B3">
        <w:rPr>
          <w:b/>
          <w:bCs/>
        </w:rPr>
        <w:t>estimation</w:t>
      </w:r>
      <w:proofErr w:type="spellEnd"/>
      <w:r w:rsidRPr="007B58B3">
        <w:rPr>
          <w:b/>
          <w:bCs/>
        </w:rPr>
        <w:t xml:space="preserve"> (DPE): </w:t>
      </w:r>
      <w:r w:rsidRPr="007B58B3">
        <w:t>el primer método consiste en un cálculo simple: la estimación sólo considera pacientes cuya fecha de alta ocurrió antes o en la fecha en que el estudio finaliza. Esto quiere decir que no se consideró la censura. Por lo tanto, el tiempo de permanencia promedio en UCI corresponde simplemente a la media de los tiempos de permanencia de los pacientes. (También se reporta</w:t>
      </w:r>
      <w:r w:rsidR="00D376F4">
        <w:t xml:space="preserve"> </w:t>
      </w:r>
      <w:r w:rsidRPr="007B58B3">
        <w:t>la mediana y la distribución en quintiles).</w:t>
      </w:r>
      <w:r w:rsidRPr="007B58B3">
        <w:br/>
      </w:r>
      <w:r w:rsidRPr="007B58B3">
        <w:br/>
      </w:r>
      <w:r w:rsidRPr="00D376F4">
        <w:rPr>
          <w:b/>
          <w:bCs/>
          <w:highlight w:val="yellow"/>
        </w:rPr>
        <w:t xml:space="preserve">[2] </w:t>
      </w:r>
      <w:proofErr w:type="spellStart"/>
      <w:r w:rsidRPr="00D376F4">
        <w:rPr>
          <w:b/>
          <w:bCs/>
          <w:highlight w:val="yellow"/>
        </w:rPr>
        <w:t>Censored</w:t>
      </w:r>
      <w:proofErr w:type="spellEnd"/>
      <w:r w:rsidRPr="00D376F4">
        <w:rPr>
          <w:b/>
          <w:bCs/>
          <w:highlight w:val="yellow"/>
        </w:rPr>
        <w:t xml:space="preserve"> </w:t>
      </w:r>
      <w:proofErr w:type="spellStart"/>
      <w:r w:rsidRPr="00D376F4">
        <w:rPr>
          <w:b/>
          <w:bCs/>
          <w:highlight w:val="yellow"/>
        </w:rPr>
        <w:t>patients</w:t>
      </w:r>
      <w:proofErr w:type="spellEnd"/>
      <w:r w:rsidRPr="00D376F4">
        <w:rPr>
          <w:b/>
          <w:bCs/>
          <w:highlight w:val="yellow"/>
        </w:rPr>
        <w:t xml:space="preserve">' </w:t>
      </w:r>
      <w:proofErr w:type="spellStart"/>
      <w:r w:rsidRPr="00D376F4">
        <w:rPr>
          <w:b/>
          <w:bCs/>
          <w:highlight w:val="yellow"/>
        </w:rPr>
        <w:t>estimation</w:t>
      </w:r>
      <w:proofErr w:type="spellEnd"/>
      <w:r w:rsidRPr="00D376F4">
        <w:rPr>
          <w:b/>
          <w:bCs/>
          <w:highlight w:val="yellow"/>
        </w:rPr>
        <w:t xml:space="preserve"> (CPE): </w:t>
      </w:r>
      <w:r w:rsidRPr="00D376F4">
        <w:rPr>
          <w:highlight w:val="yellow"/>
        </w:rPr>
        <w:t xml:space="preserve">el método de estimación considera la censura. Los </w:t>
      </w:r>
      <w:r w:rsidRPr="00D376F4">
        <w:rPr>
          <w:highlight w:val="yellow"/>
        </w:rPr>
        <w:lastRenderedPageBreak/>
        <w:t xml:space="preserve">pacientes de COVID-19 son considerados aun cuando, para la fecha en que finaliza el estudio. Una distribución paramétrica (exponencial, gamma o </w:t>
      </w:r>
      <w:proofErr w:type="spellStart"/>
      <w:r w:rsidRPr="00D376F4">
        <w:rPr>
          <w:highlight w:val="yellow"/>
        </w:rPr>
        <w:t>weibull</w:t>
      </w:r>
      <w:proofErr w:type="spellEnd"/>
      <w:r w:rsidRPr="00D376F4">
        <w:rPr>
          <w:highlight w:val="yellow"/>
        </w:rPr>
        <w:t xml:space="preserve">) es ajustada para el conjunto de datos. </w:t>
      </w:r>
      <w:r w:rsidRPr="00D376F4">
        <w:rPr>
          <w:highlight w:val="yellow"/>
        </w:rPr>
        <w:br/>
      </w:r>
      <w:r w:rsidRPr="00D376F4">
        <w:rPr>
          <w:highlight w:val="yellow"/>
        </w:rPr>
        <w:br/>
        <w:t>Se verifica que la distribución exponencial, la distribución gamma y la distribución de Weibull conduce a ajustes similares. Los resultados que reportan corresponden a los resultados de la distribución gamma</w:t>
      </w:r>
      <w:r w:rsidRPr="007B58B3">
        <w:t>.</w:t>
      </w:r>
    </w:p>
    <w:p w14:paraId="5F70730B" w14:textId="77777777" w:rsidR="000B2CAE" w:rsidRDefault="000B2CAE" w:rsidP="007B58B3"/>
    <w:p w14:paraId="0E68F0FD" w14:textId="77777777" w:rsidR="000B2CAE" w:rsidRPr="000B2CAE" w:rsidRDefault="000B2CAE" w:rsidP="000B2CAE">
      <w:pPr>
        <w:pStyle w:val="ListParagraph"/>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Marazzi</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Paccaud</w:t>
      </w:r>
      <w:proofErr w:type="spellEnd"/>
      <w:r w:rsidRPr="00536BB9">
        <w:rPr>
          <w:rFonts w:ascii="Times New Roman" w:eastAsia="Times New Roman" w:hAnsi="Times New Roman" w:cs="Times New Roman"/>
          <w:b/>
          <w:bCs/>
          <w:sz w:val="24"/>
          <w:szCs w:val="24"/>
          <w:lang w:val="en-US"/>
        </w:rPr>
        <w:t xml:space="preserve"> F, </w:t>
      </w:r>
      <w:proofErr w:type="spellStart"/>
      <w:r w:rsidRPr="00536BB9">
        <w:rPr>
          <w:rFonts w:ascii="Times New Roman" w:eastAsia="Times New Roman" w:hAnsi="Times New Roman" w:cs="Times New Roman"/>
          <w:b/>
          <w:bCs/>
          <w:sz w:val="24"/>
          <w:szCs w:val="24"/>
          <w:lang w:val="en-US"/>
        </w:rPr>
        <w:t>Ruffieux</w:t>
      </w:r>
      <w:proofErr w:type="spellEnd"/>
      <w:r w:rsidRPr="00536BB9">
        <w:rPr>
          <w:rFonts w:ascii="Times New Roman" w:eastAsia="Times New Roman" w:hAnsi="Times New Roman" w:cs="Times New Roman"/>
          <w:b/>
          <w:bCs/>
          <w:sz w:val="24"/>
          <w:szCs w:val="24"/>
          <w:lang w:val="en-US"/>
        </w:rPr>
        <w:t xml:space="preserve"> C, </w:t>
      </w:r>
      <w:proofErr w:type="spellStart"/>
      <w:r w:rsidRPr="00536BB9">
        <w:rPr>
          <w:rFonts w:ascii="Times New Roman" w:eastAsia="Times New Roman" w:hAnsi="Times New Roman" w:cs="Times New Roman"/>
          <w:b/>
          <w:bCs/>
          <w:sz w:val="24"/>
          <w:szCs w:val="24"/>
          <w:lang w:val="en-US"/>
        </w:rPr>
        <w:t>Beguin</w:t>
      </w:r>
      <w:proofErr w:type="spellEnd"/>
      <w:r w:rsidRPr="00536BB9">
        <w:rPr>
          <w:rFonts w:ascii="Times New Roman" w:eastAsia="Times New Roman" w:hAnsi="Times New Roman" w:cs="Times New Roman"/>
          <w:b/>
          <w:bCs/>
          <w:sz w:val="24"/>
          <w:szCs w:val="24"/>
          <w:lang w:val="en-US"/>
        </w:rPr>
        <w:t xml:space="preserve"> C. Fitting the distributions of length of stay by parametric models. </w:t>
      </w:r>
      <w:proofErr w:type="spellStart"/>
      <w:r w:rsidRPr="000B2CAE">
        <w:rPr>
          <w:rFonts w:ascii="Times New Roman" w:eastAsia="Times New Roman" w:hAnsi="Times New Roman" w:cs="Times New Roman"/>
          <w:b/>
          <w:bCs/>
          <w:sz w:val="24"/>
          <w:szCs w:val="24"/>
        </w:rPr>
        <w:t>Med</w:t>
      </w:r>
      <w:proofErr w:type="spellEnd"/>
      <w:r w:rsidRPr="000B2CAE">
        <w:rPr>
          <w:rFonts w:ascii="Times New Roman" w:eastAsia="Times New Roman" w:hAnsi="Times New Roman" w:cs="Times New Roman"/>
          <w:b/>
          <w:bCs/>
          <w:sz w:val="24"/>
          <w:szCs w:val="24"/>
        </w:rPr>
        <w:t xml:space="preserve"> </w:t>
      </w:r>
      <w:proofErr w:type="spellStart"/>
      <w:r w:rsidRPr="000B2CAE">
        <w:rPr>
          <w:rFonts w:ascii="Times New Roman" w:eastAsia="Times New Roman" w:hAnsi="Times New Roman" w:cs="Times New Roman"/>
          <w:b/>
          <w:bCs/>
          <w:sz w:val="24"/>
          <w:szCs w:val="24"/>
        </w:rPr>
        <w:t>Care</w:t>
      </w:r>
      <w:proofErr w:type="spellEnd"/>
      <w:r w:rsidRPr="000B2CAE">
        <w:rPr>
          <w:rFonts w:ascii="Times New Roman" w:eastAsia="Times New Roman" w:hAnsi="Times New Roman" w:cs="Times New Roman"/>
          <w:b/>
          <w:bCs/>
          <w:sz w:val="24"/>
          <w:szCs w:val="24"/>
        </w:rPr>
        <w:t>. 1998;36(6):915–27</w:t>
      </w:r>
    </w:p>
    <w:p w14:paraId="0D0A15CB" w14:textId="77777777" w:rsidR="000B2CAE" w:rsidRDefault="000B2CAE" w:rsidP="000B2CAE">
      <w:pPr>
        <w:rPr>
          <w:b/>
          <w:bCs/>
        </w:rPr>
      </w:pPr>
    </w:p>
    <w:p w14:paraId="19ADA397" w14:textId="54E91651" w:rsidR="000B2CAE" w:rsidRPr="000B2CAE" w:rsidRDefault="000B2CAE" w:rsidP="000B2CAE">
      <w:r w:rsidRPr="000B2CAE">
        <w:rPr>
          <w:b/>
          <w:bCs/>
        </w:rPr>
        <w:t xml:space="preserve">Rmk 1: </w:t>
      </w:r>
      <w:r w:rsidRPr="006D4C0B">
        <w:rPr>
          <w:highlight w:val="yellow"/>
        </w:rPr>
        <w:t>generalmente, el tiempo de permanencia sigue una distribución asimétrica positiva (riight-skewed), puesto que la minoría de los pacientes requieren un período extenso de cuidados intensivos. Marazzi et al. (1998) examinan cuán adecuados son los tres modelos paramétricos ampliamente empleados (a saber, distribución lognormal, Weibull y Gamma).</w:t>
      </w:r>
    </w:p>
    <w:p w14:paraId="35698E08" w14:textId="77777777" w:rsidR="000B2CAE" w:rsidRPr="000B2CAE" w:rsidRDefault="000B2CAE" w:rsidP="000B2CAE"/>
    <w:p w14:paraId="2D7A88E5" w14:textId="77777777" w:rsidR="000B2CAE" w:rsidRPr="000B2CAE" w:rsidRDefault="000B2CAE" w:rsidP="000B2CAE">
      <w:r w:rsidRPr="000B2CAE">
        <w:t xml:space="preserve">Atienza et al. (2005) proponen que, en lugar de emplear un único modelo paramétrico, se recurra a un modelo mixto generado por la unión de dos familias de la distribución exponencial (la distribución gamma y la lognormal). </w:t>
      </w:r>
      <w:r w:rsidRPr="00536BB9">
        <w:rPr>
          <w:lang w:val="en-US"/>
        </w:rPr>
        <w:t>(</w:t>
      </w:r>
      <w:proofErr w:type="spellStart"/>
      <w:r w:rsidRPr="00536BB9">
        <w:rPr>
          <w:lang w:val="en-US"/>
        </w:rPr>
        <w:t>Referencia</w:t>
      </w:r>
      <w:proofErr w:type="spellEnd"/>
      <w:r w:rsidRPr="00536BB9">
        <w:rPr>
          <w:lang w:val="en-US"/>
        </w:rPr>
        <w:t xml:space="preserve">: Atienza et al. (2005). A New Condition of Identifiability of Finite Mixture Distributions. </w:t>
      </w:r>
      <w:proofErr w:type="spellStart"/>
      <w:r w:rsidRPr="000B2CAE">
        <w:t>Metrika</w:t>
      </w:r>
      <w:proofErr w:type="spellEnd"/>
      <w:r w:rsidRPr="000B2CAE">
        <w:t>)</w:t>
      </w:r>
    </w:p>
    <w:p w14:paraId="50E297AD" w14:textId="77777777" w:rsidR="000B2CAE" w:rsidRPr="000B2CAE" w:rsidRDefault="000B2CAE" w:rsidP="000B2CAE"/>
    <w:p w14:paraId="74E8D72D" w14:textId="57B3DEBA" w:rsidR="00F80058" w:rsidRDefault="000B2CAE" w:rsidP="000B2CAE">
      <w:r w:rsidRPr="00D376F4">
        <w:rPr>
          <w:b/>
          <w:bCs/>
          <w:highlight w:val="yellow"/>
        </w:rPr>
        <w:t>Rmk 2</w:t>
      </w:r>
      <w:r w:rsidRPr="00D376F4">
        <w:rPr>
          <w:highlight w:val="yellow"/>
        </w:rPr>
        <w:t>: nótese que los modelos paramétricos sugeridos por Marazzi et al. (1998) pertenecen, en términos generales, a la familia de la distribución gamma generalizada.</w:t>
      </w:r>
      <w:r w:rsidRPr="000B2CAE">
        <w:t xml:space="preserve"> </w:t>
      </w:r>
    </w:p>
    <w:p w14:paraId="2A747883" w14:textId="5140057E" w:rsidR="005E1C50" w:rsidRDefault="005E1C50" w:rsidP="000B2CAE"/>
    <w:p w14:paraId="2F353002" w14:textId="2ED178E1" w:rsidR="005E1C50" w:rsidRPr="005E1C50" w:rsidRDefault="005E1C50" w:rsidP="005E1C50">
      <w:pPr>
        <w:pStyle w:val="ListParagraph"/>
        <w:numPr>
          <w:ilvl w:val="0"/>
          <w:numId w:val="21"/>
        </w:numPr>
        <w:rPr>
          <w:rFonts w:ascii="Times New Roman" w:eastAsia="Times New Roman" w:hAnsi="Times New Roman" w:cs="Times New Roman"/>
          <w:sz w:val="24"/>
          <w:szCs w:val="24"/>
        </w:rPr>
      </w:pPr>
      <w:r w:rsidRPr="0064248D">
        <w:rPr>
          <w:b/>
          <w:bCs/>
          <w:lang w:val="es-CO"/>
        </w:rPr>
        <w:t xml:space="preserve"> </w:t>
      </w:r>
      <w:proofErr w:type="spellStart"/>
      <w:r w:rsidRPr="005E1C50">
        <w:rPr>
          <w:rFonts w:ascii="Times New Roman" w:hAnsi="Times New Roman" w:cs="Times New Roman"/>
          <w:b/>
          <w:bCs/>
          <w:sz w:val="24"/>
          <w:szCs w:val="24"/>
          <w:lang w:val="en-US"/>
        </w:rPr>
        <w:t>Anotaciones</w:t>
      </w:r>
      <w:proofErr w:type="spellEnd"/>
      <w:r w:rsidRPr="005E1C50">
        <w:rPr>
          <w:rFonts w:ascii="Times New Roman" w:hAnsi="Times New Roman" w:cs="Times New Roman"/>
          <w:b/>
          <w:bCs/>
          <w:sz w:val="24"/>
          <w:szCs w:val="24"/>
          <w:lang w:val="en-US"/>
        </w:rPr>
        <w:t xml:space="preserve"> a Rees, E. M., Nightingale, E. S., Jafari, Y., </w:t>
      </w:r>
      <w:proofErr w:type="spellStart"/>
      <w:r w:rsidRPr="005E1C50">
        <w:rPr>
          <w:rFonts w:ascii="Times New Roman" w:hAnsi="Times New Roman" w:cs="Times New Roman"/>
          <w:b/>
          <w:bCs/>
          <w:sz w:val="24"/>
          <w:szCs w:val="24"/>
          <w:lang w:val="en-US"/>
        </w:rPr>
        <w:t>Waterlow</w:t>
      </w:r>
      <w:proofErr w:type="spellEnd"/>
      <w:r w:rsidRPr="005E1C50">
        <w:rPr>
          <w:rFonts w:ascii="Times New Roman" w:hAnsi="Times New Roman" w:cs="Times New Roman"/>
          <w:b/>
          <w:bCs/>
          <w:sz w:val="24"/>
          <w:szCs w:val="24"/>
          <w:lang w:val="en-US"/>
        </w:rPr>
        <w:t xml:space="preserve">, N. R., Clifford, S., Carl, C. A., Group, C. W., </w:t>
      </w:r>
      <w:proofErr w:type="spellStart"/>
      <w:r w:rsidRPr="005E1C50">
        <w:rPr>
          <w:rFonts w:ascii="Times New Roman" w:hAnsi="Times New Roman" w:cs="Times New Roman"/>
          <w:b/>
          <w:bCs/>
          <w:sz w:val="24"/>
          <w:szCs w:val="24"/>
          <w:lang w:val="en-US"/>
        </w:rPr>
        <w:t>Jombart</w:t>
      </w:r>
      <w:proofErr w:type="spellEnd"/>
      <w:r w:rsidRPr="005E1C50">
        <w:rPr>
          <w:rFonts w:ascii="Times New Roman" w:hAnsi="Times New Roman" w:cs="Times New Roman"/>
          <w:b/>
          <w:bCs/>
          <w:sz w:val="24"/>
          <w:szCs w:val="24"/>
          <w:lang w:val="en-US"/>
        </w:rPr>
        <w:t xml:space="preserve">, T., Procter, S. R., &amp; Knight, G. M. (2020). COVID-19 length of hospital </w:t>
      </w:r>
      <w:proofErr w:type="gramStart"/>
      <w:r w:rsidRPr="005E1C50">
        <w:rPr>
          <w:rFonts w:ascii="Times New Roman" w:hAnsi="Times New Roman" w:cs="Times New Roman"/>
          <w:b/>
          <w:bCs/>
          <w:sz w:val="24"/>
          <w:szCs w:val="24"/>
          <w:lang w:val="en-US"/>
        </w:rPr>
        <w:t>stay</w:t>
      </w:r>
      <w:proofErr w:type="gramEnd"/>
      <w:r w:rsidRPr="005E1C50">
        <w:rPr>
          <w:rFonts w:ascii="Times New Roman" w:hAnsi="Times New Roman" w:cs="Times New Roman"/>
          <w:b/>
          <w:bCs/>
          <w:sz w:val="24"/>
          <w:szCs w:val="24"/>
          <w:lang w:val="en-US"/>
        </w:rPr>
        <w:t xml:space="preserve">: A systematic review and data synthesis. </w:t>
      </w:r>
      <w:r w:rsidRPr="005E1C50">
        <w:rPr>
          <w:rFonts w:ascii="Times New Roman" w:hAnsi="Times New Roman" w:cs="Times New Roman"/>
          <w:b/>
          <w:bCs/>
          <w:sz w:val="24"/>
          <w:szCs w:val="24"/>
        </w:rPr>
        <w:t xml:space="preserve">In </w:t>
      </w:r>
      <w:r w:rsidRPr="005E1C50">
        <w:rPr>
          <w:rFonts w:ascii="Times New Roman" w:hAnsi="Times New Roman" w:cs="Times New Roman"/>
          <w:b/>
          <w:bCs/>
          <w:i/>
          <w:iCs/>
          <w:sz w:val="24"/>
          <w:szCs w:val="24"/>
        </w:rPr>
        <w:t>BMC Medicine</w:t>
      </w:r>
      <w:r w:rsidRPr="005E1C50">
        <w:rPr>
          <w:rFonts w:ascii="Times New Roman" w:hAnsi="Times New Roman" w:cs="Times New Roman"/>
          <w:b/>
          <w:bCs/>
          <w:sz w:val="24"/>
          <w:szCs w:val="24"/>
        </w:rPr>
        <w:t xml:space="preserve"> (Vol. 18, </w:t>
      </w:r>
      <w:proofErr w:type="spellStart"/>
      <w:r w:rsidRPr="005E1C50">
        <w:rPr>
          <w:rFonts w:ascii="Times New Roman" w:hAnsi="Times New Roman" w:cs="Times New Roman"/>
          <w:b/>
          <w:bCs/>
          <w:sz w:val="24"/>
          <w:szCs w:val="24"/>
        </w:rPr>
        <w:t>Issue</w:t>
      </w:r>
      <w:proofErr w:type="spellEnd"/>
      <w:r w:rsidRPr="005E1C50">
        <w:rPr>
          <w:rFonts w:ascii="Times New Roman" w:hAnsi="Times New Roman" w:cs="Times New Roman"/>
          <w:b/>
          <w:bCs/>
          <w:sz w:val="24"/>
          <w:szCs w:val="24"/>
        </w:rPr>
        <w:t xml:space="preserve"> 1). </w:t>
      </w:r>
      <w:proofErr w:type="spellStart"/>
      <w:r w:rsidRPr="005E1C50">
        <w:rPr>
          <w:rFonts w:ascii="Times New Roman" w:hAnsi="Times New Roman" w:cs="Times New Roman"/>
          <w:b/>
          <w:bCs/>
          <w:sz w:val="24"/>
          <w:szCs w:val="24"/>
        </w:rPr>
        <w:t>BioMed</w:t>
      </w:r>
      <w:proofErr w:type="spellEnd"/>
      <w:r w:rsidRPr="005E1C50">
        <w:rPr>
          <w:rFonts w:ascii="Times New Roman" w:hAnsi="Times New Roman" w:cs="Times New Roman"/>
          <w:b/>
          <w:bCs/>
          <w:sz w:val="24"/>
          <w:szCs w:val="24"/>
        </w:rPr>
        <w:t xml:space="preserve"> Central Ltd. </w:t>
      </w:r>
    </w:p>
    <w:p w14:paraId="2150B752" w14:textId="77777777" w:rsidR="005E1C50" w:rsidRPr="005E1C50" w:rsidRDefault="005E1C50" w:rsidP="005E1C50">
      <w:pPr>
        <w:rPr>
          <w:b/>
          <w:bCs/>
        </w:rPr>
      </w:pPr>
    </w:p>
    <w:p w14:paraId="201F8CB1" w14:textId="78416B78" w:rsidR="005E1C50" w:rsidRDefault="005E1C50" w:rsidP="005E1C50">
      <w:proofErr w:type="spellStart"/>
      <w:r w:rsidRPr="005E1C50">
        <w:rPr>
          <w:b/>
          <w:bCs/>
        </w:rPr>
        <w:t>Rmk</w:t>
      </w:r>
      <w:proofErr w:type="spellEnd"/>
      <w:r w:rsidRPr="005E1C50">
        <w:rPr>
          <w:b/>
          <w:bCs/>
        </w:rPr>
        <w:t xml:space="preserve"> 1</w:t>
      </w:r>
      <w:r w:rsidRPr="005E1C50">
        <w:t>: A medida que la pandemia avanza, determinar las necesidades de los recursos del sistema de salud (camas, equipo médico, equipamiento) se convierte en un</w:t>
      </w:r>
      <w:r w:rsidR="00D376F4">
        <w:t>a</w:t>
      </w:r>
      <w:r w:rsidRPr="005E1C50">
        <w:t xml:space="preserve"> prioridad para muchos países. Por ejemplo, se torna evidente la necesidad de proyectar la demanda futura y estimar el tiempo de permanencia de los pacientes de COVID-19 en distintos niveles de cuidado.</w:t>
      </w:r>
      <w:r w:rsidRPr="005E1C50">
        <w:br/>
      </w:r>
      <w:r w:rsidRPr="005E1C50">
        <w:br/>
        <w:t xml:space="preserve">En este contexto, </w:t>
      </w:r>
      <w:proofErr w:type="spellStart"/>
      <w:r w:rsidRPr="005E1C50">
        <w:t>Rees</w:t>
      </w:r>
      <w:proofErr w:type="spellEnd"/>
      <w:r w:rsidRPr="005E1C50">
        <w:t xml:space="preserve"> et al. (2020) realizan una revisión sistemática sobre la evidencia temprana del tiempo de permanencia en pacientes con COVID-19 en hospitales y UCI; luego desarrollan un método para proporcionar la distribuciones de la variables </w:t>
      </w:r>
      <w:proofErr w:type="spellStart"/>
      <w:r w:rsidRPr="005E1C50">
        <w:t>LoS</w:t>
      </w:r>
      <w:proofErr w:type="spellEnd"/>
      <w:r w:rsidRPr="005E1C50">
        <w:t xml:space="preserve"> que recurre a las metodologías reseñadas.</w:t>
      </w:r>
      <w:r w:rsidRPr="005E1C50">
        <w:br/>
      </w:r>
      <w:r w:rsidRPr="005E1C50">
        <w:br/>
      </w:r>
      <w:proofErr w:type="spellStart"/>
      <w:r w:rsidRPr="00D376F4">
        <w:rPr>
          <w:b/>
          <w:bCs/>
          <w:highlight w:val="yellow"/>
        </w:rPr>
        <w:t>Rmk</w:t>
      </w:r>
      <w:proofErr w:type="spellEnd"/>
      <w:r w:rsidRPr="00D376F4">
        <w:rPr>
          <w:b/>
          <w:bCs/>
          <w:highlight w:val="yellow"/>
        </w:rPr>
        <w:t xml:space="preserve"> 2: </w:t>
      </w:r>
      <w:r w:rsidRPr="00D376F4">
        <w:rPr>
          <w:highlight w:val="yellow"/>
        </w:rPr>
        <w:t xml:space="preserve">si bien </w:t>
      </w:r>
      <w:proofErr w:type="spellStart"/>
      <w:r w:rsidRPr="00D376F4">
        <w:rPr>
          <w:highlight w:val="yellow"/>
        </w:rPr>
        <w:t>Marazzi</w:t>
      </w:r>
      <w:proofErr w:type="spellEnd"/>
      <w:r w:rsidRPr="00D376F4">
        <w:rPr>
          <w:highlight w:val="yellow"/>
        </w:rPr>
        <w:t xml:space="preserve"> et al. (1998) propone emplear tres distribuciones (</w:t>
      </w:r>
      <w:proofErr w:type="spellStart"/>
      <w:r w:rsidRPr="00D376F4">
        <w:rPr>
          <w:highlight w:val="yellow"/>
        </w:rPr>
        <w:t>lognormal</w:t>
      </w:r>
      <w:proofErr w:type="spellEnd"/>
      <w:r w:rsidRPr="00D376F4">
        <w:rPr>
          <w:highlight w:val="yellow"/>
        </w:rPr>
        <w:t xml:space="preserve">, gamma y </w:t>
      </w:r>
      <w:proofErr w:type="spellStart"/>
      <w:r w:rsidRPr="00D376F4">
        <w:rPr>
          <w:highlight w:val="yellow"/>
        </w:rPr>
        <w:t>weibull</w:t>
      </w:r>
      <w:proofErr w:type="spellEnd"/>
      <w:r w:rsidRPr="00D376F4">
        <w:rPr>
          <w:highlight w:val="yellow"/>
        </w:rPr>
        <w:t xml:space="preserve">), </w:t>
      </w:r>
      <w:proofErr w:type="spellStart"/>
      <w:r w:rsidRPr="00D376F4">
        <w:rPr>
          <w:highlight w:val="yellow"/>
        </w:rPr>
        <w:t>Rees</w:t>
      </w:r>
      <w:proofErr w:type="spellEnd"/>
      <w:r w:rsidRPr="00D376F4">
        <w:rPr>
          <w:highlight w:val="yellow"/>
        </w:rPr>
        <w:t xml:space="preserve"> et al. (2020) afirman que, a causa de sus </w:t>
      </w:r>
      <w:proofErr w:type="spellStart"/>
      <w:r w:rsidRPr="00D376F4">
        <w:rPr>
          <w:highlight w:val="yellow"/>
        </w:rPr>
        <w:t>heavier</w:t>
      </w:r>
      <w:proofErr w:type="spellEnd"/>
      <w:r w:rsidRPr="00D376F4">
        <w:rPr>
          <w:highlight w:val="yellow"/>
        </w:rPr>
        <w:t xml:space="preserve"> </w:t>
      </w:r>
      <w:proofErr w:type="spellStart"/>
      <w:r w:rsidRPr="00D376F4">
        <w:rPr>
          <w:highlight w:val="yellow"/>
        </w:rPr>
        <w:t>tails</w:t>
      </w:r>
      <w:proofErr w:type="spellEnd"/>
      <w:r w:rsidRPr="00D376F4">
        <w:rPr>
          <w:highlight w:val="yellow"/>
        </w:rPr>
        <w:t xml:space="preserve">, la distribución </w:t>
      </w:r>
      <w:proofErr w:type="spellStart"/>
      <w:r w:rsidRPr="00D376F4">
        <w:rPr>
          <w:highlight w:val="yellow"/>
        </w:rPr>
        <w:t>lognormal</w:t>
      </w:r>
      <w:proofErr w:type="spellEnd"/>
      <w:r w:rsidRPr="00D376F4">
        <w:rPr>
          <w:highlight w:val="yellow"/>
        </w:rPr>
        <w:t xml:space="preserve"> es la menos preferida.</w:t>
      </w:r>
      <w:r w:rsidRPr="005E1C50">
        <w:br/>
      </w:r>
      <w:r w:rsidRPr="005E1C50">
        <w:br/>
      </w:r>
      <w:proofErr w:type="spellStart"/>
      <w:r w:rsidRPr="005E1C50">
        <w:rPr>
          <w:b/>
          <w:bCs/>
        </w:rPr>
        <w:t>Rmk</w:t>
      </w:r>
      <w:proofErr w:type="spellEnd"/>
      <w:r w:rsidRPr="005E1C50">
        <w:rPr>
          <w:b/>
          <w:bCs/>
        </w:rPr>
        <w:t xml:space="preserve"> 4: </w:t>
      </w:r>
      <w:r w:rsidRPr="005E1C50">
        <w:t xml:space="preserve">la investigación desarrolla un método para generar las </w:t>
      </w:r>
      <w:proofErr w:type="spellStart"/>
      <w:r w:rsidRPr="005E1C50">
        <w:t>distrbuciones</w:t>
      </w:r>
      <w:proofErr w:type="spellEnd"/>
      <w:r w:rsidRPr="005E1C50">
        <w:t xml:space="preserve"> de la variable </w:t>
      </w:r>
      <w:proofErr w:type="spellStart"/>
      <w:r w:rsidRPr="005E1C50">
        <w:t>LoS</w:t>
      </w:r>
      <w:proofErr w:type="spellEnd"/>
      <w:r w:rsidRPr="005E1C50">
        <w:t xml:space="preserve"> mediante la combinación de la</w:t>
      </w:r>
      <w:r w:rsidR="00CF30BE">
        <w:t>s</w:t>
      </w:r>
      <w:r w:rsidRPr="005E1C50">
        <w:t xml:space="preserve"> estadísticas de resumen reportadas en los múltiple</w:t>
      </w:r>
      <w:r w:rsidR="00CF30BE">
        <w:t xml:space="preserve">s </w:t>
      </w:r>
      <w:r w:rsidRPr="005E1C50">
        <w:t xml:space="preserve">estudios. </w:t>
      </w:r>
      <w:r w:rsidRPr="005E1C50">
        <w:lastRenderedPageBreak/>
        <w:t xml:space="preserve">(Nótese que las diferencias en los tamaños de muestra son consideradas). </w:t>
      </w:r>
      <w:r w:rsidRPr="005E1C50">
        <w:br/>
      </w:r>
      <w:r w:rsidRPr="005E1C50">
        <w:br/>
        <w:t>La idea es que cada uno de los estudios proporciona una muestra que puede ser empleada para aproximarnos, de una manera más apropiada, a la distribución subyacente.</w:t>
      </w:r>
      <w:r>
        <w:t xml:space="preserve"> </w:t>
      </w:r>
      <w:r w:rsidRPr="005E1C50">
        <w:t xml:space="preserve">En este caso, al igual que los reseñados en </w:t>
      </w:r>
      <w:r w:rsidRPr="005E1C50">
        <w:rPr>
          <w:b/>
          <w:bCs/>
        </w:rPr>
        <w:t>XIV - XVI</w:t>
      </w:r>
      <w:r w:rsidRPr="005E1C50">
        <w:t>, los datos fueron ajustados a la distribución de Weibull.</w:t>
      </w:r>
    </w:p>
    <w:p w14:paraId="23FFDA69" w14:textId="296AB2EE" w:rsidR="00CF30BE" w:rsidRDefault="00CF30BE" w:rsidP="005E1C50"/>
    <w:p w14:paraId="3B75FC32" w14:textId="788E9A30" w:rsidR="00CF30BE" w:rsidRPr="00CF30BE" w:rsidRDefault="00CF30BE" w:rsidP="00CF30BE">
      <w:pPr>
        <w:pStyle w:val="ListParagraph"/>
        <w:numPr>
          <w:ilvl w:val="0"/>
          <w:numId w:val="21"/>
        </w:numPr>
        <w:rPr>
          <w:rFonts w:ascii="Times New Roman" w:eastAsia="Times New Roman" w:hAnsi="Times New Roman" w:cs="Times New Roman"/>
          <w:sz w:val="24"/>
          <w:szCs w:val="24"/>
        </w:rPr>
      </w:pPr>
      <w:r w:rsidRPr="00D26E63">
        <w:rPr>
          <w:rFonts w:ascii="Times New Roman" w:eastAsia="Times New Roman" w:hAnsi="Times New Roman" w:cs="Times New Roman"/>
          <w:b/>
          <w:bCs/>
          <w:sz w:val="24"/>
          <w:szCs w:val="24"/>
        </w:rPr>
        <w:t xml:space="preserve">Anotaciones sobre Zhang, J., </w:t>
      </w:r>
      <w:proofErr w:type="spellStart"/>
      <w:r w:rsidRPr="00D26E63">
        <w:rPr>
          <w:rFonts w:ascii="Times New Roman" w:eastAsia="Times New Roman" w:hAnsi="Times New Roman" w:cs="Times New Roman"/>
          <w:b/>
          <w:bCs/>
          <w:sz w:val="24"/>
          <w:szCs w:val="24"/>
        </w:rPr>
        <w:t>Litvinova</w:t>
      </w:r>
      <w:proofErr w:type="spellEnd"/>
      <w:r w:rsidRPr="00D26E63">
        <w:rPr>
          <w:rFonts w:ascii="Times New Roman" w:eastAsia="Times New Roman" w:hAnsi="Times New Roman" w:cs="Times New Roman"/>
          <w:b/>
          <w:bCs/>
          <w:sz w:val="24"/>
          <w:szCs w:val="24"/>
        </w:rPr>
        <w:t xml:space="preserve">, M., Wang, W., Wang, Y., </w:t>
      </w:r>
      <w:proofErr w:type="spellStart"/>
      <w:r w:rsidRPr="00D26E63">
        <w:rPr>
          <w:rFonts w:ascii="Times New Roman" w:eastAsia="Times New Roman" w:hAnsi="Times New Roman" w:cs="Times New Roman"/>
          <w:b/>
          <w:bCs/>
          <w:sz w:val="24"/>
          <w:szCs w:val="24"/>
        </w:rPr>
        <w:t>Deng</w:t>
      </w:r>
      <w:proofErr w:type="spellEnd"/>
      <w:r w:rsidRPr="00D26E63">
        <w:rPr>
          <w:rFonts w:ascii="Times New Roman" w:eastAsia="Times New Roman" w:hAnsi="Times New Roman" w:cs="Times New Roman"/>
          <w:b/>
          <w:bCs/>
          <w:sz w:val="24"/>
          <w:szCs w:val="24"/>
        </w:rPr>
        <w:t xml:space="preserve">, X., </w:t>
      </w:r>
      <w:proofErr w:type="spellStart"/>
      <w:r w:rsidRPr="00D26E63">
        <w:rPr>
          <w:rFonts w:ascii="Times New Roman" w:eastAsia="Times New Roman" w:hAnsi="Times New Roman" w:cs="Times New Roman"/>
          <w:b/>
          <w:bCs/>
          <w:sz w:val="24"/>
          <w:szCs w:val="24"/>
        </w:rPr>
        <w:t>Chen</w:t>
      </w:r>
      <w:proofErr w:type="spellEnd"/>
      <w:r w:rsidRPr="00D26E63">
        <w:rPr>
          <w:rFonts w:ascii="Times New Roman" w:eastAsia="Times New Roman" w:hAnsi="Times New Roman" w:cs="Times New Roman"/>
          <w:b/>
          <w:bCs/>
          <w:sz w:val="24"/>
          <w:szCs w:val="24"/>
        </w:rPr>
        <w:t xml:space="preserve">, X., Li, M., </w:t>
      </w:r>
      <w:proofErr w:type="spellStart"/>
      <w:r w:rsidRPr="00D26E63">
        <w:rPr>
          <w:rFonts w:ascii="Times New Roman" w:eastAsia="Times New Roman" w:hAnsi="Times New Roman" w:cs="Times New Roman"/>
          <w:b/>
          <w:bCs/>
          <w:sz w:val="24"/>
          <w:szCs w:val="24"/>
        </w:rPr>
        <w:t>Zheng</w:t>
      </w:r>
      <w:proofErr w:type="spellEnd"/>
      <w:r w:rsidRPr="00D26E63">
        <w:rPr>
          <w:rFonts w:ascii="Times New Roman" w:eastAsia="Times New Roman" w:hAnsi="Times New Roman" w:cs="Times New Roman"/>
          <w:b/>
          <w:bCs/>
          <w:sz w:val="24"/>
          <w:szCs w:val="24"/>
        </w:rPr>
        <w:t xml:space="preserve">, W., </w:t>
      </w:r>
      <w:proofErr w:type="spellStart"/>
      <w:r w:rsidRPr="00D26E63">
        <w:rPr>
          <w:rFonts w:ascii="Times New Roman" w:eastAsia="Times New Roman" w:hAnsi="Times New Roman" w:cs="Times New Roman"/>
          <w:b/>
          <w:bCs/>
          <w:sz w:val="24"/>
          <w:szCs w:val="24"/>
        </w:rPr>
        <w:t>Yi</w:t>
      </w:r>
      <w:proofErr w:type="spellEnd"/>
      <w:r w:rsidRPr="00D26E63">
        <w:rPr>
          <w:rFonts w:ascii="Times New Roman" w:eastAsia="Times New Roman" w:hAnsi="Times New Roman" w:cs="Times New Roman"/>
          <w:b/>
          <w:bCs/>
          <w:sz w:val="24"/>
          <w:szCs w:val="24"/>
        </w:rPr>
        <w:t xml:space="preserve">, L., </w:t>
      </w:r>
      <w:proofErr w:type="spellStart"/>
      <w:r w:rsidRPr="00D26E63">
        <w:rPr>
          <w:rFonts w:ascii="Times New Roman" w:eastAsia="Times New Roman" w:hAnsi="Times New Roman" w:cs="Times New Roman"/>
          <w:b/>
          <w:bCs/>
          <w:sz w:val="24"/>
          <w:szCs w:val="24"/>
        </w:rPr>
        <w:t>Chen</w:t>
      </w:r>
      <w:proofErr w:type="spellEnd"/>
      <w:r w:rsidRPr="00D26E63">
        <w:rPr>
          <w:rFonts w:ascii="Times New Roman" w:eastAsia="Times New Roman" w:hAnsi="Times New Roman" w:cs="Times New Roman"/>
          <w:b/>
          <w:bCs/>
          <w:sz w:val="24"/>
          <w:szCs w:val="24"/>
        </w:rPr>
        <w:t xml:space="preserve">, X., </w:t>
      </w:r>
      <w:proofErr w:type="spellStart"/>
      <w:r w:rsidRPr="00D26E63">
        <w:rPr>
          <w:rFonts w:ascii="Times New Roman" w:eastAsia="Times New Roman" w:hAnsi="Times New Roman" w:cs="Times New Roman"/>
          <w:b/>
          <w:bCs/>
          <w:sz w:val="24"/>
          <w:szCs w:val="24"/>
        </w:rPr>
        <w:t>Wu</w:t>
      </w:r>
      <w:proofErr w:type="spellEnd"/>
      <w:r w:rsidRPr="00D26E63">
        <w:rPr>
          <w:rFonts w:ascii="Times New Roman" w:eastAsia="Times New Roman" w:hAnsi="Times New Roman" w:cs="Times New Roman"/>
          <w:b/>
          <w:bCs/>
          <w:sz w:val="24"/>
          <w:szCs w:val="24"/>
        </w:rPr>
        <w:t xml:space="preserve">, Q., </w:t>
      </w:r>
      <w:proofErr w:type="spellStart"/>
      <w:r w:rsidRPr="00D26E63">
        <w:rPr>
          <w:rFonts w:ascii="Times New Roman" w:eastAsia="Times New Roman" w:hAnsi="Times New Roman" w:cs="Times New Roman"/>
          <w:b/>
          <w:bCs/>
          <w:sz w:val="24"/>
          <w:szCs w:val="24"/>
        </w:rPr>
        <w:t>Liang</w:t>
      </w:r>
      <w:proofErr w:type="spellEnd"/>
      <w:r w:rsidRPr="00D26E63">
        <w:rPr>
          <w:rFonts w:ascii="Times New Roman" w:eastAsia="Times New Roman" w:hAnsi="Times New Roman" w:cs="Times New Roman"/>
          <w:b/>
          <w:bCs/>
          <w:sz w:val="24"/>
          <w:szCs w:val="24"/>
        </w:rPr>
        <w:t xml:space="preserve">, Y., Wang, X., Yang, J., </w:t>
      </w:r>
      <w:proofErr w:type="spellStart"/>
      <w:r w:rsidRPr="00D26E63">
        <w:rPr>
          <w:rFonts w:ascii="Times New Roman" w:eastAsia="Times New Roman" w:hAnsi="Times New Roman" w:cs="Times New Roman"/>
          <w:b/>
          <w:bCs/>
          <w:sz w:val="24"/>
          <w:szCs w:val="24"/>
        </w:rPr>
        <w:t>Sun</w:t>
      </w:r>
      <w:proofErr w:type="spellEnd"/>
      <w:r w:rsidRPr="00D26E63">
        <w:rPr>
          <w:rFonts w:ascii="Times New Roman" w:eastAsia="Times New Roman" w:hAnsi="Times New Roman" w:cs="Times New Roman"/>
          <w:b/>
          <w:bCs/>
          <w:sz w:val="24"/>
          <w:szCs w:val="24"/>
        </w:rPr>
        <w:t xml:space="preserve">, K., </w:t>
      </w:r>
      <w:proofErr w:type="spellStart"/>
      <w:r w:rsidRPr="00D26E63">
        <w:rPr>
          <w:rFonts w:ascii="Times New Roman" w:eastAsia="Times New Roman" w:hAnsi="Times New Roman" w:cs="Times New Roman"/>
          <w:b/>
          <w:bCs/>
          <w:sz w:val="24"/>
          <w:szCs w:val="24"/>
        </w:rPr>
        <w:t>Longini</w:t>
      </w:r>
      <w:proofErr w:type="spellEnd"/>
      <w:r w:rsidRPr="00D26E63">
        <w:rPr>
          <w:rFonts w:ascii="Times New Roman" w:eastAsia="Times New Roman" w:hAnsi="Times New Roman" w:cs="Times New Roman"/>
          <w:b/>
          <w:bCs/>
          <w:sz w:val="24"/>
          <w:szCs w:val="24"/>
        </w:rPr>
        <w:t xml:space="preserve">, I. M., </w:t>
      </w:r>
      <w:proofErr w:type="spellStart"/>
      <w:r w:rsidRPr="00D26E63">
        <w:rPr>
          <w:rFonts w:ascii="Times New Roman" w:eastAsia="Times New Roman" w:hAnsi="Times New Roman" w:cs="Times New Roman"/>
          <w:b/>
          <w:bCs/>
          <w:sz w:val="24"/>
          <w:szCs w:val="24"/>
        </w:rPr>
        <w:t>Halloran</w:t>
      </w:r>
      <w:proofErr w:type="spellEnd"/>
      <w:r w:rsidRPr="00D26E63">
        <w:rPr>
          <w:rFonts w:ascii="Times New Roman" w:eastAsia="Times New Roman" w:hAnsi="Times New Roman" w:cs="Times New Roman"/>
          <w:b/>
          <w:bCs/>
          <w:sz w:val="24"/>
          <w:szCs w:val="24"/>
        </w:rPr>
        <w:t xml:space="preserve">, M. E., </w:t>
      </w:r>
      <w:proofErr w:type="spellStart"/>
      <w:r w:rsidRPr="00D26E63">
        <w:rPr>
          <w:rFonts w:ascii="Times New Roman" w:eastAsia="Times New Roman" w:hAnsi="Times New Roman" w:cs="Times New Roman"/>
          <w:b/>
          <w:bCs/>
          <w:sz w:val="24"/>
          <w:szCs w:val="24"/>
        </w:rPr>
        <w:t>Wu</w:t>
      </w:r>
      <w:proofErr w:type="spellEnd"/>
      <w:r w:rsidRPr="00D26E63">
        <w:rPr>
          <w:rFonts w:ascii="Times New Roman" w:eastAsia="Times New Roman" w:hAnsi="Times New Roman" w:cs="Times New Roman"/>
          <w:b/>
          <w:bCs/>
          <w:sz w:val="24"/>
          <w:szCs w:val="24"/>
        </w:rPr>
        <w:t xml:space="preserve">, P., </w:t>
      </w:r>
      <w:proofErr w:type="spellStart"/>
      <w:r w:rsidRPr="00D26E63">
        <w:rPr>
          <w:rFonts w:ascii="Times New Roman" w:eastAsia="Times New Roman" w:hAnsi="Times New Roman" w:cs="Times New Roman"/>
          <w:b/>
          <w:bCs/>
          <w:sz w:val="24"/>
          <w:szCs w:val="24"/>
        </w:rPr>
        <w:t>Cowling</w:t>
      </w:r>
      <w:proofErr w:type="spellEnd"/>
      <w:r w:rsidRPr="00D26E63">
        <w:rPr>
          <w:rFonts w:ascii="Times New Roman" w:eastAsia="Times New Roman" w:hAnsi="Times New Roman" w:cs="Times New Roman"/>
          <w:b/>
          <w:bCs/>
          <w:sz w:val="24"/>
          <w:szCs w:val="24"/>
        </w:rPr>
        <w:t xml:space="preserve">, B. J., … </w:t>
      </w:r>
      <w:r w:rsidRPr="00536BB9">
        <w:rPr>
          <w:rFonts w:ascii="Times New Roman" w:eastAsia="Times New Roman" w:hAnsi="Times New Roman" w:cs="Times New Roman"/>
          <w:b/>
          <w:bCs/>
          <w:sz w:val="24"/>
          <w:szCs w:val="24"/>
          <w:lang w:val="en-US"/>
        </w:rPr>
        <w:t xml:space="preserve">Yu, H. (2020). Evolving epidemiology and transmission dynamics of coronavirus disease 2019 outside Hubei province, China: a descriptive and modelling study. </w:t>
      </w:r>
      <w:proofErr w:type="spellStart"/>
      <w:r w:rsidRPr="00CF30BE">
        <w:rPr>
          <w:rFonts w:ascii="Times New Roman" w:eastAsia="Times New Roman" w:hAnsi="Times New Roman" w:cs="Times New Roman"/>
          <w:b/>
          <w:bCs/>
          <w:i/>
          <w:iCs/>
          <w:sz w:val="24"/>
          <w:szCs w:val="24"/>
        </w:rPr>
        <w:t>The</w:t>
      </w:r>
      <w:proofErr w:type="spellEnd"/>
      <w:r w:rsidRPr="00CF30BE">
        <w:rPr>
          <w:rFonts w:ascii="Times New Roman" w:eastAsia="Times New Roman" w:hAnsi="Times New Roman" w:cs="Times New Roman"/>
          <w:b/>
          <w:bCs/>
          <w:i/>
          <w:iCs/>
          <w:sz w:val="24"/>
          <w:szCs w:val="24"/>
        </w:rPr>
        <w:t xml:space="preserve"> </w:t>
      </w:r>
      <w:proofErr w:type="spellStart"/>
      <w:r w:rsidRPr="00CF30BE">
        <w:rPr>
          <w:rFonts w:ascii="Times New Roman" w:eastAsia="Times New Roman" w:hAnsi="Times New Roman" w:cs="Times New Roman"/>
          <w:b/>
          <w:bCs/>
          <w:i/>
          <w:iCs/>
          <w:sz w:val="24"/>
          <w:szCs w:val="24"/>
        </w:rPr>
        <w:t>Lancet</w:t>
      </w:r>
      <w:proofErr w:type="spellEnd"/>
      <w:r w:rsidRPr="00CF30BE">
        <w:rPr>
          <w:rFonts w:ascii="Times New Roman" w:eastAsia="Times New Roman" w:hAnsi="Times New Roman" w:cs="Times New Roman"/>
          <w:b/>
          <w:bCs/>
          <w:i/>
          <w:iCs/>
          <w:sz w:val="24"/>
          <w:szCs w:val="24"/>
        </w:rPr>
        <w:t xml:space="preserve"> </w:t>
      </w:r>
      <w:proofErr w:type="spellStart"/>
      <w:r w:rsidRPr="00CF30BE">
        <w:rPr>
          <w:rFonts w:ascii="Times New Roman" w:eastAsia="Times New Roman" w:hAnsi="Times New Roman" w:cs="Times New Roman"/>
          <w:b/>
          <w:bCs/>
          <w:i/>
          <w:iCs/>
          <w:sz w:val="24"/>
          <w:szCs w:val="24"/>
        </w:rPr>
        <w:t>Infectious</w:t>
      </w:r>
      <w:proofErr w:type="spellEnd"/>
      <w:r w:rsidRPr="00CF30BE">
        <w:rPr>
          <w:rFonts w:ascii="Times New Roman" w:eastAsia="Times New Roman" w:hAnsi="Times New Roman" w:cs="Times New Roman"/>
          <w:b/>
          <w:bCs/>
          <w:i/>
          <w:iCs/>
          <w:sz w:val="24"/>
          <w:szCs w:val="24"/>
        </w:rPr>
        <w:t xml:space="preserve"> </w:t>
      </w:r>
      <w:proofErr w:type="spellStart"/>
      <w:r w:rsidRPr="00CF30BE">
        <w:rPr>
          <w:rFonts w:ascii="Times New Roman" w:eastAsia="Times New Roman" w:hAnsi="Times New Roman" w:cs="Times New Roman"/>
          <w:b/>
          <w:bCs/>
          <w:i/>
          <w:iCs/>
          <w:sz w:val="24"/>
          <w:szCs w:val="24"/>
        </w:rPr>
        <w:t>Diseases</w:t>
      </w:r>
      <w:proofErr w:type="spellEnd"/>
      <w:r w:rsidRPr="00CF30BE">
        <w:rPr>
          <w:rFonts w:ascii="Times New Roman" w:eastAsia="Times New Roman" w:hAnsi="Times New Roman" w:cs="Times New Roman"/>
          <w:b/>
          <w:bCs/>
          <w:sz w:val="24"/>
          <w:szCs w:val="24"/>
        </w:rPr>
        <w:t xml:space="preserve">, </w:t>
      </w:r>
      <w:r w:rsidRPr="00CF30BE">
        <w:rPr>
          <w:rFonts w:ascii="Times New Roman" w:eastAsia="Times New Roman" w:hAnsi="Times New Roman" w:cs="Times New Roman"/>
          <w:b/>
          <w:bCs/>
          <w:i/>
          <w:iCs/>
          <w:sz w:val="24"/>
          <w:szCs w:val="24"/>
        </w:rPr>
        <w:t>20</w:t>
      </w:r>
      <w:r w:rsidRPr="00CF30BE">
        <w:rPr>
          <w:rFonts w:ascii="Times New Roman" w:eastAsia="Times New Roman" w:hAnsi="Times New Roman" w:cs="Times New Roman"/>
          <w:b/>
          <w:bCs/>
          <w:sz w:val="24"/>
          <w:szCs w:val="24"/>
        </w:rPr>
        <w:t xml:space="preserve">(7), 793–802. </w:t>
      </w:r>
    </w:p>
    <w:p w14:paraId="3858CC7A" w14:textId="77777777" w:rsidR="00CF30BE" w:rsidRPr="00CF30BE" w:rsidRDefault="00CF30BE" w:rsidP="00CF30BE">
      <w:pPr>
        <w:rPr>
          <w:b/>
          <w:bCs/>
        </w:rPr>
      </w:pPr>
    </w:p>
    <w:p w14:paraId="41A934A5" w14:textId="77777777" w:rsidR="00CF30BE" w:rsidRPr="00CF30BE" w:rsidRDefault="00CF30BE" w:rsidP="00CF30BE">
      <w:r w:rsidRPr="00CF30BE">
        <w:rPr>
          <w:b/>
          <w:bCs/>
        </w:rPr>
        <w:t xml:space="preserve">Rmk 1: </w:t>
      </w:r>
      <w:r w:rsidRPr="00CF30BE">
        <w:t>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w:t>
      </w:r>
    </w:p>
    <w:p w14:paraId="13556CFE" w14:textId="77777777" w:rsidR="00CF30BE" w:rsidRPr="00CF30BE" w:rsidRDefault="00CF30BE" w:rsidP="00CF30BE"/>
    <w:p w14:paraId="4F4317F3" w14:textId="77777777" w:rsidR="00CF30BE" w:rsidRPr="00CF30BE" w:rsidRDefault="00CF30BE" w:rsidP="00CF30BE">
      <w:r w:rsidRPr="00CF30BE">
        <w:rPr>
          <w:b/>
          <w:bCs/>
        </w:rPr>
        <w:t xml:space="preserve">Rmk 2: </w:t>
      </w:r>
      <w:r w:rsidRPr="00CF30BE">
        <w:t xml:space="preserve">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w:t>
      </w:r>
    </w:p>
    <w:p w14:paraId="5BFAB0A6" w14:textId="77777777" w:rsidR="00CF30BE" w:rsidRPr="00CF30BE" w:rsidRDefault="00CF30BE" w:rsidP="00CF30BE"/>
    <w:p w14:paraId="3B57B54F" w14:textId="77777777" w:rsidR="00CF30BE" w:rsidRPr="00CF30BE" w:rsidRDefault="00CF30BE" w:rsidP="00CF30BE">
      <w:pPr>
        <w:rPr>
          <w:highlight w:val="yellow"/>
        </w:rPr>
      </w:pPr>
      <w:r w:rsidRPr="00CF30BE">
        <w:rPr>
          <w:highlight w:val="yellow"/>
        </w:rPr>
        <w:t>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w:t>
      </w:r>
    </w:p>
    <w:p w14:paraId="2ED36BD8" w14:textId="77777777" w:rsidR="00CF30BE" w:rsidRPr="00CF30BE" w:rsidRDefault="00CF30BE" w:rsidP="00CF30BE">
      <w:pPr>
        <w:rPr>
          <w:highlight w:val="yellow"/>
        </w:rPr>
      </w:pPr>
    </w:p>
    <w:p w14:paraId="7D5F248E" w14:textId="7FDD16A1" w:rsidR="00CF30BE" w:rsidRPr="005E1C50" w:rsidRDefault="00CF30BE" w:rsidP="00CF30BE">
      <w:r w:rsidRPr="00D376F4">
        <w:rPr>
          <w:highlight w:val="yellow"/>
        </w:rPr>
        <w:t>Se ajustaron tres distribuciones paramétricas (Weibull, gamma y lognormal) para los datos de tiempo del evento y, con base en el criterio de información de Akaike, se seleccionó el mejor modelo paramétrico.</w:t>
      </w:r>
    </w:p>
    <w:p w14:paraId="79EE2950" w14:textId="4F657733" w:rsidR="00F80058" w:rsidRDefault="00F80058" w:rsidP="000B2CAE"/>
    <w:p w14:paraId="029ACE93" w14:textId="07F3983A" w:rsidR="007D2098" w:rsidRDefault="007D2098" w:rsidP="000B2CAE"/>
    <w:p w14:paraId="27238CBE" w14:textId="19DB0AD1" w:rsidR="007D2098" w:rsidRDefault="007D2098" w:rsidP="000B2CAE"/>
    <w:p w14:paraId="033AA831" w14:textId="7C531ABB" w:rsidR="007D2098" w:rsidRDefault="007D2098" w:rsidP="000B2CAE"/>
    <w:p w14:paraId="1B355F9A" w14:textId="69A159DB" w:rsidR="007D2098" w:rsidRDefault="007D2098" w:rsidP="000B2CAE"/>
    <w:p w14:paraId="6E010843" w14:textId="38A6ED26" w:rsidR="007D2098" w:rsidRDefault="007D2098" w:rsidP="000B2CAE"/>
    <w:p w14:paraId="76E4998D" w14:textId="3AE3B2C1" w:rsidR="007D2098" w:rsidRDefault="007D2098" w:rsidP="000B2CAE"/>
    <w:p w14:paraId="4C4D6BC2" w14:textId="512BBC8E" w:rsidR="007D2098" w:rsidRDefault="007D2098" w:rsidP="000B2CAE"/>
    <w:p w14:paraId="15ED6D94" w14:textId="50918003" w:rsidR="007D2098" w:rsidRDefault="007D2098" w:rsidP="000B2CAE"/>
    <w:p w14:paraId="78E8C43C" w14:textId="14BD2723" w:rsidR="007D2098" w:rsidRDefault="007D2098" w:rsidP="000B2CAE"/>
    <w:p w14:paraId="37932E93" w14:textId="246E9479" w:rsidR="007D2098" w:rsidRDefault="007D2098" w:rsidP="000B2CAE"/>
    <w:p w14:paraId="41429BFB" w14:textId="3366C49A" w:rsidR="007D2098" w:rsidRDefault="007D2098" w:rsidP="000B2CAE"/>
    <w:p w14:paraId="08910850" w14:textId="3EF899AA" w:rsidR="007D2098" w:rsidRDefault="007D2098" w:rsidP="000B2CAE"/>
    <w:p w14:paraId="622BD5DD" w14:textId="77777777" w:rsidR="007D2098" w:rsidRDefault="007D2098" w:rsidP="000B2CAE"/>
    <w:p w14:paraId="2B6AB957" w14:textId="3BF3500A" w:rsidR="007D2098" w:rsidRDefault="007D2098" w:rsidP="007D2098">
      <w:pPr>
        <w:pStyle w:val="ListParagraph"/>
        <w:ind w:left="1080"/>
        <w:rPr>
          <w:rFonts w:ascii="Times New Roman" w:eastAsia="Times New Roman" w:hAnsi="Times New Roman" w:cs="Times New Roman"/>
          <w:sz w:val="24"/>
          <w:szCs w:val="24"/>
        </w:rPr>
      </w:pPr>
    </w:p>
    <w:p w14:paraId="00526894" w14:textId="74829A2E" w:rsidR="007D2098" w:rsidRDefault="007D2098" w:rsidP="007D2098">
      <w:pPr>
        <w:pStyle w:val="ListParagraph"/>
        <w:ind w:left="1080"/>
        <w:rPr>
          <w:rFonts w:ascii="Times New Roman" w:eastAsia="Times New Roman" w:hAnsi="Times New Roman" w:cs="Times New Roman"/>
          <w:sz w:val="24"/>
          <w:szCs w:val="24"/>
        </w:rPr>
      </w:pPr>
    </w:p>
    <w:p w14:paraId="024CC819" w14:textId="7CF7086D" w:rsidR="007D2098" w:rsidRPr="007D2098" w:rsidRDefault="007D2098" w:rsidP="007D2098">
      <w:pPr>
        <w:pStyle w:val="ListParagraph"/>
        <w:ind w:left="1080"/>
        <w:jc w:val="center"/>
        <w:rPr>
          <w:rFonts w:ascii="Times New Roman" w:eastAsia="Times New Roman" w:hAnsi="Times New Roman" w:cs="Times New Roman"/>
          <w:b/>
          <w:sz w:val="40"/>
          <w:szCs w:val="40"/>
        </w:rPr>
      </w:pPr>
      <w:r w:rsidRPr="007D2098">
        <w:rPr>
          <w:rFonts w:ascii="Times New Roman" w:eastAsia="Times New Roman" w:hAnsi="Times New Roman" w:cs="Times New Roman"/>
          <w:b/>
          <w:sz w:val="40"/>
          <w:szCs w:val="40"/>
        </w:rPr>
        <w:t>ESTIMACIONES NO-PARAMÉTRICAS</w:t>
      </w:r>
    </w:p>
    <w:p w14:paraId="2F50705C" w14:textId="77777777" w:rsidR="007D2098" w:rsidRPr="007D2098" w:rsidRDefault="007D2098" w:rsidP="007D2098">
      <w:pPr>
        <w:pStyle w:val="ListParagraph"/>
        <w:ind w:left="1080"/>
        <w:rPr>
          <w:rFonts w:ascii="Times New Roman" w:eastAsia="Times New Roman" w:hAnsi="Times New Roman" w:cs="Times New Roman"/>
          <w:sz w:val="24"/>
          <w:szCs w:val="24"/>
        </w:rPr>
      </w:pPr>
    </w:p>
    <w:p w14:paraId="1B7A0160" w14:textId="3854FBE6" w:rsidR="009726A3" w:rsidRPr="009726A3" w:rsidRDefault="009726A3" w:rsidP="009726A3">
      <w:pPr>
        <w:pStyle w:val="ListParagraph"/>
        <w:numPr>
          <w:ilvl w:val="0"/>
          <w:numId w:val="21"/>
        </w:numPr>
        <w:rPr>
          <w:rFonts w:ascii="Times New Roman" w:eastAsia="Times New Roman" w:hAnsi="Times New Roman" w:cs="Times New Roman"/>
          <w:sz w:val="24"/>
          <w:szCs w:val="24"/>
        </w:rPr>
      </w:pPr>
      <w:r w:rsidRPr="009726A3">
        <w:rPr>
          <w:rFonts w:ascii="Times New Roman" w:eastAsia="Times New Roman" w:hAnsi="Times New Roman" w:cs="Times New Roman"/>
          <w:b/>
          <w:bCs/>
          <w:sz w:val="24"/>
          <w:szCs w:val="24"/>
        </w:rPr>
        <w:t xml:space="preserve">Segundas anotaciones a </w:t>
      </w:r>
      <w:proofErr w:type="spellStart"/>
      <w:r w:rsidRPr="009726A3">
        <w:rPr>
          <w:rFonts w:ascii="Times New Roman" w:hAnsi="Times New Roman" w:cs="Times New Roman"/>
          <w:b/>
          <w:bCs/>
          <w:sz w:val="24"/>
          <w:szCs w:val="24"/>
        </w:rPr>
        <w:t>Lapidus</w:t>
      </w:r>
      <w:proofErr w:type="spellEnd"/>
      <w:r w:rsidRPr="009726A3">
        <w:rPr>
          <w:rFonts w:ascii="Times New Roman" w:hAnsi="Times New Roman" w:cs="Times New Roman"/>
          <w:b/>
          <w:bCs/>
          <w:sz w:val="24"/>
          <w:szCs w:val="24"/>
        </w:rPr>
        <w:t xml:space="preserve">, N., Zhou, X., </w:t>
      </w:r>
      <w:proofErr w:type="spellStart"/>
      <w:r w:rsidRPr="009726A3">
        <w:rPr>
          <w:rFonts w:ascii="Times New Roman" w:hAnsi="Times New Roman" w:cs="Times New Roman"/>
          <w:b/>
          <w:bCs/>
          <w:sz w:val="24"/>
          <w:szCs w:val="24"/>
        </w:rPr>
        <w:t>Carrat</w:t>
      </w:r>
      <w:proofErr w:type="spellEnd"/>
      <w:r w:rsidRPr="009726A3">
        <w:rPr>
          <w:rFonts w:ascii="Times New Roman" w:hAnsi="Times New Roman" w:cs="Times New Roman"/>
          <w:b/>
          <w:bCs/>
          <w:sz w:val="24"/>
          <w:szCs w:val="24"/>
        </w:rPr>
        <w:t xml:space="preserve">, F., </w:t>
      </w:r>
      <w:proofErr w:type="spellStart"/>
      <w:r w:rsidRPr="009726A3">
        <w:rPr>
          <w:rFonts w:ascii="Times New Roman" w:hAnsi="Times New Roman" w:cs="Times New Roman"/>
          <w:b/>
          <w:bCs/>
          <w:sz w:val="24"/>
          <w:szCs w:val="24"/>
        </w:rPr>
        <w:t>Riou</w:t>
      </w:r>
      <w:proofErr w:type="spellEnd"/>
      <w:r w:rsidRPr="009726A3">
        <w:rPr>
          <w:rFonts w:ascii="Times New Roman" w:hAnsi="Times New Roman" w:cs="Times New Roman"/>
          <w:b/>
          <w:bCs/>
          <w:sz w:val="24"/>
          <w:szCs w:val="24"/>
        </w:rPr>
        <w:t xml:space="preserve">, B., Zhao, Y., &amp; </w:t>
      </w:r>
      <w:proofErr w:type="spellStart"/>
      <w:r w:rsidRPr="009726A3">
        <w:rPr>
          <w:rFonts w:ascii="Times New Roman" w:hAnsi="Times New Roman" w:cs="Times New Roman"/>
          <w:b/>
          <w:bCs/>
          <w:sz w:val="24"/>
          <w:szCs w:val="24"/>
        </w:rPr>
        <w:t>Hejblum</w:t>
      </w:r>
      <w:proofErr w:type="spellEnd"/>
      <w:r w:rsidRPr="009726A3">
        <w:rPr>
          <w:rFonts w:ascii="Times New Roman" w:hAnsi="Times New Roman" w:cs="Times New Roman"/>
          <w:b/>
          <w:bCs/>
          <w:sz w:val="24"/>
          <w:szCs w:val="24"/>
        </w:rPr>
        <w:t xml:space="preserve">, G. (2020). </w:t>
      </w:r>
      <w:r w:rsidRPr="009726A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9726A3">
        <w:rPr>
          <w:rFonts w:ascii="Times New Roman" w:hAnsi="Times New Roman" w:cs="Times New Roman"/>
          <w:b/>
          <w:bCs/>
          <w:i/>
          <w:iCs/>
          <w:sz w:val="24"/>
          <w:szCs w:val="24"/>
        </w:rPr>
        <w:t>Annals</w:t>
      </w:r>
      <w:proofErr w:type="spellEnd"/>
      <w:r w:rsidRPr="009726A3">
        <w:rPr>
          <w:rFonts w:ascii="Times New Roman" w:hAnsi="Times New Roman" w:cs="Times New Roman"/>
          <w:b/>
          <w:bCs/>
          <w:i/>
          <w:iCs/>
          <w:sz w:val="24"/>
          <w:szCs w:val="24"/>
        </w:rPr>
        <w:t xml:space="preserve"> of </w:t>
      </w:r>
      <w:proofErr w:type="spellStart"/>
      <w:r w:rsidRPr="009726A3">
        <w:rPr>
          <w:rFonts w:ascii="Times New Roman" w:hAnsi="Times New Roman" w:cs="Times New Roman"/>
          <w:b/>
          <w:bCs/>
          <w:i/>
          <w:iCs/>
          <w:sz w:val="24"/>
          <w:szCs w:val="24"/>
        </w:rPr>
        <w:t>Intensive</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Care</w:t>
      </w:r>
      <w:proofErr w:type="spellEnd"/>
      <w:r w:rsidRPr="009726A3">
        <w:rPr>
          <w:rFonts w:ascii="Times New Roman" w:hAnsi="Times New Roman" w:cs="Times New Roman"/>
          <w:b/>
          <w:bCs/>
          <w:sz w:val="24"/>
          <w:szCs w:val="24"/>
        </w:rPr>
        <w:t xml:space="preserve">, </w:t>
      </w:r>
      <w:r w:rsidRPr="009726A3">
        <w:rPr>
          <w:rFonts w:ascii="Times New Roman" w:hAnsi="Times New Roman" w:cs="Times New Roman"/>
          <w:b/>
          <w:bCs/>
          <w:i/>
          <w:iCs/>
          <w:sz w:val="24"/>
          <w:szCs w:val="24"/>
        </w:rPr>
        <w:t>10</w:t>
      </w:r>
      <w:r w:rsidRPr="009726A3">
        <w:rPr>
          <w:rFonts w:ascii="Times New Roman" w:hAnsi="Times New Roman" w:cs="Times New Roman"/>
          <w:b/>
          <w:bCs/>
          <w:sz w:val="24"/>
          <w:szCs w:val="24"/>
        </w:rPr>
        <w:t>(1)</w:t>
      </w:r>
    </w:p>
    <w:p w14:paraId="777B5A38" w14:textId="68420549" w:rsidR="009726A3" w:rsidRDefault="009726A3" w:rsidP="009726A3"/>
    <w:p w14:paraId="1AEE5EEC" w14:textId="2C0B3CE7" w:rsidR="00AE3E22" w:rsidRDefault="00AE3E22" w:rsidP="007D2098">
      <w:pPr>
        <w:shd w:val="clear" w:color="auto" w:fill="F7CAAC" w:themeFill="accent2" w:themeFillTint="66"/>
      </w:pPr>
      <w:proofErr w:type="spellStart"/>
      <w:r w:rsidRPr="007D2098">
        <w:rPr>
          <w:b/>
          <w:bCs/>
        </w:rPr>
        <w:t>Rmk</w:t>
      </w:r>
      <w:proofErr w:type="spellEnd"/>
      <w:r w:rsidRPr="007D2098">
        <w:rPr>
          <w:b/>
          <w:bCs/>
        </w:rPr>
        <w:t xml:space="preserve"> 4 [Estimador de Kaplan-Meier]: </w:t>
      </w:r>
      <w:r w:rsidRPr="007D2098">
        <w:t>la información sobre el tiempo de permanencia en UCI es representada de conformidad con el estimador de Kaplan-Meier. Se presenta la estimación de Kaplan-Meier para la probabilidad de descarga (muerte o dado de alta) de acuerdo con el tiempo de permanencia en UCI.</w:t>
      </w:r>
    </w:p>
    <w:p w14:paraId="2AA62DEE" w14:textId="6EC499AB" w:rsidR="00AE3E22" w:rsidRDefault="00AE3E22" w:rsidP="00AE3E22"/>
    <w:p w14:paraId="79079EDD" w14:textId="71F3BFDE" w:rsidR="00AE3E22" w:rsidRPr="00AE3E22" w:rsidRDefault="00AE3E22" w:rsidP="00AE3E22">
      <w:pPr>
        <w:pStyle w:val="ListParagraph"/>
        <w:numPr>
          <w:ilvl w:val="0"/>
          <w:numId w:val="21"/>
        </w:num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Anotaciones generales sobre Sun, C. Y., Feng, J. Y., Huang, J. R., Shen, H. C., Chen, Y. M., Chen, W. C., &amp; Yang, K. Y. (2022). </w:t>
      </w:r>
      <w:r w:rsidRPr="00536BB9">
        <w:rPr>
          <w:rFonts w:ascii="Times New Roman" w:eastAsia="Times New Roman" w:hAnsi="Times New Roman" w:cs="Times New Roman"/>
          <w:b/>
          <w:bCs/>
          <w:sz w:val="24"/>
          <w:szCs w:val="24"/>
          <w:lang w:val="en-US"/>
        </w:rPr>
        <w:t xml:space="preserve">Clinical Outcomes and Prolonged SARS-CoV-2 Viral Shedding in ICU Patients with Severe COVID-19 Infection and Nosocomial Bacterial Pneumonia: A Retrospective Cohort Study. </w:t>
      </w:r>
      <w:proofErr w:type="spellStart"/>
      <w:r w:rsidRPr="00AE3E22">
        <w:rPr>
          <w:rFonts w:ascii="Times New Roman" w:eastAsia="Times New Roman" w:hAnsi="Times New Roman" w:cs="Times New Roman"/>
          <w:b/>
          <w:bCs/>
          <w:i/>
          <w:iCs/>
          <w:sz w:val="24"/>
          <w:szCs w:val="24"/>
        </w:rPr>
        <w:t>Journal</w:t>
      </w:r>
      <w:proofErr w:type="spellEnd"/>
      <w:r w:rsidRPr="00AE3E22">
        <w:rPr>
          <w:rFonts w:ascii="Times New Roman" w:eastAsia="Times New Roman" w:hAnsi="Times New Roman" w:cs="Times New Roman"/>
          <w:b/>
          <w:bCs/>
          <w:i/>
          <w:iCs/>
          <w:sz w:val="24"/>
          <w:szCs w:val="24"/>
        </w:rPr>
        <w:t xml:space="preserve"> of </w:t>
      </w:r>
      <w:proofErr w:type="spellStart"/>
      <w:r w:rsidRPr="00AE3E22">
        <w:rPr>
          <w:rFonts w:ascii="Times New Roman" w:eastAsia="Times New Roman" w:hAnsi="Times New Roman" w:cs="Times New Roman"/>
          <w:b/>
          <w:bCs/>
          <w:i/>
          <w:iCs/>
          <w:sz w:val="24"/>
          <w:szCs w:val="24"/>
        </w:rPr>
        <w:t>Clinical</w:t>
      </w:r>
      <w:proofErr w:type="spellEnd"/>
      <w:r w:rsidRPr="00AE3E22">
        <w:rPr>
          <w:rFonts w:ascii="Times New Roman" w:eastAsia="Times New Roman" w:hAnsi="Times New Roman" w:cs="Times New Roman"/>
          <w:b/>
          <w:bCs/>
          <w:i/>
          <w:iCs/>
          <w:sz w:val="24"/>
          <w:szCs w:val="24"/>
        </w:rPr>
        <w:t xml:space="preserve"> Medicine</w:t>
      </w:r>
      <w:r w:rsidRPr="00AE3E22">
        <w:rPr>
          <w:rFonts w:ascii="Times New Roman" w:eastAsia="Times New Roman" w:hAnsi="Times New Roman" w:cs="Times New Roman"/>
          <w:b/>
          <w:bCs/>
          <w:sz w:val="24"/>
          <w:szCs w:val="24"/>
        </w:rPr>
        <w:t xml:space="preserve">, </w:t>
      </w:r>
      <w:r w:rsidRPr="00AE3E22">
        <w:rPr>
          <w:rFonts w:ascii="Times New Roman" w:eastAsia="Times New Roman" w:hAnsi="Times New Roman" w:cs="Times New Roman"/>
          <w:b/>
          <w:bCs/>
          <w:i/>
          <w:iCs/>
          <w:sz w:val="24"/>
          <w:szCs w:val="24"/>
        </w:rPr>
        <w:t>11</w:t>
      </w:r>
      <w:r w:rsidRPr="00AE3E22">
        <w:rPr>
          <w:rFonts w:ascii="Times New Roman" w:eastAsia="Times New Roman" w:hAnsi="Times New Roman" w:cs="Times New Roman"/>
          <w:b/>
          <w:bCs/>
          <w:sz w:val="24"/>
          <w:szCs w:val="24"/>
        </w:rPr>
        <w:t xml:space="preserve">(22). </w:t>
      </w:r>
    </w:p>
    <w:p w14:paraId="34668AC8" w14:textId="77777777" w:rsidR="00AE3E22" w:rsidRPr="00AE3E22" w:rsidRDefault="00AE3E22" w:rsidP="00AE3E22">
      <w:pPr>
        <w:rPr>
          <w:b/>
          <w:bCs/>
        </w:rPr>
      </w:pPr>
    </w:p>
    <w:p w14:paraId="5CE6F64B" w14:textId="77777777" w:rsidR="00AE3E22" w:rsidRPr="00AE3E22" w:rsidRDefault="00AE3E22" w:rsidP="00AE3E22">
      <w:r w:rsidRPr="00AE3E22">
        <w:rPr>
          <w:b/>
          <w:bCs/>
        </w:rPr>
        <w:t xml:space="preserve">Rmk 1: </w:t>
      </w:r>
      <w:r w:rsidRPr="00AE3E22">
        <w:t>el propósito del estudio es investigar las características de los pacientes que desarrollaron nosocomial bacterial pneumonia después de contraer COVID-19 y el impacto de la diseminación del virus.</w:t>
      </w:r>
    </w:p>
    <w:p w14:paraId="23837AB5" w14:textId="77777777" w:rsidR="00AE3E22" w:rsidRPr="00AE3E22" w:rsidRDefault="00AE3E22" w:rsidP="00AE3E22"/>
    <w:p w14:paraId="060734F8" w14:textId="77777777" w:rsidR="00AE3E22" w:rsidRPr="00AE3E22" w:rsidRDefault="00AE3E22" w:rsidP="00AE3E22">
      <w:r w:rsidRPr="00AE3E22">
        <w:rPr>
          <w:b/>
          <w:bCs/>
        </w:rPr>
        <w:t xml:space="preserve">Rmk 2: </w:t>
      </w:r>
      <w:r w:rsidRPr="00AE3E22">
        <w:t xml:space="preserve">el estudio considera los pacientes de un centro médico en Taipei, Taiwán. El período de estudio corresponde a </w:t>
      </w:r>
      <w:proofErr w:type="gramStart"/>
      <w:r w:rsidRPr="00AE3E22">
        <w:t>Mayo</w:t>
      </w:r>
      <w:proofErr w:type="gramEnd"/>
      <w:r w:rsidRPr="00AE3E22">
        <w:t>-2021:Septiembre-2021.</w:t>
      </w:r>
    </w:p>
    <w:p w14:paraId="5D87BEF2" w14:textId="77777777" w:rsidR="00AE3E22" w:rsidRPr="00AE3E22" w:rsidRDefault="00AE3E22" w:rsidP="00AE3E22"/>
    <w:p w14:paraId="3BB5343D" w14:textId="77777777" w:rsidR="00AE3E22" w:rsidRPr="00AE3E22" w:rsidRDefault="00AE3E22" w:rsidP="00AE3E22">
      <w:r w:rsidRPr="00AE3E22">
        <w:rPr>
          <w:b/>
          <w:bCs/>
        </w:rPr>
        <w:t xml:space="preserve">Rmk 3: </w:t>
      </w:r>
      <w:r w:rsidRPr="00AE3E22">
        <w:t>el análisis estadístico del estudio es el siguiente: los resultados se presentan según medianas y rangos intercuartílicos (IQRs). Las variables que muestran diferencias significativas entre grupos son incoporadas en una regresión logísticas univariada y multivariada para determinar los factores que, independientemente, determinar la nosocomial bacterial pneumonia.</w:t>
      </w:r>
    </w:p>
    <w:p w14:paraId="31A1D856" w14:textId="77777777" w:rsidR="00AE3E22" w:rsidRPr="00AE3E22" w:rsidRDefault="00AE3E22" w:rsidP="00AE3E22"/>
    <w:p w14:paraId="28F51C5B" w14:textId="77777777" w:rsidR="00AE3E22" w:rsidRPr="00536BB9" w:rsidRDefault="00AE3E22" w:rsidP="00AE3E22">
      <w:pPr>
        <w:rPr>
          <w:lang w:val="en-US"/>
        </w:rPr>
      </w:pPr>
      <w:r w:rsidRPr="00536BB9">
        <w:rPr>
          <w:lang w:val="en-US"/>
        </w:rPr>
        <w:t xml:space="preserve">Odds ratios (ORs) and Confidence Intervals (CI) were calculated using logistic regression models. They used multivariate logistic regression models to evaluate ORs, and the forward selection method was employed to assess the associated </w:t>
      </w:r>
      <w:proofErr w:type="spellStart"/>
      <w:r w:rsidRPr="00536BB9">
        <w:rPr>
          <w:lang w:val="en-US"/>
        </w:rPr>
        <w:t>factores</w:t>
      </w:r>
      <w:proofErr w:type="spellEnd"/>
      <w:r w:rsidRPr="00536BB9">
        <w:rPr>
          <w:lang w:val="en-US"/>
        </w:rPr>
        <w:t xml:space="preserve"> with a p-value of &lt;0.1.</w:t>
      </w:r>
    </w:p>
    <w:p w14:paraId="5E4DA2FA" w14:textId="77777777" w:rsidR="00AE3E22" w:rsidRPr="00536BB9" w:rsidRDefault="00AE3E22" w:rsidP="00AE3E22">
      <w:pPr>
        <w:rPr>
          <w:lang w:val="en-US"/>
        </w:rPr>
      </w:pPr>
    </w:p>
    <w:p w14:paraId="63723B71" w14:textId="77777777" w:rsidR="00AE3E22" w:rsidRPr="00AE3E22" w:rsidRDefault="00AE3E22" w:rsidP="00AE3E22">
      <w:r w:rsidRPr="00AE3E22">
        <w:t xml:space="preserve">La proporción de admisión de UCI, dependencia de ventilación mecánica y la duración de la diseminación del virus es evaluada mediante la curva de Kaplan-Meier y el test log-rank. </w:t>
      </w:r>
    </w:p>
    <w:p w14:paraId="305F4A19" w14:textId="77777777" w:rsidR="00AE3E22" w:rsidRPr="00AE3E22" w:rsidRDefault="00AE3E22" w:rsidP="00AE3E22"/>
    <w:p w14:paraId="52AA7813" w14:textId="77777777" w:rsidR="00AE3E22" w:rsidRPr="00AE3E22" w:rsidRDefault="00AE3E22" w:rsidP="00AE3E22">
      <w:r w:rsidRPr="00AE3E22">
        <w:rPr>
          <w:b/>
          <w:bCs/>
        </w:rPr>
        <w:t>Rmk 4:</w:t>
      </w:r>
      <w:r w:rsidRPr="00AE3E22">
        <w:t xml:space="preserve"> se consideran dos tipos de neumonía: Hospital-acquired pneumonia (HAP) y ventilator-associated pneumonia (VAP), las cuales producen peores resultados clínicos y prolongan el uso de ventiladores. Así, se consideran dos subpoblaciones: (1) pacientes con HAP/VAP; (2) pacientes sin HAP/VAP.</w:t>
      </w:r>
    </w:p>
    <w:p w14:paraId="70CD4651" w14:textId="77777777" w:rsidR="00AE3E22" w:rsidRPr="00AE3E22" w:rsidRDefault="00AE3E22" w:rsidP="00AE3E22"/>
    <w:p w14:paraId="0E0F9454" w14:textId="77777777" w:rsidR="00AE3E22" w:rsidRPr="00AE3E22" w:rsidRDefault="00AE3E22" w:rsidP="00AE3E22">
      <w:r w:rsidRPr="007D2098">
        <w:rPr>
          <w:highlight w:val="yellow"/>
        </w:rPr>
        <w:t>En el análisis de supervivencia, los pacientes con nosocomial pneumonia (el grupo HAP/VAP) tienen una mayor duración de la diseminación del virus (longer duration for SARS-CoV-2 virus shedding). (La variable de interés es Days of symptoms onset, days; la salida del análisis es Proportion of SARS-CoV-2 shedding).</w:t>
      </w:r>
    </w:p>
    <w:p w14:paraId="06BA1A95" w14:textId="77777777" w:rsidR="00AE3E22" w:rsidRPr="00AE3E22" w:rsidRDefault="00AE3E22" w:rsidP="00AE3E22"/>
    <w:p w14:paraId="2C9A8538" w14:textId="45BC4359" w:rsidR="00AE3E22" w:rsidRDefault="00AE3E22" w:rsidP="007D2098">
      <w:pPr>
        <w:shd w:val="clear" w:color="auto" w:fill="F7CAAC" w:themeFill="accent2" w:themeFillTint="66"/>
      </w:pPr>
      <w:r w:rsidRPr="00AE3E22">
        <w:t>De acuerdo con el test log-rank, y también respecto del análisis de supervivencia, pacientes de la subpoblación de pacientes HAP/VAP muestra significativamente un tiempo de permanencia mayor en UCI. (En este caso, la variable de interés es "Days after ICU admission"; y la variable de la ordenada, "Proportion of ICU admission").</w:t>
      </w:r>
    </w:p>
    <w:p w14:paraId="62708F56" w14:textId="1337C690" w:rsidR="00AE3E22" w:rsidRDefault="00AE3E22" w:rsidP="00AE3E22"/>
    <w:p w14:paraId="7AB6D60F" w14:textId="533EFD47" w:rsidR="00AE3E22" w:rsidRDefault="00AE3E22" w:rsidP="00AE3E22"/>
    <w:p w14:paraId="32876223" w14:textId="0ECCAE49" w:rsidR="00AE3E22" w:rsidRDefault="00AE3E22" w:rsidP="00AE3E22"/>
    <w:p w14:paraId="5590E989" w14:textId="77777777" w:rsidR="001B2414" w:rsidRPr="001B2414" w:rsidRDefault="001B2414" w:rsidP="001B2414">
      <w:pPr>
        <w:pStyle w:val="ListParagraph"/>
        <w:numPr>
          <w:ilvl w:val="0"/>
          <w:numId w:val="21"/>
        </w:numPr>
        <w:rPr>
          <w:rFonts w:ascii="Times New Roman" w:eastAsia="Times New Roman" w:hAnsi="Times New Roman" w:cs="Times New Roman"/>
          <w:sz w:val="24"/>
          <w:szCs w:val="24"/>
        </w:rPr>
      </w:pPr>
      <w:r w:rsidRPr="00D26E63">
        <w:rPr>
          <w:rFonts w:ascii="Times New Roman" w:eastAsia="Times New Roman" w:hAnsi="Times New Roman" w:cs="Times New Roman"/>
          <w:b/>
          <w:bCs/>
          <w:sz w:val="24"/>
          <w:szCs w:val="24"/>
        </w:rPr>
        <w:t xml:space="preserve">Anotaciones sobre </w:t>
      </w:r>
      <w:proofErr w:type="spellStart"/>
      <w:r w:rsidRPr="00D26E63">
        <w:rPr>
          <w:rFonts w:ascii="Times New Roman" w:eastAsia="Times New Roman" w:hAnsi="Times New Roman" w:cs="Times New Roman"/>
          <w:b/>
          <w:bCs/>
          <w:sz w:val="24"/>
          <w:szCs w:val="24"/>
        </w:rPr>
        <w:t>Zhou</w:t>
      </w:r>
      <w:proofErr w:type="spellEnd"/>
      <w:r w:rsidRPr="00D26E63">
        <w:rPr>
          <w:rFonts w:ascii="Times New Roman" w:eastAsia="Times New Roman" w:hAnsi="Times New Roman" w:cs="Times New Roman"/>
          <w:b/>
          <w:bCs/>
          <w:sz w:val="24"/>
          <w:szCs w:val="24"/>
        </w:rPr>
        <w:t xml:space="preserve">, S., Yang, Y., Zhang, X., Li, Z., </w:t>
      </w:r>
      <w:proofErr w:type="spellStart"/>
      <w:r w:rsidRPr="00D26E63">
        <w:rPr>
          <w:rFonts w:ascii="Times New Roman" w:eastAsia="Times New Roman" w:hAnsi="Times New Roman" w:cs="Times New Roman"/>
          <w:b/>
          <w:bCs/>
          <w:sz w:val="24"/>
          <w:szCs w:val="24"/>
        </w:rPr>
        <w:t>Liu</w:t>
      </w:r>
      <w:proofErr w:type="spellEnd"/>
      <w:r w:rsidRPr="00D26E63">
        <w:rPr>
          <w:rFonts w:ascii="Times New Roman" w:eastAsia="Times New Roman" w:hAnsi="Times New Roman" w:cs="Times New Roman"/>
          <w:b/>
          <w:bCs/>
          <w:sz w:val="24"/>
          <w:szCs w:val="24"/>
        </w:rPr>
        <w:t xml:space="preserve">, X., </w:t>
      </w:r>
      <w:proofErr w:type="spellStart"/>
      <w:r w:rsidRPr="00D26E63">
        <w:rPr>
          <w:rFonts w:ascii="Times New Roman" w:eastAsia="Times New Roman" w:hAnsi="Times New Roman" w:cs="Times New Roman"/>
          <w:b/>
          <w:bCs/>
          <w:sz w:val="24"/>
          <w:szCs w:val="24"/>
        </w:rPr>
        <w:t>Hu</w:t>
      </w:r>
      <w:proofErr w:type="spellEnd"/>
      <w:r w:rsidRPr="00D26E63">
        <w:rPr>
          <w:rFonts w:ascii="Times New Roman" w:eastAsia="Times New Roman" w:hAnsi="Times New Roman" w:cs="Times New Roman"/>
          <w:b/>
          <w:bCs/>
          <w:sz w:val="24"/>
          <w:szCs w:val="24"/>
        </w:rPr>
        <w:t xml:space="preserve">, C., </w:t>
      </w:r>
      <w:proofErr w:type="spellStart"/>
      <w:r w:rsidRPr="00D26E63">
        <w:rPr>
          <w:rFonts w:ascii="Times New Roman" w:eastAsia="Times New Roman" w:hAnsi="Times New Roman" w:cs="Times New Roman"/>
          <w:b/>
          <w:bCs/>
          <w:sz w:val="24"/>
          <w:szCs w:val="24"/>
        </w:rPr>
        <w:t>Chen</w:t>
      </w:r>
      <w:proofErr w:type="spellEnd"/>
      <w:r w:rsidRPr="00D26E63">
        <w:rPr>
          <w:rFonts w:ascii="Times New Roman" w:eastAsia="Times New Roman" w:hAnsi="Times New Roman" w:cs="Times New Roman"/>
          <w:b/>
          <w:bCs/>
          <w:sz w:val="24"/>
          <w:szCs w:val="24"/>
        </w:rPr>
        <w:t xml:space="preserve">, C., Wang, D., &amp; </w:t>
      </w:r>
      <w:proofErr w:type="spellStart"/>
      <w:r w:rsidRPr="00D26E63">
        <w:rPr>
          <w:rFonts w:ascii="Times New Roman" w:eastAsia="Times New Roman" w:hAnsi="Times New Roman" w:cs="Times New Roman"/>
          <w:b/>
          <w:bCs/>
          <w:sz w:val="24"/>
          <w:szCs w:val="24"/>
        </w:rPr>
        <w:t>Peng</w:t>
      </w:r>
      <w:proofErr w:type="spellEnd"/>
      <w:r w:rsidRPr="00D26E63">
        <w:rPr>
          <w:rFonts w:ascii="Times New Roman" w:eastAsia="Times New Roman" w:hAnsi="Times New Roman" w:cs="Times New Roman"/>
          <w:b/>
          <w:bCs/>
          <w:sz w:val="24"/>
          <w:szCs w:val="24"/>
        </w:rPr>
        <w:t xml:space="preserve">, Z. (2020). </w:t>
      </w:r>
      <w:r w:rsidRPr="00536BB9">
        <w:rPr>
          <w:rFonts w:ascii="Times New Roman" w:eastAsia="Times New Roman" w:hAnsi="Times New Roman" w:cs="Times New Roman"/>
          <w:b/>
          <w:bCs/>
          <w:sz w:val="24"/>
          <w:szCs w:val="24"/>
          <w:lang w:val="en-US"/>
        </w:rPr>
        <w:t xml:space="preserve">Clinical Course of 195 Critically Ill COVID-19 Patients: A Retrospective Multicenter Study. </w:t>
      </w:r>
      <w:r w:rsidRPr="001B2414">
        <w:rPr>
          <w:rFonts w:ascii="Times New Roman" w:eastAsia="Times New Roman" w:hAnsi="Times New Roman" w:cs="Times New Roman"/>
          <w:b/>
          <w:bCs/>
          <w:i/>
          <w:iCs/>
          <w:sz w:val="24"/>
          <w:szCs w:val="24"/>
        </w:rPr>
        <w:t>Shock (Augusta, Ga.)</w:t>
      </w:r>
      <w:r w:rsidRPr="001B2414">
        <w:rPr>
          <w:rFonts w:ascii="Times New Roman" w:eastAsia="Times New Roman" w:hAnsi="Times New Roman" w:cs="Times New Roman"/>
          <w:b/>
          <w:bCs/>
          <w:sz w:val="24"/>
          <w:szCs w:val="24"/>
        </w:rPr>
        <w:t xml:space="preserve">, </w:t>
      </w:r>
      <w:r w:rsidRPr="001B2414">
        <w:rPr>
          <w:rFonts w:ascii="Times New Roman" w:eastAsia="Times New Roman" w:hAnsi="Times New Roman" w:cs="Times New Roman"/>
          <w:b/>
          <w:bCs/>
          <w:i/>
          <w:iCs/>
          <w:sz w:val="24"/>
          <w:szCs w:val="24"/>
        </w:rPr>
        <w:t>54</w:t>
      </w:r>
      <w:r w:rsidRPr="001B2414">
        <w:rPr>
          <w:rFonts w:ascii="Times New Roman" w:eastAsia="Times New Roman" w:hAnsi="Times New Roman" w:cs="Times New Roman"/>
          <w:b/>
          <w:bCs/>
          <w:sz w:val="24"/>
          <w:szCs w:val="24"/>
        </w:rPr>
        <w:t>(5), 644–651.</w:t>
      </w:r>
    </w:p>
    <w:p w14:paraId="69AEE047" w14:textId="77777777" w:rsidR="001B2414" w:rsidRDefault="001B2414" w:rsidP="001B2414">
      <w:pPr>
        <w:ind w:left="360"/>
        <w:rPr>
          <w:b/>
          <w:bCs/>
        </w:rPr>
      </w:pPr>
    </w:p>
    <w:p w14:paraId="49DEACFF" w14:textId="6031985C" w:rsidR="001B2414" w:rsidRPr="001B2414" w:rsidRDefault="001B2414" w:rsidP="001B2414">
      <w:r w:rsidRPr="001B2414">
        <w:rPr>
          <w:b/>
          <w:bCs/>
        </w:rPr>
        <w:t xml:space="preserve">Rmk 1: </w:t>
      </w:r>
      <w:r w:rsidRPr="001B2414">
        <w:t xml:space="preserve">la comprensión de las enfermedades críticas de pacientes con COVID-19 es útil para identificar y priorizar pacientes en relación con el riesgo de muerte, la asignación racional sde recursos, evolución de la enfermedad crítica, experiencia de la terapia, etc. </w:t>
      </w:r>
      <w:r w:rsidRPr="001B2414">
        <w:br/>
      </w:r>
      <w:r w:rsidRPr="001B2414">
        <w:br/>
        <w:t>Así, el objetivo del artículo es analizar la evolución de los 195 pacientes de COVID-19 con enfermedades críticas durante la hospitalización.</w:t>
      </w:r>
      <w:r w:rsidRPr="001B2414">
        <w:br/>
      </w:r>
      <w:r w:rsidRPr="001B2414">
        <w:br/>
      </w:r>
      <w:r w:rsidRPr="001B2414">
        <w:rPr>
          <w:b/>
          <w:bCs/>
        </w:rPr>
        <w:t xml:space="preserve">Rmk 2: </w:t>
      </w:r>
      <w:r w:rsidRPr="001B2414">
        <w:t xml:space="preserve">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w:t>
      </w:r>
      <w:r w:rsidRPr="001B2414">
        <w:br/>
      </w:r>
      <w:r w:rsidRPr="001B2414">
        <w:br/>
      </w:r>
      <w:r w:rsidRPr="001B2414">
        <w:rPr>
          <w:b/>
          <w:bCs/>
        </w:rPr>
        <w:t xml:space="preserve">Rmk 3: </w:t>
      </w:r>
      <w:r w:rsidRPr="001B2414">
        <w:t>el análisis estadístico desarrollado es el siguiente: primero, las variables categóricas se presentan según frecuencias y porcentajas; segundo, las variables continuas se presentan según la media, la desviación estándar, mediana y rangos intercuartílicos.</w:t>
      </w:r>
      <w:r w:rsidRPr="001B2414">
        <w:br/>
      </w:r>
      <w:r w:rsidRPr="001B2414">
        <w:br/>
      </w:r>
      <w:r w:rsidRPr="007D2098">
        <w:rPr>
          <w:shd w:val="clear" w:color="auto" w:fill="F7CAAC" w:themeFill="accent2" w:themeFillTint="66"/>
        </w:rPr>
        <w:t>El método de Kaplan-Meier fue empleado para presentar la probabilidad de sobrevivir sobre la duración del seguimiento. La regresión logística multivariada es usada para identificar las variables explicativas de la mortalidad.</w:t>
      </w:r>
    </w:p>
    <w:p w14:paraId="7E9F807C" w14:textId="77777777" w:rsidR="001B2414" w:rsidRPr="001B2414" w:rsidRDefault="001B2414" w:rsidP="001B2414"/>
    <w:p w14:paraId="48110AAF" w14:textId="77777777" w:rsidR="001B2414" w:rsidRPr="001B2414" w:rsidRDefault="001B2414" w:rsidP="001B2414">
      <w:r w:rsidRPr="001B2414">
        <w:rPr>
          <w:b/>
          <w:bCs/>
        </w:rPr>
        <w:t xml:space="preserve">Rmk 4: </w:t>
      </w:r>
      <w:r w:rsidRPr="001B2414">
        <w:t>entre los 195 pacientes críticos, 181 recibieron ventilación mecánica, los cuales incluyen 84 no invasivos y 97 invasivos. Entre los 26 muertos, 16 pacientes murieron a causa del número precario de camas UCI.</w:t>
      </w:r>
    </w:p>
    <w:p w14:paraId="50D3BC4E" w14:textId="77777777" w:rsidR="001B2414" w:rsidRPr="001B2414" w:rsidRDefault="001B2414" w:rsidP="001B2414"/>
    <w:p w14:paraId="65EBE948" w14:textId="77777777" w:rsidR="001B2414" w:rsidRPr="001B2414" w:rsidRDefault="001B2414" w:rsidP="007D2098">
      <w:pPr>
        <w:shd w:val="clear" w:color="auto" w:fill="F7CAAC" w:themeFill="accent2" w:themeFillTint="66"/>
      </w:pPr>
      <w:r w:rsidRPr="001B2414">
        <w:t xml:space="preserve">Mediante el método de Kaplan-Meier, se estima la curva de supervivencia para los 195 pacientes con enfermedades críticas. (Nótese que la variable de interés es "Time from Onset of Critical Illness (Days)"; y la variable de la ordenada, la probabilidad de supervivencia). </w:t>
      </w:r>
    </w:p>
    <w:p w14:paraId="26614D0B" w14:textId="77777777" w:rsidR="001B2414" w:rsidRPr="001B2414" w:rsidRDefault="001B2414" w:rsidP="001B2414"/>
    <w:p w14:paraId="7DD56952" w14:textId="77777777" w:rsidR="001B2414" w:rsidRPr="001B2414" w:rsidRDefault="001B2414" w:rsidP="001B2414">
      <w:r w:rsidRPr="001B2414">
        <w:t>El 42.1% de los pacientes murieron dentro de 28 días, y la mayoría de muertes ocurren en las primeras dos semanas. La mortalidad de UCI se registró en 33%, y 16 de ellos murieron antes de la dmisión en UCI.</w:t>
      </w:r>
    </w:p>
    <w:p w14:paraId="7F36762E" w14:textId="77777777" w:rsidR="001B2414" w:rsidRPr="001B2414" w:rsidRDefault="001B2414" w:rsidP="001B2414"/>
    <w:p w14:paraId="074823A5" w14:textId="4A59CE2C" w:rsidR="00AE3E22" w:rsidRDefault="001B2414" w:rsidP="001B2414">
      <w:r w:rsidRPr="001B2414">
        <w:rPr>
          <w:b/>
          <w:bCs/>
        </w:rPr>
        <w:lastRenderedPageBreak/>
        <w:t xml:space="preserve">Final </w:t>
      </w:r>
      <w:proofErr w:type="spellStart"/>
      <w:r w:rsidR="005771CF">
        <w:rPr>
          <w:b/>
          <w:bCs/>
        </w:rPr>
        <w:t>remark</w:t>
      </w:r>
      <w:proofErr w:type="spellEnd"/>
      <w:r w:rsidRPr="001B2414">
        <w:t>: nótese que, en este caso, la estimación no-paramétrica de la curva de supervivencia opera sobre la variable "Time from onset of critical illness". Esto significa, entre otras cosas, que el análisis de supervivencia no se circunscribe al tiempo de permanencia en UCI. La utilidad para nuestra investigación no es completamente clara.</w:t>
      </w:r>
    </w:p>
    <w:p w14:paraId="72475981" w14:textId="36419CCE" w:rsidR="005771CF" w:rsidRDefault="005771CF" w:rsidP="001B2414"/>
    <w:p w14:paraId="3F1F35D3" w14:textId="2B60B5AC" w:rsidR="005771CF" w:rsidRDefault="005771CF" w:rsidP="001B2414"/>
    <w:p w14:paraId="38264F0B" w14:textId="30B31E62" w:rsidR="005771CF" w:rsidRDefault="005771CF" w:rsidP="001B2414"/>
    <w:p w14:paraId="5B808B07" w14:textId="77777777" w:rsidR="005771CF" w:rsidRPr="005771CF" w:rsidRDefault="005771CF" w:rsidP="005771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sz w:val="24"/>
          <w:szCs w:val="24"/>
        </w:rPr>
        <w:t xml:space="preserve">Anotaciones sobre Socolovithc, R. L., Fumis, R. R. L., Tomazini, B. M., Pastore, L., Galas, F. R. B. G., de Azevedo, L. C. P., &amp; Costa, E. L. V. (2020). </w:t>
      </w:r>
      <w:r w:rsidRPr="00536BB9">
        <w:rPr>
          <w:rFonts w:ascii="Times New Roman" w:eastAsia="Times New Roman" w:hAnsi="Times New Roman" w:cs="Times New Roman"/>
          <w:b/>
          <w:bCs/>
          <w:sz w:val="24"/>
          <w:szCs w:val="24"/>
          <w:lang w:val="en-US"/>
        </w:rPr>
        <w:t xml:space="preserve">Epidemiology, outcomes, and the use of intensive care unit resources of critically ill patients diagnosed with COVID-19 in Sao Paulo, Brazil: A cohort study. </w:t>
      </w:r>
      <w:proofErr w:type="spellStart"/>
      <w:r w:rsidRPr="005771CF">
        <w:rPr>
          <w:rFonts w:ascii="Times New Roman" w:eastAsia="Times New Roman" w:hAnsi="Times New Roman" w:cs="Times New Roman"/>
          <w:b/>
          <w:bCs/>
          <w:i/>
          <w:iCs/>
          <w:sz w:val="24"/>
          <w:szCs w:val="24"/>
        </w:rPr>
        <w:t>PLoS</w:t>
      </w:r>
      <w:proofErr w:type="spellEnd"/>
      <w:r w:rsidRPr="005771CF">
        <w:rPr>
          <w:rFonts w:ascii="Times New Roman" w:eastAsia="Times New Roman" w:hAnsi="Times New Roman" w:cs="Times New Roman"/>
          <w:b/>
          <w:bCs/>
          <w:i/>
          <w:iCs/>
          <w:sz w:val="24"/>
          <w:szCs w:val="24"/>
        </w:rPr>
        <w:t xml:space="preserve"> ONE</w:t>
      </w:r>
      <w:r w:rsidRPr="005771CF">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i/>
          <w:iCs/>
          <w:sz w:val="24"/>
          <w:szCs w:val="24"/>
        </w:rPr>
        <w:t>15</w:t>
      </w:r>
      <w:r w:rsidRPr="005771CF">
        <w:rPr>
          <w:rFonts w:ascii="Times New Roman" w:eastAsia="Times New Roman" w:hAnsi="Times New Roman" w:cs="Times New Roman"/>
          <w:b/>
          <w:bCs/>
          <w:sz w:val="24"/>
          <w:szCs w:val="24"/>
        </w:rPr>
        <w:t xml:space="preserve">(12 </w:t>
      </w:r>
      <w:proofErr w:type="spellStart"/>
      <w:r w:rsidRPr="005771CF">
        <w:rPr>
          <w:rFonts w:ascii="Times New Roman" w:eastAsia="Times New Roman" w:hAnsi="Times New Roman" w:cs="Times New Roman"/>
          <w:b/>
          <w:bCs/>
          <w:sz w:val="24"/>
          <w:szCs w:val="24"/>
        </w:rPr>
        <w:t>December</w:t>
      </w:r>
      <w:proofErr w:type="spellEnd"/>
      <w:r w:rsidRPr="005771CF">
        <w:rPr>
          <w:rFonts w:ascii="Times New Roman" w:eastAsia="Times New Roman" w:hAnsi="Times New Roman" w:cs="Times New Roman"/>
          <w:b/>
          <w:bCs/>
          <w:sz w:val="24"/>
          <w:szCs w:val="24"/>
        </w:rPr>
        <w:t xml:space="preserve">), 1–13. </w:t>
      </w:r>
    </w:p>
    <w:p w14:paraId="494002E4" w14:textId="77777777" w:rsidR="005771CF" w:rsidRDefault="005771CF" w:rsidP="005771CF">
      <w:pPr>
        <w:ind w:left="360"/>
        <w:rPr>
          <w:b/>
          <w:bCs/>
        </w:rPr>
      </w:pPr>
    </w:p>
    <w:p w14:paraId="1FE023E3" w14:textId="02B3DD5E" w:rsidR="005771CF" w:rsidRPr="005771CF" w:rsidRDefault="005771CF" w:rsidP="005771CF">
      <w:r w:rsidRPr="005771CF">
        <w:rPr>
          <w:b/>
          <w:bCs/>
        </w:rPr>
        <w:t xml:space="preserve">Rmk 1: </w:t>
      </w:r>
      <w:r w:rsidRPr="005771CF">
        <w:t>el propósito del artículo es describir los desenlaces clínicos de los pacientes críticos de COVID-19, así como evaluar el impacto en el uso de recursos hospitalarios y compararlo con patientes en estados crítico sin COVID-19.</w:t>
      </w:r>
      <w:r w:rsidRPr="005771CF">
        <w:br/>
      </w:r>
      <w:r w:rsidRPr="005771CF">
        <w:br/>
      </w:r>
      <w:r w:rsidRPr="005771CF">
        <w:rPr>
          <w:b/>
          <w:bCs/>
        </w:rPr>
        <w:t xml:space="preserve">Rmk 2: </w:t>
      </w:r>
      <w:r w:rsidRPr="005771CF">
        <w:t>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w:t>
      </w:r>
      <w:r w:rsidRPr="005771CF">
        <w:br/>
      </w:r>
      <w:r w:rsidRPr="005771CF">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5771CF">
        <w:br/>
      </w:r>
      <w:r w:rsidRPr="005771CF">
        <w:br/>
      </w:r>
      <w:r w:rsidRPr="00FC0D33">
        <w:rPr>
          <w:b/>
          <w:bCs/>
          <w:shd w:val="clear" w:color="auto" w:fill="F7CAAC" w:themeFill="accent2" w:themeFillTint="66"/>
        </w:rPr>
        <w:t xml:space="preserve">Rmk 3: </w:t>
      </w:r>
      <w:r w:rsidRPr="00FC0D33">
        <w:rPr>
          <w:shd w:val="clear" w:color="auto" w:fill="F7CAAC" w:themeFill="accent2" w:themeFillTint="66"/>
        </w:rPr>
        <w:t>nótese que se consideran dos subpoblaciones en la estimación no-paramétrica de las curvas de supervivencia: (1) pacientes críticos de COVID-19 en UCI; (2) pacientes en UCI sin COVID-19 pero con enfermedades respiratorias</w:t>
      </w:r>
      <w:r w:rsidRPr="005771CF">
        <w:t>.</w:t>
      </w:r>
    </w:p>
    <w:p w14:paraId="74CD8198" w14:textId="77777777" w:rsidR="005771CF" w:rsidRPr="005771CF" w:rsidRDefault="005771CF" w:rsidP="005771CF"/>
    <w:p w14:paraId="0AF1A506" w14:textId="77777777" w:rsidR="005771CF" w:rsidRPr="005771CF" w:rsidRDefault="005771CF" w:rsidP="00FC0D33">
      <w:pPr>
        <w:shd w:val="clear" w:color="auto" w:fill="F7CAAC" w:themeFill="accent2" w:themeFillTint="66"/>
      </w:pPr>
      <w:r w:rsidRPr="005771CF">
        <w:rPr>
          <w:b/>
          <w:bCs/>
        </w:rPr>
        <w:t xml:space="preserve">Rmk 4: </w:t>
      </w:r>
      <w:r w:rsidRPr="005771CF">
        <w:t>en relación con el análisis de supervivencia de Kaplan-Meier, se considera la variable de interés "Tiempo en días". El objetivo es estimar la probabilidad de supervivencia general hasta los 28 días.</w:t>
      </w:r>
    </w:p>
    <w:p w14:paraId="735493F2" w14:textId="77777777" w:rsidR="005771CF" w:rsidRPr="005771CF" w:rsidRDefault="005771CF" w:rsidP="005771CF"/>
    <w:p w14:paraId="0EBC90AC" w14:textId="77777777" w:rsidR="005771CF" w:rsidRPr="005771CF" w:rsidRDefault="005771CF" w:rsidP="005771CF">
      <w:r w:rsidRPr="005771CF">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p>
    <w:p w14:paraId="7306BD5F" w14:textId="77777777" w:rsidR="005771CF" w:rsidRPr="005771CF" w:rsidRDefault="005771CF" w:rsidP="005771CF"/>
    <w:p w14:paraId="065B68ED" w14:textId="1EF255BC" w:rsidR="005771CF" w:rsidRDefault="005771CF" w:rsidP="001B2414">
      <w:r w:rsidRPr="005771CF">
        <w:t xml:space="preserve">Un ejercicio análogo se implementa para estimar la probabilidad de supervivencia general hasta los 60 días. Además, un ejercicio análogo se implementa para los pacientes con ventilación, esto </w:t>
      </w:r>
      <w:r w:rsidRPr="005771CF">
        <w:lastRenderedPageBreak/>
        <w:t>es, tanto la supervivencia general hasta los 28 días como la supervivencia general hasta los 60 días.</w:t>
      </w:r>
    </w:p>
    <w:p w14:paraId="37E15F1B" w14:textId="5C0A65F3" w:rsidR="005771CF" w:rsidRDefault="005771CF" w:rsidP="001B2414"/>
    <w:p w14:paraId="5737C7C8" w14:textId="77777777" w:rsidR="00401227" w:rsidRPr="00401227" w:rsidRDefault="00401227" w:rsidP="00401227">
      <w:pPr>
        <w:pStyle w:val="ListParagraph"/>
        <w:numPr>
          <w:ilvl w:val="0"/>
          <w:numId w:val="21"/>
        </w:numPr>
        <w:rPr>
          <w:rFonts w:ascii="Times New Roman" w:eastAsia="Times New Roman" w:hAnsi="Times New Roman" w:cs="Times New Roman"/>
          <w:sz w:val="24"/>
          <w:szCs w:val="24"/>
        </w:rPr>
      </w:pPr>
      <w:r w:rsidRPr="00401227">
        <w:rPr>
          <w:rFonts w:ascii="Times New Roman" w:eastAsia="Times New Roman" w:hAnsi="Times New Roman" w:cs="Times New Roman"/>
          <w:b/>
          <w:bCs/>
          <w:sz w:val="24"/>
          <w:szCs w:val="24"/>
        </w:rPr>
        <w:t xml:space="preserve">Anotaciones sobre Peñuelas, O., del Campo-Albendea, L., de Aledo, A. L. G., Añón, J. M., Rodríguez-Solís, C., Mancebo, J., Vera, P., Ballesteros, D., Jiménez, J., Maseda, E., Figueira, J. C., Franco, N., Algaba, Á., Avilés, J. P., Díaz, R., Abad, B., Canabal, A., Abella, A., Gordo, F., … </w:t>
      </w:r>
      <w:proofErr w:type="spellStart"/>
      <w:r w:rsidRPr="00536BB9">
        <w:rPr>
          <w:rFonts w:ascii="Times New Roman" w:eastAsia="Times New Roman" w:hAnsi="Times New Roman" w:cs="Times New Roman"/>
          <w:b/>
          <w:bCs/>
          <w:sz w:val="24"/>
          <w:szCs w:val="24"/>
          <w:lang w:val="en-US"/>
        </w:rPr>
        <w:t>Frutos-Vivar</w:t>
      </w:r>
      <w:proofErr w:type="spellEnd"/>
      <w:r w:rsidRPr="00536BB9">
        <w:rPr>
          <w:rFonts w:ascii="Times New Roman" w:eastAsia="Times New Roman" w:hAnsi="Times New Roman" w:cs="Times New Roman"/>
          <w:b/>
          <w:bCs/>
          <w:sz w:val="24"/>
          <w:szCs w:val="24"/>
          <w:lang w:val="en-US"/>
        </w:rPr>
        <w:t xml:space="preserve">, F. (2021). Long-term survival of mechanically ventilated patients with severe COVID-19: an observational cohort study. </w:t>
      </w:r>
      <w:proofErr w:type="spellStart"/>
      <w:r w:rsidRPr="00401227">
        <w:rPr>
          <w:rFonts w:ascii="Times New Roman" w:eastAsia="Times New Roman" w:hAnsi="Times New Roman" w:cs="Times New Roman"/>
          <w:b/>
          <w:bCs/>
          <w:i/>
          <w:iCs/>
          <w:sz w:val="24"/>
          <w:szCs w:val="24"/>
        </w:rPr>
        <w:t>Annals</w:t>
      </w:r>
      <w:proofErr w:type="spellEnd"/>
      <w:r w:rsidRPr="00401227">
        <w:rPr>
          <w:rFonts w:ascii="Times New Roman" w:eastAsia="Times New Roman" w:hAnsi="Times New Roman" w:cs="Times New Roman"/>
          <w:b/>
          <w:bCs/>
          <w:i/>
          <w:iCs/>
          <w:sz w:val="24"/>
          <w:szCs w:val="24"/>
        </w:rPr>
        <w:t xml:space="preserve"> of </w:t>
      </w:r>
      <w:proofErr w:type="spellStart"/>
      <w:r w:rsidRPr="00401227">
        <w:rPr>
          <w:rFonts w:ascii="Times New Roman" w:eastAsia="Times New Roman" w:hAnsi="Times New Roman" w:cs="Times New Roman"/>
          <w:b/>
          <w:bCs/>
          <w:i/>
          <w:iCs/>
          <w:sz w:val="24"/>
          <w:szCs w:val="24"/>
        </w:rPr>
        <w:t>Intensive</w:t>
      </w:r>
      <w:proofErr w:type="spellEnd"/>
      <w:r w:rsidRPr="00401227">
        <w:rPr>
          <w:rFonts w:ascii="Times New Roman" w:eastAsia="Times New Roman" w:hAnsi="Times New Roman" w:cs="Times New Roman"/>
          <w:b/>
          <w:bCs/>
          <w:i/>
          <w:iCs/>
          <w:sz w:val="24"/>
          <w:szCs w:val="24"/>
        </w:rPr>
        <w:t xml:space="preserve"> </w:t>
      </w:r>
      <w:proofErr w:type="spellStart"/>
      <w:r w:rsidRPr="00401227">
        <w:rPr>
          <w:rFonts w:ascii="Times New Roman" w:eastAsia="Times New Roman" w:hAnsi="Times New Roman" w:cs="Times New Roman"/>
          <w:b/>
          <w:bCs/>
          <w:i/>
          <w:iCs/>
          <w:sz w:val="24"/>
          <w:szCs w:val="24"/>
        </w:rPr>
        <w:t>Care</w:t>
      </w:r>
      <w:proofErr w:type="spellEnd"/>
      <w:r w:rsidRPr="00401227">
        <w:rPr>
          <w:rFonts w:ascii="Times New Roman" w:eastAsia="Times New Roman" w:hAnsi="Times New Roman" w:cs="Times New Roman"/>
          <w:b/>
          <w:bCs/>
          <w:sz w:val="24"/>
          <w:szCs w:val="24"/>
        </w:rPr>
        <w:t xml:space="preserve">, </w:t>
      </w:r>
      <w:r w:rsidRPr="00401227">
        <w:rPr>
          <w:rFonts w:ascii="Times New Roman" w:eastAsia="Times New Roman" w:hAnsi="Times New Roman" w:cs="Times New Roman"/>
          <w:b/>
          <w:bCs/>
          <w:i/>
          <w:iCs/>
          <w:sz w:val="24"/>
          <w:szCs w:val="24"/>
        </w:rPr>
        <w:t>11</w:t>
      </w:r>
      <w:r w:rsidRPr="00401227">
        <w:rPr>
          <w:rFonts w:ascii="Times New Roman" w:eastAsia="Times New Roman" w:hAnsi="Times New Roman" w:cs="Times New Roman"/>
          <w:b/>
          <w:bCs/>
          <w:sz w:val="24"/>
          <w:szCs w:val="24"/>
        </w:rPr>
        <w:t xml:space="preserve">(1). </w:t>
      </w:r>
    </w:p>
    <w:p w14:paraId="106F17D4" w14:textId="77777777" w:rsidR="00401227" w:rsidRDefault="00401227" w:rsidP="00401227">
      <w:pPr>
        <w:rPr>
          <w:b/>
          <w:bCs/>
        </w:rPr>
      </w:pPr>
    </w:p>
    <w:p w14:paraId="0B666BF9" w14:textId="797173A9" w:rsidR="00401227" w:rsidRPr="00401227" w:rsidRDefault="00401227" w:rsidP="00401227">
      <w:r w:rsidRPr="00401227">
        <w:rPr>
          <w:b/>
          <w:bCs/>
        </w:rPr>
        <w:t xml:space="preserve">Rmk 1: </w:t>
      </w:r>
      <w:r w:rsidRPr="00401227">
        <w:t>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w:t>
      </w:r>
      <w:r w:rsidRPr="00401227">
        <w:br/>
      </w:r>
      <w:r w:rsidRPr="00401227">
        <w:br/>
      </w:r>
      <w:r w:rsidRPr="00401227">
        <w:rPr>
          <w:b/>
          <w:bCs/>
        </w:rPr>
        <w:t>Rmk 2:</w:t>
      </w:r>
      <w:r w:rsidRPr="00401227">
        <w:t xml:space="preserve"> para los pacientes de la cohorte, se registran las siguientes características: edad, sexo, talla, peso, puntaja de severidad de la enfermedad, comorbilidades, modo de soporte respiratorio, etc. </w:t>
      </w:r>
      <w:r w:rsidRPr="00401227">
        <w:br/>
      </w:r>
      <w:r w:rsidRPr="00401227">
        <w:br/>
        <w:t>Los pacientes fueron seguidos hasta 180 días después de la admisión en el hospital. Los pacientes que murieron fueron censurados para el análisis sobre el tiempo de descarga.</w:t>
      </w:r>
      <w:r w:rsidRPr="00401227">
        <w:br/>
      </w:r>
      <w:r w:rsidRPr="00401227">
        <w:br/>
      </w:r>
      <w:r w:rsidRPr="00401227">
        <w:rPr>
          <w:b/>
          <w:bCs/>
        </w:rPr>
        <w:t xml:space="preserve">Rmk 3: </w:t>
      </w:r>
      <w:r w:rsidRPr="00FC0D33">
        <w:rPr>
          <w:shd w:val="clear" w:color="auto" w:fill="F7CAAC" w:themeFill="accent2" w:themeFillTint="66"/>
        </w:rPr>
        <w:t>el principal resultado es la mortalidad a 180 días (mortality at 180 days).</w:t>
      </w:r>
      <w:r w:rsidRPr="00401227">
        <w:t xml:space="preserve"> Los resultados secundarios son los siguientes: duración de la ventilación mecánica, la duración de la estancia en UCI, la estanca en el hospital, causa de la muerte y el destino en la descarga en el hospital. </w:t>
      </w:r>
      <w:r w:rsidRPr="00401227">
        <w:br/>
      </w:r>
      <w:r w:rsidRPr="00401227">
        <w:br/>
        <w:t xml:space="preserve">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w:t>
      </w:r>
    </w:p>
    <w:p w14:paraId="7348D67E" w14:textId="77777777" w:rsidR="00401227" w:rsidRPr="00401227" w:rsidRDefault="00401227" w:rsidP="00401227"/>
    <w:p w14:paraId="4C5991F7" w14:textId="77777777" w:rsidR="00401227" w:rsidRPr="00401227" w:rsidRDefault="00401227" w:rsidP="00401227">
      <w:r w:rsidRPr="00FC0D33">
        <w:rPr>
          <w:b/>
          <w:bCs/>
          <w:shd w:val="clear" w:color="auto" w:fill="F7CAAC" w:themeFill="accent2" w:themeFillTint="66"/>
        </w:rPr>
        <w:t xml:space="preserve">Rmk 4: </w:t>
      </w:r>
      <w:r w:rsidRPr="00FC0D33">
        <w:rPr>
          <w:shd w:val="clear" w:color="auto" w:fill="F7CAAC" w:themeFill="accent2" w:themeFillTint="66"/>
        </w:rPr>
        <w:t>las curvas de supervivencia de Kaplan-Meier proporcionan, en este caso, la supervivencia general a los 180 días (Overall survival at 180 days). La variable de interés es "Time from ICU admission, days"; y la salida del análisis no-paramétrico de supervivencia es la probabilidad de supervivencia</w:t>
      </w:r>
      <w:r w:rsidRPr="00401227">
        <w:t>.</w:t>
      </w:r>
    </w:p>
    <w:p w14:paraId="234183AE" w14:textId="77777777" w:rsidR="00401227" w:rsidRPr="00401227" w:rsidRDefault="00401227" w:rsidP="00401227"/>
    <w:p w14:paraId="15F5FEA3" w14:textId="2365609C" w:rsidR="005771CF" w:rsidRPr="00401227" w:rsidRDefault="00401227" w:rsidP="00401227">
      <w:pPr>
        <w:rPr>
          <w:b/>
          <w:bCs/>
        </w:rPr>
      </w:pPr>
      <w:r w:rsidRPr="00401227">
        <w:t>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w:t>
      </w:r>
    </w:p>
    <w:p w14:paraId="619E6981" w14:textId="5DA3E18E" w:rsidR="00EC3CB1" w:rsidRDefault="00EC3CB1" w:rsidP="008F6A41"/>
    <w:p w14:paraId="7310FAF8" w14:textId="6D78FBFE" w:rsidR="008F6A41" w:rsidRDefault="008F6A41" w:rsidP="008F6A41"/>
    <w:p w14:paraId="556841DF" w14:textId="1BB3F8EE" w:rsidR="008F6A41" w:rsidRDefault="008F6A41" w:rsidP="008F6A41"/>
    <w:p w14:paraId="62619208" w14:textId="542C395C" w:rsidR="008F6A41" w:rsidRDefault="008F6A41" w:rsidP="008F6A41"/>
    <w:p w14:paraId="3FA1734F" w14:textId="2FD18554" w:rsidR="008F6A41" w:rsidRDefault="008F6A41" w:rsidP="008F6A41"/>
    <w:p w14:paraId="13F4A303" w14:textId="2B1E661C" w:rsidR="008F6A41" w:rsidRDefault="008F6A41" w:rsidP="008F6A41"/>
    <w:p w14:paraId="4840069B" w14:textId="5B4A3841" w:rsidR="008F6A41" w:rsidRDefault="008F6A41" w:rsidP="008F6A41"/>
    <w:p w14:paraId="4F860F20" w14:textId="77777777" w:rsidR="008F6A41" w:rsidRPr="008F6A41" w:rsidRDefault="008F6A41" w:rsidP="008F6A41">
      <w:pPr>
        <w:pStyle w:val="ListParagraph"/>
        <w:numPr>
          <w:ilvl w:val="0"/>
          <w:numId w:val="21"/>
        </w:numPr>
        <w:rPr>
          <w:rFonts w:ascii="Times New Roman" w:eastAsia="Times New Roman" w:hAnsi="Times New Roman" w:cs="Times New Roman"/>
          <w:sz w:val="24"/>
          <w:szCs w:val="24"/>
        </w:rPr>
      </w:pPr>
      <w:proofErr w:type="spellStart"/>
      <w:r w:rsidRPr="008F6A41">
        <w:rPr>
          <w:rFonts w:ascii="Times New Roman" w:hAnsi="Times New Roman" w:cs="Times New Roman"/>
          <w:b/>
          <w:bCs/>
          <w:sz w:val="24"/>
          <w:szCs w:val="24"/>
          <w:lang w:val="en-US"/>
        </w:rPr>
        <w:t>Anotaciones</w:t>
      </w:r>
      <w:proofErr w:type="spellEnd"/>
      <w:r w:rsidRPr="008F6A41">
        <w:rPr>
          <w:rFonts w:ascii="Times New Roman" w:hAnsi="Times New Roman" w:cs="Times New Roman"/>
          <w:b/>
          <w:bCs/>
          <w:sz w:val="24"/>
          <w:szCs w:val="24"/>
          <w:lang w:val="en-US"/>
        </w:rPr>
        <w:t xml:space="preserve"> </w:t>
      </w:r>
      <w:proofErr w:type="spellStart"/>
      <w:r w:rsidRPr="008F6A41">
        <w:rPr>
          <w:rFonts w:ascii="Times New Roman" w:hAnsi="Times New Roman" w:cs="Times New Roman"/>
          <w:b/>
          <w:bCs/>
          <w:sz w:val="24"/>
          <w:szCs w:val="24"/>
          <w:lang w:val="en-US"/>
        </w:rPr>
        <w:t>sobre</w:t>
      </w:r>
      <w:proofErr w:type="spellEnd"/>
      <w:r w:rsidRPr="008F6A41">
        <w:rPr>
          <w:rFonts w:ascii="Times New Roman" w:hAnsi="Times New Roman" w:cs="Times New Roman"/>
          <w:b/>
          <w:bCs/>
          <w:sz w:val="24"/>
          <w:szCs w:val="24"/>
          <w:lang w:val="en-US"/>
        </w:rPr>
        <w:t xml:space="preserve"> Schmidt, M., &amp; Investigators, C.-I. G. on behalf of the R. N. and the C.-I. (2021). Clinical characteristics and day-90 outcomes of 4244 critically ill adults with COVID-19: a prospective cohort study. </w:t>
      </w:r>
      <w:proofErr w:type="spellStart"/>
      <w:r w:rsidRPr="008F6A41">
        <w:rPr>
          <w:rFonts w:ascii="Times New Roman" w:hAnsi="Times New Roman" w:cs="Times New Roman"/>
          <w:b/>
          <w:bCs/>
          <w:i/>
          <w:iCs/>
          <w:sz w:val="24"/>
          <w:szCs w:val="24"/>
        </w:rPr>
        <w:t>Intensive</w:t>
      </w:r>
      <w:proofErr w:type="spellEnd"/>
      <w:r w:rsidRPr="008F6A41">
        <w:rPr>
          <w:rFonts w:ascii="Times New Roman" w:hAnsi="Times New Roman" w:cs="Times New Roman"/>
          <w:b/>
          <w:bCs/>
          <w:i/>
          <w:iCs/>
          <w:sz w:val="24"/>
          <w:szCs w:val="24"/>
        </w:rPr>
        <w:t xml:space="preserve"> </w:t>
      </w:r>
      <w:proofErr w:type="spellStart"/>
      <w:r w:rsidRPr="008F6A41">
        <w:rPr>
          <w:rFonts w:ascii="Times New Roman" w:hAnsi="Times New Roman" w:cs="Times New Roman"/>
          <w:b/>
          <w:bCs/>
          <w:i/>
          <w:iCs/>
          <w:sz w:val="24"/>
          <w:szCs w:val="24"/>
        </w:rPr>
        <w:t>Care</w:t>
      </w:r>
      <w:proofErr w:type="spellEnd"/>
      <w:r w:rsidRPr="008F6A41">
        <w:rPr>
          <w:rFonts w:ascii="Times New Roman" w:hAnsi="Times New Roman" w:cs="Times New Roman"/>
          <w:b/>
          <w:bCs/>
          <w:i/>
          <w:iCs/>
          <w:sz w:val="24"/>
          <w:szCs w:val="24"/>
        </w:rPr>
        <w:t xml:space="preserve"> Medicine</w:t>
      </w:r>
      <w:r w:rsidRPr="008F6A41">
        <w:rPr>
          <w:rFonts w:ascii="Times New Roman" w:hAnsi="Times New Roman" w:cs="Times New Roman"/>
          <w:b/>
          <w:bCs/>
          <w:sz w:val="24"/>
          <w:szCs w:val="24"/>
        </w:rPr>
        <w:t xml:space="preserve">, </w:t>
      </w:r>
      <w:r w:rsidRPr="008F6A41">
        <w:rPr>
          <w:rFonts w:ascii="Times New Roman" w:hAnsi="Times New Roman" w:cs="Times New Roman"/>
          <w:b/>
          <w:bCs/>
          <w:i/>
          <w:iCs/>
          <w:sz w:val="24"/>
          <w:szCs w:val="24"/>
        </w:rPr>
        <w:t>47</w:t>
      </w:r>
      <w:r w:rsidRPr="008F6A41">
        <w:rPr>
          <w:rFonts w:ascii="Times New Roman" w:hAnsi="Times New Roman" w:cs="Times New Roman"/>
          <w:b/>
          <w:bCs/>
          <w:sz w:val="24"/>
          <w:szCs w:val="24"/>
        </w:rPr>
        <w:t>(1), 60–73.</w:t>
      </w:r>
    </w:p>
    <w:p w14:paraId="60621F92" w14:textId="77777777" w:rsidR="008F6A41" w:rsidRPr="008F6A41" w:rsidRDefault="008F6A41" w:rsidP="008F6A41">
      <w:pPr>
        <w:rPr>
          <w:b/>
          <w:bCs/>
        </w:rPr>
      </w:pPr>
    </w:p>
    <w:p w14:paraId="3C46DB94" w14:textId="54466A01" w:rsidR="008F6A41" w:rsidRDefault="008F6A41" w:rsidP="008F6A41">
      <w:proofErr w:type="spellStart"/>
      <w:r w:rsidRPr="008F6A41">
        <w:rPr>
          <w:b/>
          <w:bCs/>
        </w:rPr>
        <w:t>Rmk</w:t>
      </w:r>
      <w:proofErr w:type="spellEnd"/>
      <w:r w:rsidRPr="008F6A41">
        <w:rPr>
          <w:b/>
          <w:bCs/>
        </w:rPr>
        <w:t xml:space="preserve"> 1: </w:t>
      </w:r>
      <w:r w:rsidRPr="008F6A41">
        <w:t>el objetivo de Schmidt et al. (2021) es el siguiente: para describir la severidad del ARDS (</w:t>
      </w:r>
      <w:proofErr w:type="spellStart"/>
      <w:r w:rsidRPr="008F6A41">
        <w:t>Acute</w:t>
      </w:r>
      <w:proofErr w:type="spellEnd"/>
      <w:r w:rsidRPr="008F6A41">
        <w:t xml:space="preserve"> </w:t>
      </w:r>
      <w:proofErr w:type="spellStart"/>
      <w:r w:rsidRPr="008F6A41">
        <w:t>Respiratory</w:t>
      </w:r>
      <w:proofErr w:type="spellEnd"/>
      <w:r w:rsidRPr="008F6A41">
        <w:t xml:space="preserve"> </w:t>
      </w:r>
      <w:proofErr w:type="spellStart"/>
      <w:r w:rsidRPr="008F6A41">
        <w:t>Distress</w:t>
      </w:r>
      <w:proofErr w:type="spellEnd"/>
      <w:r w:rsidRPr="008F6A41">
        <w:t xml:space="preserve"> </w:t>
      </w:r>
      <w:proofErr w:type="spellStart"/>
      <w:r w:rsidRPr="008F6A41">
        <w:t>Syndrome</w:t>
      </w:r>
      <w:proofErr w:type="spellEnd"/>
      <w:r w:rsidRPr="008F6A41">
        <w:t xml:space="preserve">), el manejo de ventilación y los desenlaces de los pacientes en UCI con COVID-19. </w:t>
      </w:r>
      <w:proofErr w:type="spellStart"/>
      <w:r w:rsidRPr="008F6A41">
        <w:t>Adicionamente</w:t>
      </w:r>
      <w:proofErr w:type="spellEnd"/>
      <w:r w:rsidRPr="008F6A41">
        <w:t xml:space="preserve">, se determina los factores de riesgo para la mortalidad de 90 días después de la admisión de UCI (90-day </w:t>
      </w:r>
      <w:proofErr w:type="spellStart"/>
      <w:r w:rsidRPr="008F6A41">
        <w:t>mortality</w:t>
      </w:r>
      <w:proofErr w:type="spellEnd"/>
      <w:r w:rsidRPr="008F6A41">
        <w:t>).</w:t>
      </w:r>
      <w:r w:rsidRPr="008F6A41">
        <w:rPr>
          <w:b/>
          <w:bCs/>
        </w:rPr>
        <w:br/>
      </w:r>
      <w:r w:rsidRPr="008F6A41">
        <w:rPr>
          <w:b/>
          <w:bCs/>
        </w:rPr>
        <w:br/>
      </w:r>
      <w:proofErr w:type="spellStart"/>
      <w:r w:rsidRPr="008F6A41">
        <w:rPr>
          <w:b/>
          <w:bCs/>
        </w:rPr>
        <w:t>Rmk</w:t>
      </w:r>
      <w:proofErr w:type="spellEnd"/>
      <w:r w:rsidRPr="008F6A41">
        <w:rPr>
          <w:b/>
          <w:bCs/>
        </w:rPr>
        <w:t xml:space="preserve"> 2: </w:t>
      </w:r>
      <w:r w:rsidRPr="008F6A41">
        <w:t xml:space="preserve">Las </w:t>
      </w:r>
      <w:proofErr w:type="spellStart"/>
      <w:r w:rsidRPr="008F6A41">
        <w:t>covariables</w:t>
      </w:r>
      <w:proofErr w:type="spellEnd"/>
      <w:r w:rsidRPr="008F6A41">
        <w:t xml:space="preserve"> de interés son las siguientes (Schmidt et al., 2021):</w:t>
      </w:r>
      <w:r>
        <w:t xml:space="preserve"> </w:t>
      </w:r>
      <w:r w:rsidRPr="008F6A41">
        <w:t>Active smoking</w:t>
      </w:r>
      <w:r>
        <w:t xml:space="preserve">, </w:t>
      </w:r>
      <w:proofErr w:type="spellStart"/>
      <w:r w:rsidRPr="008F6A41">
        <w:t>Simplified</w:t>
      </w:r>
      <w:proofErr w:type="spellEnd"/>
      <w:r w:rsidRPr="008F6A41">
        <w:t xml:space="preserve"> </w:t>
      </w:r>
      <w:proofErr w:type="spellStart"/>
      <w:r w:rsidRPr="008F6A41">
        <w:t>Acute</w:t>
      </w:r>
      <w:proofErr w:type="spellEnd"/>
      <w:r w:rsidRPr="008F6A41">
        <w:t xml:space="preserve"> </w:t>
      </w:r>
      <w:proofErr w:type="spellStart"/>
      <w:r w:rsidRPr="008F6A41">
        <w:t>Physiology</w:t>
      </w:r>
      <w:proofErr w:type="spellEnd"/>
      <w:r w:rsidRPr="008F6A41">
        <w:t xml:space="preserve"> Score (SAPS) II</w:t>
      </w:r>
      <w:r>
        <w:t xml:space="preserve">, </w:t>
      </w:r>
      <w:proofErr w:type="spellStart"/>
      <w:r w:rsidRPr="008F6A41">
        <w:t>Sequential</w:t>
      </w:r>
      <w:proofErr w:type="spellEnd"/>
      <w:r w:rsidRPr="008F6A41">
        <w:t xml:space="preserve"> </w:t>
      </w:r>
      <w:proofErr w:type="spellStart"/>
      <w:r w:rsidRPr="008F6A41">
        <w:t>Organ</w:t>
      </w:r>
      <w:proofErr w:type="spellEnd"/>
      <w:r w:rsidRPr="008F6A41">
        <w:t xml:space="preserve"> </w:t>
      </w:r>
      <w:proofErr w:type="spellStart"/>
      <w:r w:rsidRPr="008F6A41">
        <w:t>Failure</w:t>
      </w:r>
      <w:proofErr w:type="spellEnd"/>
      <w:r w:rsidRPr="008F6A41">
        <w:t xml:space="preserve"> </w:t>
      </w:r>
      <w:proofErr w:type="spellStart"/>
      <w:r w:rsidRPr="008F6A41">
        <w:t>Assessment</w:t>
      </w:r>
      <w:proofErr w:type="spellEnd"/>
      <w:r w:rsidRPr="008F6A41">
        <w:t xml:space="preserve"> (SOFA)</w:t>
      </w:r>
      <w:r>
        <w:t xml:space="preserve">, </w:t>
      </w:r>
      <w:proofErr w:type="spellStart"/>
      <w:r w:rsidRPr="008F6A41">
        <w:t>Immunodficiency</w:t>
      </w:r>
      <w:proofErr w:type="spellEnd"/>
      <w:r w:rsidRPr="008F6A41">
        <w:t xml:space="preserve"> (No comorbilidad)</w:t>
      </w:r>
      <w:r>
        <w:t xml:space="preserve">, </w:t>
      </w:r>
      <w:proofErr w:type="spellStart"/>
      <w:r w:rsidRPr="008F6A41">
        <w:t>Clinical</w:t>
      </w:r>
      <w:proofErr w:type="spellEnd"/>
      <w:r w:rsidRPr="008F6A41">
        <w:t xml:space="preserve"> </w:t>
      </w:r>
      <w:proofErr w:type="spellStart"/>
      <w:r w:rsidRPr="008F6A41">
        <w:t>frailty</w:t>
      </w:r>
      <w:proofErr w:type="spellEnd"/>
      <w:r w:rsidRPr="008F6A41">
        <w:t xml:space="preserve"> </w:t>
      </w:r>
      <w:proofErr w:type="spellStart"/>
      <w:r w:rsidRPr="008F6A41">
        <w:t>scale</w:t>
      </w:r>
      <w:proofErr w:type="spellEnd"/>
      <w:r w:rsidRPr="008F6A41">
        <w:br/>
      </w:r>
      <w:r w:rsidRPr="008F6A41">
        <w:br/>
      </w:r>
      <w:proofErr w:type="spellStart"/>
      <w:r w:rsidRPr="008F6A41">
        <w:rPr>
          <w:b/>
          <w:bCs/>
        </w:rPr>
        <w:t>Rmk</w:t>
      </w:r>
      <w:proofErr w:type="spellEnd"/>
      <w:r w:rsidRPr="008F6A41">
        <w:rPr>
          <w:b/>
          <w:bCs/>
        </w:rPr>
        <w:t xml:space="preserve"> 3: </w:t>
      </w:r>
      <w:r w:rsidRPr="0069585E">
        <w:rPr>
          <w:shd w:val="clear" w:color="auto" w:fill="F7CAAC" w:themeFill="accent2" w:themeFillTint="66"/>
        </w:rPr>
        <w:t xml:space="preserve">el análisis de supervivencia es el </w:t>
      </w:r>
      <w:proofErr w:type="spellStart"/>
      <w:r w:rsidRPr="0069585E">
        <w:rPr>
          <w:shd w:val="clear" w:color="auto" w:fill="F7CAAC" w:themeFill="accent2" w:themeFillTint="66"/>
        </w:rPr>
        <w:t>siguiente:las</w:t>
      </w:r>
      <w:proofErr w:type="spellEnd"/>
      <w:r w:rsidRPr="0069585E">
        <w:rPr>
          <w:shd w:val="clear" w:color="auto" w:fill="F7CAAC" w:themeFill="accent2" w:themeFillTint="66"/>
        </w:rPr>
        <w:t xml:space="preserve"> curvas de supervivencia hasta el día 90 son estimadas mediante el método de Kaplan-Meier</w:t>
      </w:r>
      <w:r w:rsidRPr="008F6A41">
        <w:t xml:space="preserve">. Las curvas según grupos son comparadas a partir </w:t>
      </w:r>
      <w:proofErr w:type="gramStart"/>
      <w:r w:rsidRPr="008F6A41">
        <w:t>del test</w:t>
      </w:r>
      <w:proofErr w:type="gramEnd"/>
      <w:r w:rsidRPr="008F6A41">
        <w:t xml:space="preserve"> </w:t>
      </w:r>
      <w:proofErr w:type="spellStart"/>
      <w:r w:rsidRPr="008F6A41">
        <w:t>log.rank</w:t>
      </w:r>
      <w:proofErr w:type="spellEnd"/>
      <w:r w:rsidRPr="008F6A41">
        <w:t>. (</w:t>
      </w:r>
      <w:r w:rsidRPr="0069585E">
        <w:rPr>
          <w:shd w:val="clear" w:color="auto" w:fill="F7CAAC" w:themeFill="accent2" w:themeFillTint="66"/>
        </w:rPr>
        <w:t xml:space="preserve">El tiempo mediano de estancia en UCI es también calculado mediante el estimador de Kaplan-Meier para tener en consideración los pacientes que, al momento de finalizar el estudio, </w:t>
      </w:r>
      <w:r w:rsidR="0069585E" w:rsidRPr="0069585E">
        <w:rPr>
          <w:shd w:val="clear" w:color="auto" w:fill="F7CAAC" w:themeFill="accent2" w:themeFillTint="66"/>
        </w:rPr>
        <w:t>permanecen</w:t>
      </w:r>
      <w:r w:rsidRPr="0069585E">
        <w:rPr>
          <w:shd w:val="clear" w:color="auto" w:fill="F7CAAC" w:themeFill="accent2" w:themeFillTint="66"/>
        </w:rPr>
        <w:t xml:space="preserve"> en UCI</w:t>
      </w:r>
      <w:r w:rsidR="0069585E">
        <w:t>)</w:t>
      </w:r>
      <w:r w:rsidRPr="008F6A41">
        <w:t>.</w:t>
      </w:r>
      <w:r w:rsidRPr="008F6A41">
        <w:br/>
      </w:r>
      <w:r w:rsidRPr="008F6A41">
        <w:br/>
      </w:r>
      <w:proofErr w:type="spellStart"/>
      <w:r w:rsidRPr="008F6A41">
        <w:rPr>
          <w:b/>
          <w:bCs/>
        </w:rPr>
        <w:t>Rmk</w:t>
      </w:r>
      <w:proofErr w:type="spellEnd"/>
      <w:r w:rsidRPr="008F6A41">
        <w:rPr>
          <w:b/>
          <w:bCs/>
        </w:rPr>
        <w:t xml:space="preserve"> 4 [Regresión de Cox]: </w:t>
      </w:r>
      <w:r w:rsidRPr="008F6A41">
        <w:t xml:space="preserve">los factores de riesgos de muerte a los 90 días son evaluados mediante una regresión </w:t>
      </w:r>
      <w:proofErr w:type="spellStart"/>
      <w:r w:rsidRPr="008F6A41">
        <w:t>univariada</w:t>
      </w:r>
      <w:proofErr w:type="spellEnd"/>
      <w:r w:rsidRPr="008F6A41">
        <w:t xml:space="preserve"> y una regresión multivariada de Cox. </w:t>
      </w:r>
      <w:proofErr w:type="gramStart"/>
      <w:r w:rsidRPr="008F6A41">
        <w:t>Las variable</w:t>
      </w:r>
      <w:proofErr w:type="gramEnd"/>
      <w:r w:rsidRPr="008F6A41">
        <w:t xml:space="preserv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w:t>
      </w:r>
      <w:proofErr w:type="spellStart"/>
      <w:r w:rsidRPr="008F6A41">
        <w:t>intérvalos</w:t>
      </w:r>
      <w:proofErr w:type="spellEnd"/>
      <w:r w:rsidRPr="008F6A41">
        <w:t xml:space="preserve"> de confianza son estimados. </w:t>
      </w:r>
      <w:r w:rsidRPr="008F6A41">
        <w:br/>
      </w:r>
      <w:r w:rsidRPr="008F6A41">
        <w:br/>
      </w:r>
      <w:proofErr w:type="spellStart"/>
      <w:r w:rsidRPr="008F6A41">
        <w:rPr>
          <w:b/>
          <w:bCs/>
        </w:rPr>
        <w:t>Rmk</w:t>
      </w:r>
      <w:proofErr w:type="spellEnd"/>
      <w:r w:rsidRPr="008F6A41">
        <w:rPr>
          <w:b/>
          <w:bCs/>
        </w:rPr>
        <w:t xml:space="preserve"> 5 [Implementación de la metodología de Kaplan-Meier]: </w:t>
      </w:r>
      <w:r w:rsidRPr="008F6A41">
        <w:t>a partir de la estimación no-paramétrica de Kaplan-Meier, se derivan los siguientes resultados:</w:t>
      </w:r>
      <w:r w:rsidRPr="008F6A41">
        <w:br/>
      </w:r>
      <w:r w:rsidRPr="008F6A41">
        <w:br/>
      </w:r>
      <w:r w:rsidRPr="0069585E">
        <w:rPr>
          <w:b/>
          <w:bCs/>
          <w:shd w:val="clear" w:color="auto" w:fill="F7CAAC" w:themeFill="accent2" w:themeFillTint="66"/>
        </w:rPr>
        <w:t xml:space="preserve">[1] </w:t>
      </w:r>
      <w:r w:rsidRPr="0069585E">
        <w:rPr>
          <w:shd w:val="clear" w:color="auto" w:fill="F7CAAC" w:themeFill="accent2" w:themeFillTint="66"/>
        </w:rPr>
        <w:t>Kaplan-</w:t>
      </w:r>
      <w:proofErr w:type="spellStart"/>
      <w:r w:rsidRPr="0069585E">
        <w:rPr>
          <w:shd w:val="clear" w:color="auto" w:fill="F7CAAC" w:themeFill="accent2" w:themeFillTint="66"/>
        </w:rPr>
        <w:t>Meier</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survival</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estimates</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during</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the</w:t>
      </w:r>
      <w:proofErr w:type="spellEnd"/>
      <w:r w:rsidRPr="0069585E">
        <w:rPr>
          <w:shd w:val="clear" w:color="auto" w:fill="F7CAAC" w:themeFill="accent2" w:themeFillTint="66"/>
        </w:rPr>
        <w:t xml:space="preserve"> 90 </w:t>
      </w:r>
      <w:proofErr w:type="spellStart"/>
      <w:r w:rsidRPr="0069585E">
        <w:rPr>
          <w:shd w:val="clear" w:color="auto" w:fill="F7CAAC" w:themeFill="accent2" w:themeFillTint="66"/>
        </w:rPr>
        <w:t>days</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following</w:t>
      </w:r>
      <w:proofErr w:type="spellEnd"/>
      <w:r w:rsidRPr="0069585E">
        <w:rPr>
          <w:shd w:val="clear" w:color="auto" w:fill="F7CAAC" w:themeFill="accent2" w:themeFillTint="66"/>
        </w:rPr>
        <w:t xml:space="preserve"> ICU </w:t>
      </w:r>
      <w:proofErr w:type="spellStart"/>
      <w:r w:rsidRPr="0069585E">
        <w:rPr>
          <w:shd w:val="clear" w:color="auto" w:fill="F7CAAC" w:themeFill="accent2" w:themeFillTint="66"/>
        </w:rPr>
        <w:t>admission</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according</w:t>
      </w:r>
      <w:proofErr w:type="spellEnd"/>
      <w:r w:rsidRPr="0069585E">
        <w:rPr>
          <w:shd w:val="clear" w:color="auto" w:fill="F7CAAC" w:themeFill="accent2" w:themeFillTint="66"/>
        </w:rPr>
        <w:t xml:space="preserve"> to </w:t>
      </w:r>
      <w:proofErr w:type="spellStart"/>
      <w:r w:rsidRPr="0069585E">
        <w:rPr>
          <w:shd w:val="clear" w:color="auto" w:fill="F7CAAC" w:themeFill="accent2" w:themeFillTint="66"/>
        </w:rPr>
        <w:t>Acute</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Respiratory</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Distress</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Syndrome</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Severity</w:t>
      </w:r>
      <w:proofErr w:type="spellEnd"/>
      <w:r w:rsidRPr="0069585E">
        <w:rPr>
          <w:shd w:val="clear" w:color="auto" w:fill="F7CAAC" w:themeFill="accent2" w:themeFillTint="66"/>
        </w:rPr>
        <w:t xml:space="preserve"> in </w:t>
      </w:r>
      <w:proofErr w:type="spellStart"/>
      <w:r w:rsidRPr="0069585E">
        <w:rPr>
          <w:shd w:val="clear" w:color="auto" w:fill="F7CAAC" w:themeFill="accent2" w:themeFillTint="66"/>
        </w:rPr>
        <w:t>patients</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on</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invasive</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mechanical</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ventilation</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or</w:t>
      </w:r>
      <w:proofErr w:type="spellEnd"/>
      <w:r w:rsidRPr="0069585E">
        <w:rPr>
          <w:shd w:val="clear" w:color="auto" w:fill="F7CAAC" w:themeFill="accent2" w:themeFillTint="66"/>
        </w:rPr>
        <w:t xml:space="preserve"> no-</w:t>
      </w:r>
      <w:proofErr w:type="spellStart"/>
      <w:r w:rsidRPr="0069585E">
        <w:rPr>
          <w:shd w:val="clear" w:color="auto" w:fill="F7CAAC" w:themeFill="accent2" w:themeFillTint="66"/>
        </w:rPr>
        <w:t>invasive</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ventilation</w:t>
      </w:r>
      <w:proofErr w:type="spellEnd"/>
      <w:r w:rsidRPr="0069585E">
        <w:rPr>
          <w:shd w:val="clear" w:color="auto" w:fill="F7CAAC" w:themeFill="accent2" w:themeFillTint="66"/>
        </w:rPr>
        <w:t xml:space="preserve"> at Day-1 (</w:t>
      </w:r>
      <w:proofErr w:type="spellStart"/>
      <w:r w:rsidRPr="0069585E">
        <w:rPr>
          <w:shd w:val="clear" w:color="auto" w:fill="F7CAAC" w:themeFill="accent2" w:themeFillTint="66"/>
        </w:rPr>
        <w:t>Mild</w:t>
      </w:r>
      <w:proofErr w:type="spellEnd"/>
      <w:r w:rsidRPr="0069585E">
        <w:rPr>
          <w:shd w:val="clear" w:color="auto" w:fill="F7CAAC" w:themeFill="accent2" w:themeFillTint="66"/>
        </w:rPr>
        <w:t xml:space="preserve"> ARDS, </w:t>
      </w:r>
      <w:proofErr w:type="spellStart"/>
      <w:r w:rsidRPr="0069585E">
        <w:rPr>
          <w:shd w:val="clear" w:color="auto" w:fill="F7CAAC" w:themeFill="accent2" w:themeFillTint="66"/>
        </w:rPr>
        <w:t>Moderate</w:t>
      </w:r>
      <w:proofErr w:type="spellEnd"/>
      <w:r w:rsidRPr="0069585E">
        <w:rPr>
          <w:shd w:val="clear" w:color="auto" w:fill="F7CAAC" w:themeFill="accent2" w:themeFillTint="66"/>
        </w:rPr>
        <w:t xml:space="preserve"> ARDS and </w:t>
      </w:r>
      <w:proofErr w:type="spellStart"/>
      <w:r w:rsidRPr="0069585E">
        <w:rPr>
          <w:shd w:val="clear" w:color="auto" w:fill="F7CAAC" w:themeFill="accent2" w:themeFillTint="66"/>
        </w:rPr>
        <w:t>Severe</w:t>
      </w:r>
      <w:proofErr w:type="spellEnd"/>
      <w:r w:rsidRPr="0069585E">
        <w:rPr>
          <w:shd w:val="clear" w:color="auto" w:fill="F7CAAC" w:themeFill="accent2" w:themeFillTint="66"/>
        </w:rPr>
        <w:t xml:space="preserve"> ARDS).</w:t>
      </w:r>
      <w:r w:rsidRPr="0069585E">
        <w:rPr>
          <w:shd w:val="clear" w:color="auto" w:fill="F7CAAC" w:themeFill="accent2" w:themeFillTint="66"/>
        </w:rPr>
        <w:br/>
      </w:r>
      <w:r w:rsidRPr="0069585E">
        <w:rPr>
          <w:shd w:val="clear" w:color="auto" w:fill="F7CAAC" w:themeFill="accent2" w:themeFillTint="66"/>
        </w:rPr>
        <w:br/>
      </w:r>
      <w:r w:rsidRPr="0069585E">
        <w:rPr>
          <w:b/>
          <w:bCs/>
          <w:shd w:val="clear" w:color="auto" w:fill="F7CAAC" w:themeFill="accent2" w:themeFillTint="66"/>
          <w:lang w:val="en-US"/>
        </w:rPr>
        <w:t xml:space="preserve">[2] </w:t>
      </w:r>
      <w:r w:rsidRPr="0069585E">
        <w:rPr>
          <w:shd w:val="clear" w:color="auto" w:fill="F7CAAC" w:themeFill="accent2" w:themeFillTint="66"/>
          <w:lang w:val="en-US"/>
        </w:rPr>
        <w:t>Kaplan-Meier survival estimates during the 90 days following ICU admission according to age categories.</w:t>
      </w:r>
      <w:r w:rsidRPr="0069585E">
        <w:rPr>
          <w:shd w:val="clear" w:color="auto" w:fill="F7CAAC" w:themeFill="accent2" w:themeFillTint="66"/>
          <w:lang w:val="en-US"/>
        </w:rPr>
        <w:br/>
      </w:r>
      <w:r w:rsidRPr="0069585E">
        <w:rPr>
          <w:shd w:val="clear" w:color="auto" w:fill="F7CAAC" w:themeFill="accent2" w:themeFillTint="66"/>
          <w:lang w:val="en-US"/>
        </w:rPr>
        <w:br/>
      </w:r>
      <w:r w:rsidRPr="0069585E">
        <w:rPr>
          <w:b/>
          <w:bCs/>
          <w:shd w:val="clear" w:color="auto" w:fill="F7CAAC" w:themeFill="accent2" w:themeFillTint="66"/>
          <w:lang w:val="en-US"/>
        </w:rPr>
        <w:t xml:space="preserve">[3] </w:t>
      </w:r>
      <w:r w:rsidRPr="0069585E">
        <w:rPr>
          <w:shd w:val="clear" w:color="auto" w:fill="F7CAAC" w:themeFill="accent2" w:themeFillTint="66"/>
          <w:lang w:val="en-US"/>
        </w:rPr>
        <w:t xml:space="preserve">Kaplan-Meier survival estimates during the 90 days following ICU admission according to ARDS severity </w:t>
      </w:r>
      <w:proofErr w:type="spellStart"/>
      <w:r w:rsidRPr="0069585E">
        <w:rPr>
          <w:shd w:val="clear" w:color="auto" w:fill="F7CAAC" w:themeFill="accent2" w:themeFillTint="66"/>
          <w:lang w:val="en-US"/>
        </w:rPr>
        <w:t>progession</w:t>
      </w:r>
      <w:proofErr w:type="spellEnd"/>
      <w:r w:rsidRPr="0069585E">
        <w:rPr>
          <w:shd w:val="clear" w:color="auto" w:fill="F7CAAC" w:themeFill="accent2" w:themeFillTint="66"/>
          <w:lang w:val="en-US"/>
        </w:rPr>
        <w:t xml:space="preserve"> within 7 </w:t>
      </w:r>
      <w:proofErr w:type="spellStart"/>
      <w:r w:rsidRPr="0069585E">
        <w:rPr>
          <w:shd w:val="clear" w:color="auto" w:fill="F7CAAC" w:themeFill="accent2" w:themeFillTint="66"/>
          <w:lang w:val="en-US"/>
        </w:rPr>
        <w:t>dats</w:t>
      </w:r>
      <w:proofErr w:type="spellEnd"/>
      <w:r w:rsidRPr="0069585E">
        <w:rPr>
          <w:shd w:val="clear" w:color="auto" w:fill="F7CAAC" w:themeFill="accent2" w:themeFillTint="66"/>
          <w:lang w:val="en-US"/>
        </w:rPr>
        <w:t xml:space="preserve"> in patients with mild ARDS at Day-1.</w:t>
      </w:r>
      <w:r w:rsidRPr="0069585E">
        <w:rPr>
          <w:shd w:val="clear" w:color="auto" w:fill="F7CAAC" w:themeFill="accent2" w:themeFillTint="66"/>
          <w:lang w:val="en-US"/>
        </w:rPr>
        <w:br/>
      </w:r>
      <w:r w:rsidRPr="0069585E">
        <w:rPr>
          <w:shd w:val="clear" w:color="auto" w:fill="F7CAAC" w:themeFill="accent2" w:themeFillTint="66"/>
          <w:lang w:val="en-US"/>
        </w:rPr>
        <w:br/>
      </w:r>
      <w:r w:rsidRPr="0069585E">
        <w:rPr>
          <w:b/>
          <w:bCs/>
          <w:shd w:val="clear" w:color="auto" w:fill="F7CAAC" w:themeFill="accent2" w:themeFillTint="66"/>
          <w:lang w:val="en-US"/>
        </w:rPr>
        <w:t xml:space="preserve">[4] </w:t>
      </w:r>
      <w:r w:rsidRPr="0069585E">
        <w:rPr>
          <w:shd w:val="clear" w:color="auto" w:fill="F7CAAC" w:themeFill="accent2" w:themeFillTint="66"/>
          <w:lang w:val="en-US"/>
        </w:rPr>
        <w:t>Kaplan-Meier survival estimates during the 90 days following ICU admission according to ARDS severity progression within 7 days in patients with moderate ARDS at Day-1.</w:t>
      </w:r>
      <w:r w:rsidRPr="0069585E">
        <w:rPr>
          <w:shd w:val="clear" w:color="auto" w:fill="F7CAAC" w:themeFill="accent2" w:themeFillTint="66"/>
          <w:lang w:val="en-US"/>
        </w:rPr>
        <w:br/>
      </w:r>
      <w:r w:rsidRPr="0069585E">
        <w:rPr>
          <w:shd w:val="clear" w:color="auto" w:fill="F7CAAC" w:themeFill="accent2" w:themeFillTint="66"/>
          <w:lang w:val="en-US"/>
        </w:rPr>
        <w:lastRenderedPageBreak/>
        <w:br/>
      </w:r>
      <w:r w:rsidRPr="0069585E">
        <w:rPr>
          <w:shd w:val="clear" w:color="auto" w:fill="F7CAAC" w:themeFill="accent2" w:themeFillTint="66"/>
        </w:rPr>
        <w:t>Nótese que, en este caso, la variable de interés es "</w:t>
      </w:r>
      <w:proofErr w:type="spellStart"/>
      <w:r w:rsidRPr="0069585E">
        <w:rPr>
          <w:shd w:val="clear" w:color="auto" w:fill="F7CAAC" w:themeFill="accent2" w:themeFillTint="66"/>
        </w:rPr>
        <w:t>Days</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following</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iCU</w:t>
      </w:r>
      <w:proofErr w:type="spellEnd"/>
      <w:r w:rsidRPr="0069585E">
        <w:rPr>
          <w:shd w:val="clear" w:color="auto" w:fill="F7CAAC" w:themeFill="accent2" w:themeFillTint="66"/>
        </w:rPr>
        <w:t xml:space="preserve"> </w:t>
      </w:r>
      <w:proofErr w:type="spellStart"/>
      <w:r w:rsidRPr="0069585E">
        <w:rPr>
          <w:shd w:val="clear" w:color="auto" w:fill="F7CAAC" w:themeFill="accent2" w:themeFillTint="66"/>
        </w:rPr>
        <w:t>admission</w:t>
      </w:r>
      <w:proofErr w:type="spellEnd"/>
      <w:r w:rsidRPr="0069585E">
        <w:rPr>
          <w:shd w:val="clear" w:color="auto" w:fill="F7CAAC" w:themeFill="accent2" w:themeFillTint="66"/>
        </w:rPr>
        <w:t>"; y la variable en la ordenada, la probabilidad de supervivencia</w:t>
      </w:r>
      <w:r w:rsidRPr="008F6A41">
        <w:t>.</w:t>
      </w:r>
    </w:p>
    <w:p w14:paraId="76D52F11" w14:textId="6B7B9EDA" w:rsidR="002C7C49" w:rsidRDefault="002C7C49" w:rsidP="008F6A41"/>
    <w:p w14:paraId="74DF65E1" w14:textId="77777777" w:rsidR="002C7C49" w:rsidRPr="002C7C49" w:rsidRDefault="002C7C49" w:rsidP="002C7C49">
      <w:pPr>
        <w:pStyle w:val="ListParagraph"/>
        <w:numPr>
          <w:ilvl w:val="0"/>
          <w:numId w:val="21"/>
        </w:numPr>
        <w:rPr>
          <w:rFonts w:ascii="Times New Roman" w:eastAsia="Times New Roman" w:hAnsi="Times New Roman" w:cs="Times New Roman"/>
          <w:sz w:val="24"/>
          <w:szCs w:val="24"/>
          <w:lang w:val="en-US"/>
        </w:rPr>
      </w:pPr>
      <w:r w:rsidRPr="002C7C49">
        <w:rPr>
          <w:rFonts w:ascii="Times New Roman" w:hAnsi="Times New Roman" w:cs="Times New Roman"/>
          <w:b/>
          <w:bCs/>
          <w:sz w:val="24"/>
          <w:szCs w:val="24"/>
        </w:rPr>
        <w:t xml:space="preserve"> Anotaciones sobre Cummings, M. J., Baldwin, M. R., Abrams, D., Jacobson, S. D., Meyer, B. J., </w:t>
      </w:r>
      <w:proofErr w:type="spellStart"/>
      <w:r w:rsidRPr="002C7C49">
        <w:rPr>
          <w:rFonts w:ascii="Times New Roman" w:hAnsi="Times New Roman" w:cs="Times New Roman"/>
          <w:b/>
          <w:bCs/>
          <w:sz w:val="24"/>
          <w:szCs w:val="24"/>
        </w:rPr>
        <w:t>Balough</w:t>
      </w:r>
      <w:proofErr w:type="spellEnd"/>
      <w:r w:rsidRPr="002C7C49">
        <w:rPr>
          <w:rFonts w:ascii="Times New Roman" w:hAnsi="Times New Roman" w:cs="Times New Roman"/>
          <w:b/>
          <w:bCs/>
          <w:sz w:val="24"/>
          <w:szCs w:val="24"/>
        </w:rPr>
        <w:t xml:space="preserve">, E. M., Aaron, J. G., </w:t>
      </w:r>
      <w:proofErr w:type="spellStart"/>
      <w:r w:rsidRPr="002C7C49">
        <w:rPr>
          <w:rFonts w:ascii="Times New Roman" w:hAnsi="Times New Roman" w:cs="Times New Roman"/>
          <w:b/>
          <w:bCs/>
          <w:sz w:val="24"/>
          <w:szCs w:val="24"/>
        </w:rPr>
        <w:t>Claassen</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Rabbani</w:t>
      </w:r>
      <w:proofErr w:type="spellEnd"/>
      <w:r w:rsidRPr="002C7C49">
        <w:rPr>
          <w:rFonts w:ascii="Times New Roman" w:hAnsi="Times New Roman" w:cs="Times New Roman"/>
          <w:b/>
          <w:bCs/>
          <w:sz w:val="24"/>
          <w:szCs w:val="24"/>
        </w:rPr>
        <w:t xml:space="preserve">, L. R. E., Hastie, J., </w:t>
      </w:r>
      <w:proofErr w:type="spellStart"/>
      <w:r w:rsidRPr="002C7C49">
        <w:rPr>
          <w:rFonts w:ascii="Times New Roman" w:hAnsi="Times New Roman" w:cs="Times New Roman"/>
          <w:b/>
          <w:bCs/>
          <w:sz w:val="24"/>
          <w:szCs w:val="24"/>
        </w:rPr>
        <w:t>Hochman</w:t>
      </w:r>
      <w:proofErr w:type="spellEnd"/>
      <w:r w:rsidRPr="002C7C49">
        <w:rPr>
          <w:rFonts w:ascii="Times New Roman" w:hAnsi="Times New Roman" w:cs="Times New Roman"/>
          <w:b/>
          <w:bCs/>
          <w:sz w:val="24"/>
          <w:szCs w:val="24"/>
        </w:rPr>
        <w:t xml:space="preserve">, B. R., Salazar-Schicchi, J., Yip, N. H., Brodie, D., &amp; O’Donnell, M. R. (2020). </w:t>
      </w:r>
      <w:r w:rsidRPr="002C7C49">
        <w:rPr>
          <w:rFonts w:ascii="Times New Roman" w:hAnsi="Times New Roman" w:cs="Times New Roman"/>
          <w:b/>
          <w:bCs/>
          <w:sz w:val="24"/>
          <w:szCs w:val="24"/>
          <w:lang w:val="en-US"/>
        </w:rPr>
        <w:t xml:space="preserve">Epidemiology, clinical course, and outcomes of critically ill adults with COVID-19 in New York City: a prospective cohort study. </w:t>
      </w:r>
      <w:proofErr w:type="spellStart"/>
      <w:r w:rsidRPr="002C7C49">
        <w:rPr>
          <w:rFonts w:ascii="Times New Roman" w:hAnsi="Times New Roman" w:cs="Times New Roman"/>
          <w:b/>
          <w:bCs/>
          <w:i/>
          <w:iCs/>
          <w:sz w:val="24"/>
          <w:szCs w:val="24"/>
        </w:rPr>
        <w:t>The</w:t>
      </w:r>
      <w:proofErr w:type="spellEnd"/>
      <w:r w:rsidRPr="002C7C49">
        <w:rPr>
          <w:rFonts w:ascii="Times New Roman" w:hAnsi="Times New Roman" w:cs="Times New Roman"/>
          <w:b/>
          <w:bCs/>
          <w:i/>
          <w:iCs/>
          <w:sz w:val="24"/>
          <w:szCs w:val="24"/>
        </w:rPr>
        <w:t xml:space="preserve"> </w:t>
      </w:r>
      <w:proofErr w:type="spellStart"/>
      <w:r w:rsidRPr="002C7C49">
        <w:rPr>
          <w:rFonts w:ascii="Times New Roman" w:hAnsi="Times New Roman" w:cs="Times New Roman"/>
          <w:b/>
          <w:bCs/>
          <w:i/>
          <w:iCs/>
          <w:sz w:val="24"/>
          <w:szCs w:val="24"/>
        </w:rPr>
        <w:t>Lancet</w:t>
      </w:r>
      <w:proofErr w:type="spellEnd"/>
      <w:r w:rsidRPr="002C7C49">
        <w:rPr>
          <w:rFonts w:ascii="Times New Roman" w:hAnsi="Times New Roman" w:cs="Times New Roman"/>
          <w:b/>
          <w:bCs/>
          <w:sz w:val="24"/>
          <w:szCs w:val="24"/>
        </w:rPr>
        <w:t xml:space="preserve">, </w:t>
      </w:r>
      <w:r w:rsidRPr="002C7C49">
        <w:rPr>
          <w:rFonts w:ascii="Times New Roman" w:hAnsi="Times New Roman" w:cs="Times New Roman"/>
          <w:b/>
          <w:bCs/>
          <w:i/>
          <w:iCs/>
          <w:sz w:val="24"/>
          <w:szCs w:val="24"/>
        </w:rPr>
        <w:t>395</w:t>
      </w:r>
      <w:r w:rsidRPr="002C7C49">
        <w:rPr>
          <w:rFonts w:ascii="Times New Roman" w:hAnsi="Times New Roman" w:cs="Times New Roman"/>
          <w:b/>
          <w:bCs/>
          <w:sz w:val="24"/>
          <w:szCs w:val="24"/>
        </w:rPr>
        <w:t xml:space="preserve">(10239), 1763–1770. </w:t>
      </w:r>
    </w:p>
    <w:p w14:paraId="0829D08B" w14:textId="77777777" w:rsidR="002C7C49" w:rsidRPr="002C7C49" w:rsidRDefault="002C7C49" w:rsidP="002C7C49">
      <w:pPr>
        <w:rPr>
          <w:b/>
          <w:bCs/>
        </w:rPr>
      </w:pPr>
    </w:p>
    <w:p w14:paraId="0089FED2" w14:textId="2B91F41E" w:rsidR="002C7C49" w:rsidRDefault="002C7C49" w:rsidP="002C7C49">
      <w:pPr>
        <w:rPr>
          <w:lang w:val="en-US"/>
        </w:rPr>
      </w:pPr>
      <w:proofErr w:type="spellStart"/>
      <w:r w:rsidRPr="002C7C49">
        <w:rPr>
          <w:b/>
          <w:bCs/>
        </w:rPr>
        <w:t>Rmk</w:t>
      </w:r>
      <w:proofErr w:type="spellEnd"/>
      <w:r w:rsidRPr="002C7C49">
        <w:rPr>
          <w:b/>
          <w:bCs/>
        </w:rPr>
        <w:t xml:space="preserve"> 1: </w:t>
      </w:r>
      <w:r w:rsidRPr="002C7C49">
        <w:t>el objetivo de la investigación de Cummings et al. (2020) es el siguiente: se caracteriza la evolución clínica y los factores de riesgo de la mortalidad en el hospital para pacientes críticos con COVID-19 en dos hospitales de New York.</w:t>
      </w:r>
      <w:r w:rsidRPr="002C7C49">
        <w:br/>
      </w:r>
      <w:r w:rsidRPr="002C7C49">
        <w:br/>
      </w:r>
      <w:proofErr w:type="spellStart"/>
      <w:r w:rsidRPr="002C7C49">
        <w:rPr>
          <w:b/>
          <w:bCs/>
        </w:rPr>
        <w:t>Rmk</w:t>
      </w:r>
      <w:proofErr w:type="spellEnd"/>
      <w:r w:rsidRPr="002C7C49">
        <w:rPr>
          <w:b/>
          <w:bCs/>
        </w:rPr>
        <w:t xml:space="preserve"> 2: </w:t>
      </w:r>
      <w:r w:rsidRPr="002C7C49">
        <w:t>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w:t>
      </w:r>
      <w:r w:rsidRPr="002C7C49">
        <w:br/>
      </w:r>
      <w:r w:rsidRPr="002C7C49">
        <w:br/>
      </w:r>
      <w:r w:rsidRPr="00757F10">
        <w:rPr>
          <w:shd w:val="clear" w:color="auto" w:fill="F7CAAC" w:themeFill="accent2" w:themeFillTint="66"/>
        </w:rPr>
        <w:t xml:space="preserve">El análisis estadístico implica que se crean gráficos de incidencia según el método de Kaplan-Meier. Esto implica que la variable de interés es "Time </w:t>
      </w:r>
      <w:proofErr w:type="spellStart"/>
      <w:r w:rsidRPr="00757F10">
        <w:rPr>
          <w:shd w:val="clear" w:color="auto" w:fill="F7CAAC" w:themeFill="accent2" w:themeFillTint="66"/>
        </w:rPr>
        <w:t>since</w:t>
      </w:r>
      <w:proofErr w:type="spellEnd"/>
      <w:r w:rsidRPr="00757F10">
        <w:rPr>
          <w:shd w:val="clear" w:color="auto" w:fill="F7CAAC" w:themeFill="accent2" w:themeFillTint="66"/>
        </w:rPr>
        <w:t xml:space="preserve"> hospital </w:t>
      </w:r>
      <w:proofErr w:type="spellStart"/>
      <w:r w:rsidRPr="00757F10">
        <w:rPr>
          <w:shd w:val="clear" w:color="auto" w:fill="F7CAAC" w:themeFill="accent2" w:themeFillTint="66"/>
        </w:rPr>
        <w:t>admission</w:t>
      </w:r>
      <w:proofErr w:type="spellEnd"/>
      <w:r w:rsidRPr="00757F10">
        <w:rPr>
          <w:shd w:val="clear" w:color="auto" w:fill="F7CAAC" w:themeFill="accent2" w:themeFillTint="66"/>
        </w:rPr>
        <w:t xml:space="preserve"> (</w:t>
      </w:r>
      <w:proofErr w:type="spellStart"/>
      <w:r w:rsidRPr="00757F10">
        <w:rPr>
          <w:shd w:val="clear" w:color="auto" w:fill="F7CAAC" w:themeFill="accent2" w:themeFillTint="66"/>
        </w:rPr>
        <w:t>days</w:t>
      </w:r>
      <w:proofErr w:type="spellEnd"/>
      <w:r w:rsidRPr="00757F10">
        <w:rPr>
          <w:shd w:val="clear" w:color="auto" w:fill="F7CAAC" w:themeFill="accent2" w:themeFillTint="66"/>
        </w:rPr>
        <w:t>)"; y la variable de la ordenada, "</w:t>
      </w:r>
      <w:proofErr w:type="spellStart"/>
      <w:r w:rsidRPr="00757F10">
        <w:rPr>
          <w:shd w:val="clear" w:color="auto" w:fill="F7CAAC" w:themeFill="accent2" w:themeFillTint="66"/>
        </w:rPr>
        <w:t>Cumulative</w:t>
      </w:r>
      <w:proofErr w:type="spellEnd"/>
      <w:r w:rsidRPr="00757F10">
        <w:rPr>
          <w:shd w:val="clear" w:color="auto" w:fill="F7CAAC" w:themeFill="accent2" w:themeFillTint="66"/>
        </w:rPr>
        <w:t xml:space="preserve"> </w:t>
      </w:r>
      <w:proofErr w:type="spellStart"/>
      <w:r w:rsidRPr="00757F10">
        <w:rPr>
          <w:shd w:val="clear" w:color="auto" w:fill="F7CAAC" w:themeFill="accent2" w:themeFillTint="66"/>
        </w:rPr>
        <w:t>incidence</w:t>
      </w:r>
      <w:proofErr w:type="spellEnd"/>
      <w:r w:rsidRPr="00757F10">
        <w:rPr>
          <w:shd w:val="clear" w:color="auto" w:fill="F7CAAC" w:themeFill="accent2" w:themeFillTint="66"/>
        </w:rPr>
        <w:t xml:space="preserve">". </w:t>
      </w:r>
      <w:r w:rsidRPr="00757F10">
        <w:rPr>
          <w:shd w:val="clear" w:color="auto" w:fill="F7CAAC" w:themeFill="accent2" w:themeFillTint="66"/>
          <w:lang w:val="en-US"/>
        </w:rPr>
        <w:t xml:space="preserve">El </w:t>
      </w:r>
      <w:proofErr w:type="spellStart"/>
      <w:r w:rsidRPr="00757F10">
        <w:rPr>
          <w:shd w:val="clear" w:color="auto" w:fill="F7CAAC" w:themeFill="accent2" w:themeFillTint="66"/>
          <w:lang w:val="en-US"/>
        </w:rPr>
        <w:t>resultado</w:t>
      </w:r>
      <w:proofErr w:type="spellEnd"/>
      <w:r w:rsidRPr="00757F10">
        <w:rPr>
          <w:shd w:val="clear" w:color="auto" w:fill="F7CAAC" w:themeFill="accent2" w:themeFillTint="66"/>
          <w:lang w:val="en-US"/>
        </w:rPr>
        <w:t xml:space="preserve"> es el </w:t>
      </w:r>
      <w:proofErr w:type="spellStart"/>
      <w:r w:rsidRPr="00757F10">
        <w:rPr>
          <w:shd w:val="clear" w:color="auto" w:fill="F7CAAC" w:themeFill="accent2" w:themeFillTint="66"/>
          <w:lang w:val="en-US"/>
        </w:rPr>
        <w:t>siguiente</w:t>
      </w:r>
      <w:proofErr w:type="spellEnd"/>
      <w:r w:rsidRPr="00757F10">
        <w:rPr>
          <w:shd w:val="clear" w:color="auto" w:fill="F7CAAC" w:themeFill="accent2" w:themeFillTint="66"/>
          <w:lang w:val="en-US"/>
        </w:rPr>
        <w:t xml:space="preserve">: Kaplan-Meier cumulative incidence curve for in-hospital death among </w:t>
      </w:r>
      <w:proofErr w:type="spellStart"/>
      <w:r w:rsidRPr="00757F10">
        <w:rPr>
          <w:shd w:val="clear" w:color="auto" w:fill="F7CAAC" w:themeFill="accent2" w:themeFillTint="66"/>
          <w:lang w:val="en-US"/>
        </w:rPr>
        <w:t>critcally</w:t>
      </w:r>
      <w:proofErr w:type="spellEnd"/>
      <w:r w:rsidRPr="00757F10">
        <w:rPr>
          <w:shd w:val="clear" w:color="auto" w:fill="F7CAAC" w:themeFill="accent2" w:themeFillTint="66"/>
          <w:lang w:val="en-US"/>
        </w:rPr>
        <w:t xml:space="preserve"> ill patients with COVID-19</w:t>
      </w:r>
      <w:r w:rsidRPr="002C7C49">
        <w:rPr>
          <w:lang w:val="en-US"/>
        </w:rPr>
        <w:t>.</w:t>
      </w:r>
    </w:p>
    <w:p w14:paraId="194EDB66" w14:textId="014389E3" w:rsidR="00382D6B" w:rsidRDefault="00382D6B" w:rsidP="002C7C49">
      <w:pPr>
        <w:rPr>
          <w:lang w:val="en-US"/>
        </w:rPr>
      </w:pPr>
    </w:p>
    <w:p w14:paraId="30908742" w14:textId="45D55AFD" w:rsidR="00382D6B" w:rsidRPr="00382D6B" w:rsidRDefault="00382D6B" w:rsidP="00382D6B">
      <w:pPr>
        <w:pStyle w:val="ListParagraph"/>
        <w:numPr>
          <w:ilvl w:val="0"/>
          <w:numId w:val="21"/>
        </w:numPr>
        <w:rPr>
          <w:rFonts w:ascii="Times New Roman" w:eastAsia="Times New Roman" w:hAnsi="Times New Roman" w:cs="Times New Roman"/>
          <w:sz w:val="24"/>
          <w:szCs w:val="24"/>
        </w:rPr>
      </w:pPr>
      <w:r w:rsidRPr="00382D6B">
        <w:rPr>
          <w:rFonts w:ascii="Times New Roman" w:eastAsia="Times New Roman" w:hAnsi="Times New Roman" w:cs="Times New Roman"/>
          <w:b/>
          <w:bCs/>
          <w:sz w:val="24"/>
          <w:szCs w:val="24"/>
          <w:lang w:val="en-US"/>
        </w:rPr>
        <w:t xml:space="preserve"> </w:t>
      </w:r>
      <w:proofErr w:type="spellStart"/>
      <w:r w:rsidRPr="00382D6B">
        <w:rPr>
          <w:rFonts w:ascii="Times New Roman" w:eastAsia="Times New Roman" w:hAnsi="Times New Roman" w:cs="Times New Roman"/>
          <w:b/>
          <w:bCs/>
          <w:sz w:val="24"/>
          <w:szCs w:val="24"/>
          <w:lang w:val="en-US"/>
        </w:rPr>
        <w:t>Segundas</w:t>
      </w:r>
      <w:proofErr w:type="spellEnd"/>
      <w:r w:rsidRPr="00382D6B">
        <w:rPr>
          <w:rFonts w:ascii="Times New Roman" w:eastAsia="Times New Roman" w:hAnsi="Times New Roman" w:cs="Times New Roman"/>
          <w:b/>
          <w:bCs/>
          <w:sz w:val="24"/>
          <w:szCs w:val="24"/>
          <w:lang w:val="en-US"/>
        </w:rPr>
        <w:t xml:space="preserve"> </w:t>
      </w:r>
      <w:proofErr w:type="spellStart"/>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generales</w:t>
      </w:r>
      <w:proofErr w:type="spellEnd"/>
      <w:r w:rsidRPr="00536BB9">
        <w:rPr>
          <w:rFonts w:ascii="Times New Roman" w:eastAsia="Times New Roman" w:hAnsi="Times New Roman" w:cs="Times New Roman"/>
          <w:b/>
          <w:bCs/>
          <w:sz w:val="24"/>
          <w:szCs w:val="24"/>
          <w:lang w:val="en-US"/>
        </w:rPr>
        <w:t xml:space="preserve"> </w:t>
      </w:r>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Meijs</w:t>
      </w:r>
      <w:proofErr w:type="spellEnd"/>
      <w:r w:rsidRPr="00536BB9">
        <w:rPr>
          <w:rFonts w:ascii="Times New Roman" w:eastAsia="Times New Roman" w:hAnsi="Times New Roman" w:cs="Times New Roman"/>
          <w:b/>
          <w:bCs/>
          <w:sz w:val="24"/>
          <w:szCs w:val="24"/>
          <w:lang w:val="en-US"/>
        </w:rPr>
        <w:t xml:space="preserve">, D. A. M., van </w:t>
      </w:r>
      <w:proofErr w:type="spellStart"/>
      <w:r w:rsidRPr="00536BB9">
        <w:rPr>
          <w:rFonts w:ascii="Times New Roman" w:eastAsia="Times New Roman" w:hAnsi="Times New Roman" w:cs="Times New Roman"/>
          <w:b/>
          <w:bCs/>
          <w:sz w:val="24"/>
          <w:szCs w:val="24"/>
          <w:lang w:val="en-US"/>
        </w:rPr>
        <w:t>Bussel</w:t>
      </w:r>
      <w:proofErr w:type="spellEnd"/>
      <w:r w:rsidRPr="00536BB9">
        <w:rPr>
          <w:rFonts w:ascii="Times New Roman" w:eastAsia="Times New Roman" w:hAnsi="Times New Roman" w:cs="Times New Roman"/>
          <w:b/>
          <w:bCs/>
          <w:sz w:val="24"/>
          <w:szCs w:val="24"/>
          <w:lang w:val="en-US"/>
        </w:rPr>
        <w:t xml:space="preserve">, B. C. T., </w:t>
      </w:r>
      <w:proofErr w:type="spellStart"/>
      <w:r w:rsidRPr="00536BB9">
        <w:rPr>
          <w:rFonts w:ascii="Times New Roman" w:eastAsia="Times New Roman" w:hAnsi="Times New Roman" w:cs="Times New Roman"/>
          <w:b/>
          <w:bCs/>
          <w:sz w:val="24"/>
          <w:szCs w:val="24"/>
          <w:lang w:val="en-US"/>
        </w:rPr>
        <w:t>Stessel</w:t>
      </w:r>
      <w:proofErr w:type="spellEnd"/>
      <w:r w:rsidRPr="00536BB9">
        <w:rPr>
          <w:rFonts w:ascii="Times New Roman" w:eastAsia="Times New Roman" w:hAnsi="Times New Roman" w:cs="Times New Roman"/>
          <w:b/>
          <w:bCs/>
          <w:sz w:val="24"/>
          <w:szCs w:val="24"/>
          <w:lang w:val="en-US"/>
        </w:rPr>
        <w:t xml:space="preserve">, B., </w:t>
      </w:r>
      <w:proofErr w:type="spellStart"/>
      <w:r w:rsidRPr="00536BB9">
        <w:rPr>
          <w:rFonts w:ascii="Times New Roman" w:eastAsia="Times New Roman" w:hAnsi="Times New Roman" w:cs="Times New Roman"/>
          <w:b/>
          <w:bCs/>
          <w:sz w:val="24"/>
          <w:szCs w:val="24"/>
          <w:lang w:val="en-US"/>
        </w:rPr>
        <w:t>Mehagnoul</w:t>
      </w:r>
      <w:proofErr w:type="spellEnd"/>
      <w:r w:rsidRPr="00536BB9">
        <w:rPr>
          <w:rFonts w:ascii="Times New Roman" w:eastAsia="Times New Roman" w:hAnsi="Times New Roman" w:cs="Times New Roman"/>
          <w:b/>
          <w:bCs/>
          <w:sz w:val="24"/>
          <w:szCs w:val="24"/>
          <w:lang w:val="en-US"/>
        </w:rPr>
        <w:t xml:space="preserve">-Schipper, J., Hana, A., </w:t>
      </w:r>
      <w:proofErr w:type="spellStart"/>
      <w:r w:rsidRPr="00536BB9">
        <w:rPr>
          <w:rFonts w:ascii="Times New Roman" w:eastAsia="Times New Roman" w:hAnsi="Times New Roman" w:cs="Times New Roman"/>
          <w:b/>
          <w:bCs/>
          <w:sz w:val="24"/>
          <w:szCs w:val="24"/>
          <w:lang w:val="en-US"/>
        </w:rPr>
        <w:t>Scheeren</w:t>
      </w:r>
      <w:proofErr w:type="spellEnd"/>
      <w:r w:rsidRPr="00536BB9">
        <w:rPr>
          <w:rFonts w:ascii="Times New Roman" w:eastAsia="Times New Roman" w:hAnsi="Times New Roman" w:cs="Times New Roman"/>
          <w:b/>
          <w:bCs/>
          <w:sz w:val="24"/>
          <w:szCs w:val="24"/>
          <w:lang w:val="en-US"/>
        </w:rPr>
        <w:t xml:space="preserve">, C. I. E., Peters, S. A. E., van Mook, W. N. K. A., van der Horst, I. C. C., Marx, G., </w:t>
      </w:r>
      <w:proofErr w:type="spellStart"/>
      <w:r w:rsidRPr="00536BB9">
        <w:rPr>
          <w:rFonts w:ascii="Times New Roman" w:eastAsia="Times New Roman" w:hAnsi="Times New Roman" w:cs="Times New Roman"/>
          <w:b/>
          <w:bCs/>
          <w:sz w:val="24"/>
          <w:szCs w:val="24"/>
          <w:lang w:val="en-US"/>
        </w:rPr>
        <w:t>Mesotten</w:t>
      </w:r>
      <w:proofErr w:type="spellEnd"/>
      <w:r w:rsidRPr="00536BB9">
        <w:rPr>
          <w:rFonts w:ascii="Times New Roman" w:eastAsia="Times New Roman" w:hAnsi="Times New Roman" w:cs="Times New Roman"/>
          <w:b/>
          <w:bCs/>
          <w:sz w:val="24"/>
          <w:szCs w:val="24"/>
          <w:lang w:val="en-US"/>
        </w:rPr>
        <w:t xml:space="preserve">, D., Ghossein-Doha, C., </w:t>
      </w:r>
      <w:proofErr w:type="spellStart"/>
      <w:r w:rsidRPr="00536BB9">
        <w:rPr>
          <w:rFonts w:ascii="Times New Roman" w:eastAsia="Times New Roman" w:hAnsi="Times New Roman" w:cs="Times New Roman"/>
          <w:b/>
          <w:bCs/>
          <w:sz w:val="24"/>
          <w:szCs w:val="24"/>
          <w:lang w:val="en-US"/>
        </w:rPr>
        <w:t>Heijnen</w:t>
      </w:r>
      <w:proofErr w:type="spellEnd"/>
      <w:r w:rsidRPr="00536BB9">
        <w:rPr>
          <w:rFonts w:ascii="Times New Roman" w:eastAsia="Times New Roman" w:hAnsi="Times New Roman" w:cs="Times New Roman"/>
          <w:b/>
          <w:bCs/>
          <w:sz w:val="24"/>
          <w:szCs w:val="24"/>
          <w:lang w:val="en-US"/>
        </w:rPr>
        <w:t xml:space="preserve">, N. F. L., </w:t>
      </w:r>
      <w:proofErr w:type="spellStart"/>
      <w:r w:rsidRPr="00536BB9">
        <w:rPr>
          <w:rFonts w:ascii="Times New Roman" w:eastAsia="Times New Roman" w:hAnsi="Times New Roman" w:cs="Times New Roman"/>
          <w:b/>
          <w:bCs/>
          <w:sz w:val="24"/>
          <w:szCs w:val="24"/>
          <w:lang w:val="en-US"/>
        </w:rPr>
        <w:t>Bickenbach</w:t>
      </w:r>
      <w:proofErr w:type="spellEnd"/>
      <w:r w:rsidRPr="00536BB9">
        <w:rPr>
          <w:rFonts w:ascii="Times New Roman" w:eastAsia="Times New Roman" w:hAnsi="Times New Roman" w:cs="Times New Roman"/>
          <w:b/>
          <w:bCs/>
          <w:sz w:val="24"/>
          <w:szCs w:val="24"/>
          <w:lang w:val="en-US"/>
        </w:rPr>
        <w:t xml:space="preserve">, J., van der </w:t>
      </w:r>
      <w:proofErr w:type="spellStart"/>
      <w:r w:rsidRPr="00536BB9">
        <w:rPr>
          <w:rFonts w:ascii="Times New Roman" w:eastAsia="Times New Roman" w:hAnsi="Times New Roman" w:cs="Times New Roman"/>
          <w:b/>
          <w:bCs/>
          <w:sz w:val="24"/>
          <w:szCs w:val="24"/>
          <w:lang w:val="en-US"/>
        </w:rPr>
        <w:t>Woude</w:t>
      </w:r>
      <w:proofErr w:type="spellEnd"/>
      <w:r w:rsidRPr="00536BB9">
        <w:rPr>
          <w:rFonts w:ascii="Times New Roman" w:eastAsia="Times New Roman" w:hAnsi="Times New Roman" w:cs="Times New Roman"/>
          <w:b/>
          <w:bCs/>
          <w:sz w:val="24"/>
          <w:szCs w:val="24"/>
          <w:lang w:val="en-US"/>
        </w:rPr>
        <w:t xml:space="preserve">, M. C. E., </w:t>
      </w:r>
      <w:proofErr w:type="spellStart"/>
      <w:r w:rsidRPr="00536BB9">
        <w:rPr>
          <w:rFonts w:ascii="Times New Roman" w:eastAsia="Times New Roman" w:hAnsi="Times New Roman" w:cs="Times New Roman"/>
          <w:b/>
          <w:bCs/>
          <w:sz w:val="24"/>
          <w:szCs w:val="24"/>
          <w:lang w:val="en-US"/>
        </w:rPr>
        <w:t>Raafs</w:t>
      </w:r>
      <w:proofErr w:type="spellEnd"/>
      <w:r w:rsidRPr="00536BB9">
        <w:rPr>
          <w:rFonts w:ascii="Times New Roman" w:eastAsia="Times New Roman" w:hAnsi="Times New Roman" w:cs="Times New Roman"/>
          <w:b/>
          <w:bCs/>
          <w:sz w:val="24"/>
          <w:szCs w:val="24"/>
          <w:lang w:val="en-US"/>
        </w:rPr>
        <w:t xml:space="preserve">, A., van </w:t>
      </w:r>
      <w:proofErr w:type="spellStart"/>
      <w:r w:rsidRPr="00536BB9">
        <w:rPr>
          <w:rFonts w:ascii="Times New Roman" w:eastAsia="Times New Roman" w:hAnsi="Times New Roman" w:cs="Times New Roman"/>
          <w:b/>
          <w:bCs/>
          <w:sz w:val="24"/>
          <w:szCs w:val="24"/>
          <w:lang w:val="en-US"/>
        </w:rPr>
        <w:t>Kuijk</w:t>
      </w:r>
      <w:proofErr w:type="spellEnd"/>
      <w:r w:rsidRPr="00536BB9">
        <w:rPr>
          <w:rFonts w:ascii="Times New Roman" w:eastAsia="Times New Roman" w:hAnsi="Times New Roman" w:cs="Times New Roman"/>
          <w:b/>
          <w:bCs/>
          <w:sz w:val="24"/>
          <w:szCs w:val="24"/>
          <w:lang w:val="en-US"/>
        </w:rPr>
        <w:t xml:space="preserve">, S. M. J., Smits, L. J. M., Janssen, E. B. N. J., … Vander </w:t>
      </w:r>
      <w:proofErr w:type="spellStart"/>
      <w:r w:rsidRPr="00536BB9">
        <w:rPr>
          <w:rFonts w:ascii="Times New Roman" w:eastAsia="Times New Roman" w:hAnsi="Times New Roman" w:cs="Times New Roman"/>
          <w:b/>
          <w:bCs/>
          <w:sz w:val="24"/>
          <w:szCs w:val="24"/>
          <w:lang w:val="en-US"/>
        </w:rPr>
        <w:t>Laenen</w:t>
      </w:r>
      <w:proofErr w:type="spellEnd"/>
      <w:r w:rsidRPr="00536BB9">
        <w:rPr>
          <w:rFonts w:ascii="Times New Roman" w:eastAsia="Times New Roman" w:hAnsi="Times New Roman" w:cs="Times New Roman"/>
          <w:b/>
          <w:bCs/>
          <w:sz w:val="24"/>
          <w:szCs w:val="24"/>
          <w:lang w:val="en-US"/>
        </w:rPr>
        <w:t xml:space="preserve">, M. (2022). Better COVID-19 Intensive Care Unit survival in females, independent of age, disease severity, comorbidities, and treatment. </w:t>
      </w:r>
      <w:proofErr w:type="spellStart"/>
      <w:r w:rsidRPr="00382D6B">
        <w:rPr>
          <w:rFonts w:ascii="Times New Roman" w:eastAsia="Times New Roman" w:hAnsi="Times New Roman" w:cs="Times New Roman"/>
          <w:b/>
          <w:bCs/>
          <w:i/>
          <w:iCs/>
          <w:sz w:val="24"/>
          <w:szCs w:val="24"/>
        </w:rPr>
        <w:t>Scientific</w:t>
      </w:r>
      <w:proofErr w:type="spellEnd"/>
      <w:r w:rsidRPr="00382D6B">
        <w:rPr>
          <w:rFonts w:ascii="Times New Roman" w:eastAsia="Times New Roman" w:hAnsi="Times New Roman" w:cs="Times New Roman"/>
          <w:b/>
          <w:bCs/>
          <w:i/>
          <w:iCs/>
          <w:sz w:val="24"/>
          <w:szCs w:val="24"/>
        </w:rPr>
        <w:t xml:space="preserve"> </w:t>
      </w:r>
      <w:proofErr w:type="spellStart"/>
      <w:r w:rsidRPr="00382D6B">
        <w:rPr>
          <w:rFonts w:ascii="Times New Roman" w:eastAsia="Times New Roman" w:hAnsi="Times New Roman" w:cs="Times New Roman"/>
          <w:b/>
          <w:bCs/>
          <w:i/>
          <w:iCs/>
          <w:sz w:val="24"/>
          <w:szCs w:val="24"/>
        </w:rPr>
        <w:t>Reports</w:t>
      </w:r>
      <w:proofErr w:type="spellEnd"/>
      <w:r w:rsidRPr="00382D6B">
        <w:rPr>
          <w:rFonts w:ascii="Times New Roman" w:eastAsia="Times New Roman" w:hAnsi="Times New Roman" w:cs="Times New Roman"/>
          <w:b/>
          <w:bCs/>
          <w:sz w:val="24"/>
          <w:szCs w:val="24"/>
        </w:rPr>
        <w:t xml:space="preserve">, </w:t>
      </w:r>
      <w:r w:rsidRPr="00382D6B">
        <w:rPr>
          <w:rFonts w:ascii="Times New Roman" w:eastAsia="Times New Roman" w:hAnsi="Times New Roman" w:cs="Times New Roman"/>
          <w:b/>
          <w:bCs/>
          <w:i/>
          <w:iCs/>
          <w:sz w:val="24"/>
          <w:szCs w:val="24"/>
        </w:rPr>
        <w:t>12</w:t>
      </w:r>
      <w:r w:rsidRPr="00382D6B">
        <w:rPr>
          <w:rFonts w:ascii="Times New Roman" w:eastAsia="Times New Roman" w:hAnsi="Times New Roman" w:cs="Times New Roman"/>
          <w:b/>
          <w:bCs/>
          <w:sz w:val="24"/>
          <w:szCs w:val="24"/>
        </w:rPr>
        <w:t xml:space="preserve">(1), 1–9. </w:t>
      </w:r>
    </w:p>
    <w:p w14:paraId="33A1B975" w14:textId="77777777" w:rsidR="00382D6B" w:rsidRPr="00382D6B" w:rsidRDefault="00382D6B" w:rsidP="00382D6B">
      <w:pPr>
        <w:rPr>
          <w:b/>
          <w:bCs/>
        </w:rPr>
      </w:pPr>
    </w:p>
    <w:p w14:paraId="170D74ED" w14:textId="0E0ACDE6" w:rsidR="00382D6B" w:rsidRPr="00536BB9" w:rsidRDefault="00382D6B" w:rsidP="00757F10">
      <w:pPr>
        <w:shd w:val="clear" w:color="auto" w:fill="F7CAAC" w:themeFill="accent2" w:themeFillTint="66"/>
        <w:rPr>
          <w:lang w:val="en-US"/>
        </w:rPr>
      </w:pPr>
      <w:r w:rsidRPr="00382D6B">
        <w:rPr>
          <w:b/>
          <w:bCs/>
        </w:rPr>
        <w:t xml:space="preserve">Rmk 1: </w:t>
      </w:r>
      <w:r w:rsidRPr="00382D6B">
        <w:t xml:space="preserve">se presenta la siguiente implementación del método de Kaplan-Meier: la variable de interés corresponde a la duración en UCI (días); y la variable de la ordeanda, a la probabilidad de supervivencia (%). La descripción es la siguiente: Kaplan-Meier survival estimate by sex ICU. </w:t>
      </w:r>
      <w:r w:rsidRPr="00536BB9">
        <w:rPr>
          <w:lang w:val="en-US"/>
        </w:rPr>
        <w:t>The Kaplan-Meier survival curves show that more females survive the ICU than males, while the curves cross around 80 days with a very low number of events by then.</w:t>
      </w:r>
    </w:p>
    <w:p w14:paraId="4F89A022" w14:textId="6DD11F4D" w:rsidR="00207AB7" w:rsidRPr="00536BB9" w:rsidRDefault="00207AB7" w:rsidP="00382D6B">
      <w:pPr>
        <w:rPr>
          <w:lang w:val="en-US"/>
        </w:rPr>
      </w:pPr>
    </w:p>
    <w:p w14:paraId="5081B95A" w14:textId="77777777" w:rsidR="00207AB7" w:rsidRPr="00207AB7" w:rsidRDefault="00207AB7" w:rsidP="00207AB7">
      <w:pPr>
        <w:pStyle w:val="ListParagraph"/>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sobre</w:t>
      </w:r>
      <w:proofErr w:type="spellEnd"/>
      <w:r w:rsidRPr="00536BB9">
        <w:rPr>
          <w:rFonts w:ascii="Times New Roman" w:eastAsia="Times New Roman" w:hAnsi="Times New Roman" w:cs="Times New Roman"/>
          <w:b/>
          <w:bCs/>
          <w:sz w:val="24"/>
          <w:szCs w:val="24"/>
          <w:lang w:val="en-US"/>
        </w:rPr>
        <w:t xml:space="preserve"> Yang, X., Yu, Y., Xu, J., Shu, H., Xia, J., Liu, H., Wu, Y., Zhang, L., Yu, Z., Fang, M., Yu, T., Wang, Y., Pan, S., Zou, X., Yuan, S., &amp; Shang, Y. (2020). Clinical course and outcomes of critically ill patients with SARS-CoV-2 pneumonia in Wuhan, China: a single-centered, retrospective, observational study. </w:t>
      </w:r>
      <w:proofErr w:type="spellStart"/>
      <w:r w:rsidRPr="00207AB7">
        <w:rPr>
          <w:rFonts w:ascii="Times New Roman" w:eastAsia="Times New Roman" w:hAnsi="Times New Roman" w:cs="Times New Roman"/>
          <w:b/>
          <w:bCs/>
          <w:i/>
          <w:iCs/>
          <w:sz w:val="24"/>
          <w:szCs w:val="24"/>
        </w:rPr>
        <w:t>The</w:t>
      </w:r>
      <w:proofErr w:type="spellEnd"/>
      <w:r w:rsidRPr="00207AB7">
        <w:rPr>
          <w:rFonts w:ascii="Times New Roman" w:eastAsia="Times New Roman" w:hAnsi="Times New Roman" w:cs="Times New Roman"/>
          <w:b/>
          <w:bCs/>
          <w:i/>
          <w:iCs/>
          <w:sz w:val="24"/>
          <w:szCs w:val="24"/>
        </w:rPr>
        <w:t xml:space="preserve"> </w:t>
      </w:r>
      <w:proofErr w:type="spellStart"/>
      <w:r w:rsidRPr="00207AB7">
        <w:rPr>
          <w:rFonts w:ascii="Times New Roman" w:eastAsia="Times New Roman" w:hAnsi="Times New Roman" w:cs="Times New Roman"/>
          <w:b/>
          <w:bCs/>
          <w:i/>
          <w:iCs/>
          <w:sz w:val="24"/>
          <w:szCs w:val="24"/>
        </w:rPr>
        <w:t>Lancet</w:t>
      </w:r>
      <w:proofErr w:type="spellEnd"/>
      <w:r w:rsidRPr="00207AB7">
        <w:rPr>
          <w:rFonts w:ascii="Times New Roman" w:eastAsia="Times New Roman" w:hAnsi="Times New Roman" w:cs="Times New Roman"/>
          <w:b/>
          <w:bCs/>
          <w:i/>
          <w:iCs/>
          <w:sz w:val="24"/>
          <w:szCs w:val="24"/>
        </w:rPr>
        <w:t xml:space="preserve"> </w:t>
      </w:r>
      <w:proofErr w:type="spellStart"/>
      <w:r w:rsidRPr="00207AB7">
        <w:rPr>
          <w:rFonts w:ascii="Times New Roman" w:eastAsia="Times New Roman" w:hAnsi="Times New Roman" w:cs="Times New Roman"/>
          <w:b/>
          <w:bCs/>
          <w:i/>
          <w:iCs/>
          <w:sz w:val="24"/>
          <w:szCs w:val="24"/>
        </w:rPr>
        <w:t>Respiratory</w:t>
      </w:r>
      <w:proofErr w:type="spellEnd"/>
      <w:r w:rsidRPr="00207AB7">
        <w:rPr>
          <w:rFonts w:ascii="Times New Roman" w:eastAsia="Times New Roman" w:hAnsi="Times New Roman" w:cs="Times New Roman"/>
          <w:b/>
          <w:bCs/>
          <w:i/>
          <w:iCs/>
          <w:sz w:val="24"/>
          <w:szCs w:val="24"/>
        </w:rPr>
        <w:t xml:space="preserve"> Medicine</w:t>
      </w:r>
      <w:r w:rsidRPr="00207AB7">
        <w:rPr>
          <w:rFonts w:ascii="Times New Roman" w:eastAsia="Times New Roman" w:hAnsi="Times New Roman" w:cs="Times New Roman"/>
          <w:b/>
          <w:bCs/>
          <w:sz w:val="24"/>
          <w:szCs w:val="24"/>
        </w:rPr>
        <w:t xml:space="preserve">, </w:t>
      </w:r>
      <w:r w:rsidRPr="00207AB7">
        <w:rPr>
          <w:rFonts w:ascii="Times New Roman" w:eastAsia="Times New Roman" w:hAnsi="Times New Roman" w:cs="Times New Roman"/>
          <w:b/>
          <w:bCs/>
          <w:i/>
          <w:iCs/>
          <w:sz w:val="24"/>
          <w:szCs w:val="24"/>
        </w:rPr>
        <w:t>8</w:t>
      </w:r>
      <w:r w:rsidRPr="00207AB7">
        <w:rPr>
          <w:rFonts w:ascii="Times New Roman" w:eastAsia="Times New Roman" w:hAnsi="Times New Roman" w:cs="Times New Roman"/>
          <w:b/>
          <w:bCs/>
          <w:sz w:val="24"/>
          <w:szCs w:val="24"/>
        </w:rPr>
        <w:t xml:space="preserve">(5), 475–481. </w:t>
      </w:r>
    </w:p>
    <w:p w14:paraId="2D382AD0" w14:textId="77777777" w:rsidR="00207AB7" w:rsidRDefault="00207AB7" w:rsidP="00207AB7">
      <w:pPr>
        <w:ind w:left="360"/>
        <w:rPr>
          <w:b/>
          <w:bCs/>
        </w:rPr>
      </w:pPr>
    </w:p>
    <w:p w14:paraId="34619BB2" w14:textId="7E9174BB" w:rsidR="00207AB7" w:rsidRPr="00207AB7" w:rsidRDefault="00207AB7" w:rsidP="00207AB7">
      <w:r w:rsidRPr="00207AB7">
        <w:rPr>
          <w:b/>
          <w:bCs/>
        </w:rPr>
        <w:lastRenderedPageBreak/>
        <w:t xml:space="preserve">Rmk 1: </w:t>
      </w:r>
      <w:r w:rsidRPr="00207AB7">
        <w:t>el objetivo del artículo es el siguiente: con base en pacientes críticos de COVID-19 con neumonía, admitidos en el Wuhan Jin Yin-tan Hospital, se pretende describir la evolución y desenlace clínico de los pacientes críticos con neumonía SARS-CoV-2.</w:t>
      </w:r>
      <w:r w:rsidRPr="00207AB7">
        <w:br/>
      </w:r>
      <w:r w:rsidRPr="00207AB7">
        <w:br/>
      </w:r>
      <w:r w:rsidRPr="00207AB7">
        <w:rPr>
          <w:b/>
          <w:bCs/>
        </w:rPr>
        <w:t xml:space="preserve">Rmk 2: </w:t>
      </w:r>
      <w:r w:rsidRPr="00207AB7">
        <w:t>los resultados del análisis son los siguientes: mortalidad a 28 días después de la admisión en UCI (28-day mortality after ICU admission). Se emplea un gráfico de Kaplan-Meier.</w:t>
      </w:r>
    </w:p>
    <w:p w14:paraId="1F9EDE6C" w14:textId="77777777" w:rsidR="00207AB7" w:rsidRPr="00207AB7" w:rsidRDefault="00207AB7" w:rsidP="00207AB7"/>
    <w:p w14:paraId="2CC79826" w14:textId="77777777" w:rsidR="00207AB7" w:rsidRPr="00207AB7" w:rsidRDefault="00207AB7" w:rsidP="00207AB7">
      <w:r w:rsidRPr="00207AB7">
        <w:t xml:space="preserve">El método de Kaplan-Meier es implementado para el siguiente resultado: survival of critically ill patients with SARS-CoV-2 pneumonia. </w:t>
      </w:r>
      <w:r w:rsidRPr="00757F10">
        <w:rPr>
          <w:shd w:val="clear" w:color="auto" w:fill="F7CAAC" w:themeFill="accent2" w:themeFillTint="66"/>
        </w:rPr>
        <w:t>Esto quiere decir que el método de Kaplan-Meier permite derivar la mortalidad a 28 días después de la admisión en COVID-19</w:t>
      </w:r>
      <w:r w:rsidRPr="00207AB7">
        <w:t>. Esto explica el hecho de que el resultado principal sea el siguiente: entre los 52 pacientes en estado crítico, el 61.5% murieron a los 28 días, y la mediana de la duración desde la admisión en UCI hasta la muerte fue de 7.</w:t>
      </w:r>
    </w:p>
    <w:p w14:paraId="0024A527" w14:textId="77777777" w:rsidR="00207AB7" w:rsidRPr="00207AB7" w:rsidRDefault="00207AB7" w:rsidP="00207AB7"/>
    <w:p w14:paraId="0AAABCD8" w14:textId="262B3616" w:rsidR="00207AB7" w:rsidRDefault="00207AB7" w:rsidP="00757F10">
      <w:pPr>
        <w:shd w:val="clear" w:color="auto" w:fill="F7CAAC" w:themeFill="accent2" w:themeFillTint="66"/>
      </w:pPr>
      <w:r w:rsidRPr="00207AB7">
        <w:t>Nótese que la curva de supervivencia estimada es la siguiente: la variable de interés corresponde a "Time since admission to intensive care unit (days)"; y la variable de la ordenada, "Survival probability (%)".</w:t>
      </w:r>
    </w:p>
    <w:p w14:paraId="62C6BAFD" w14:textId="7D00634F" w:rsidR="00D31D95" w:rsidRDefault="00D31D95" w:rsidP="00207AB7"/>
    <w:p w14:paraId="58B26B8E" w14:textId="22F5D027" w:rsidR="00D31D95" w:rsidRPr="00D31D95" w:rsidRDefault="00D31D95" w:rsidP="00D31D95">
      <w:pPr>
        <w:pStyle w:val="ListParagraph"/>
        <w:numPr>
          <w:ilvl w:val="0"/>
          <w:numId w:val="21"/>
        </w:numPr>
        <w:rPr>
          <w:rFonts w:ascii="Times New Roman" w:hAnsi="Times New Roman" w:cs="Times New Roman"/>
          <w:sz w:val="24"/>
          <w:szCs w:val="24"/>
        </w:rPr>
      </w:pPr>
      <w:r w:rsidRPr="00D31D95">
        <w:rPr>
          <w:rFonts w:ascii="Times New Roman" w:hAnsi="Times New Roman" w:cs="Times New Roman"/>
          <w:b/>
          <w:bCs/>
          <w:sz w:val="24"/>
          <w:szCs w:val="24"/>
        </w:rPr>
        <w:t xml:space="preserve">Anotaciones a </w:t>
      </w:r>
      <w:proofErr w:type="spellStart"/>
      <w:r w:rsidRPr="00D31D95">
        <w:rPr>
          <w:rFonts w:ascii="Times New Roman" w:hAnsi="Times New Roman" w:cs="Times New Roman"/>
          <w:b/>
          <w:bCs/>
          <w:sz w:val="24"/>
          <w:szCs w:val="24"/>
        </w:rPr>
        <w:t>Rozman</w:t>
      </w:r>
      <w:proofErr w:type="spellEnd"/>
      <w:r w:rsidRPr="00D31D95">
        <w:rPr>
          <w:rFonts w:ascii="Times New Roman" w:hAnsi="Times New Roman" w:cs="Times New Roman"/>
          <w:b/>
          <w:bCs/>
          <w:sz w:val="24"/>
          <w:szCs w:val="24"/>
        </w:rPr>
        <w:t xml:space="preserve">, A., </w:t>
      </w:r>
      <w:proofErr w:type="spellStart"/>
      <w:r w:rsidRPr="00D31D95">
        <w:rPr>
          <w:rFonts w:ascii="Times New Roman" w:hAnsi="Times New Roman" w:cs="Times New Roman"/>
          <w:b/>
          <w:bCs/>
          <w:sz w:val="24"/>
          <w:szCs w:val="24"/>
        </w:rPr>
        <w:t>Rituper</w:t>
      </w:r>
      <w:proofErr w:type="spellEnd"/>
      <w:r w:rsidRPr="00D31D95">
        <w:rPr>
          <w:rFonts w:ascii="Times New Roman" w:hAnsi="Times New Roman" w:cs="Times New Roman"/>
          <w:b/>
          <w:bCs/>
          <w:sz w:val="24"/>
          <w:szCs w:val="24"/>
        </w:rPr>
        <w:t xml:space="preserve">, B., </w:t>
      </w:r>
      <w:proofErr w:type="spellStart"/>
      <w:r w:rsidRPr="00D31D95">
        <w:rPr>
          <w:rFonts w:ascii="Times New Roman" w:hAnsi="Times New Roman" w:cs="Times New Roman"/>
          <w:b/>
          <w:bCs/>
          <w:sz w:val="24"/>
          <w:szCs w:val="24"/>
        </w:rPr>
        <w:t>Kačar</w:t>
      </w:r>
      <w:proofErr w:type="spellEnd"/>
      <w:r w:rsidRPr="00D31D95">
        <w:rPr>
          <w:rFonts w:ascii="Times New Roman" w:hAnsi="Times New Roman" w:cs="Times New Roman"/>
          <w:b/>
          <w:bCs/>
          <w:sz w:val="24"/>
          <w:szCs w:val="24"/>
        </w:rPr>
        <w:t xml:space="preserve">, M., </w:t>
      </w:r>
      <w:proofErr w:type="spellStart"/>
      <w:r w:rsidRPr="00D31D95">
        <w:rPr>
          <w:rFonts w:ascii="Times New Roman" w:hAnsi="Times New Roman" w:cs="Times New Roman"/>
          <w:b/>
          <w:bCs/>
          <w:sz w:val="24"/>
          <w:szCs w:val="24"/>
        </w:rPr>
        <w:t>Kopač</w:t>
      </w:r>
      <w:proofErr w:type="spellEnd"/>
      <w:r w:rsidRPr="00D31D95">
        <w:rPr>
          <w:rFonts w:ascii="Times New Roman" w:hAnsi="Times New Roman" w:cs="Times New Roman"/>
          <w:b/>
          <w:bCs/>
          <w:sz w:val="24"/>
          <w:szCs w:val="24"/>
        </w:rPr>
        <w:t xml:space="preserve">, P., </w:t>
      </w:r>
      <w:proofErr w:type="spellStart"/>
      <w:r w:rsidRPr="00D31D95">
        <w:rPr>
          <w:rFonts w:ascii="Times New Roman" w:hAnsi="Times New Roman" w:cs="Times New Roman"/>
          <w:b/>
          <w:bCs/>
          <w:sz w:val="24"/>
          <w:szCs w:val="24"/>
        </w:rPr>
        <w:t>Zidarn</w:t>
      </w:r>
      <w:proofErr w:type="spellEnd"/>
      <w:r w:rsidRPr="00D31D95">
        <w:rPr>
          <w:rFonts w:ascii="Times New Roman" w:hAnsi="Times New Roman" w:cs="Times New Roman"/>
          <w:b/>
          <w:bCs/>
          <w:sz w:val="24"/>
          <w:szCs w:val="24"/>
        </w:rPr>
        <w:t xml:space="preserve">, M., &amp; </w:t>
      </w:r>
      <w:proofErr w:type="spellStart"/>
      <w:r w:rsidRPr="00D31D95">
        <w:rPr>
          <w:rFonts w:ascii="Times New Roman" w:hAnsi="Times New Roman" w:cs="Times New Roman"/>
          <w:b/>
          <w:bCs/>
          <w:sz w:val="24"/>
          <w:szCs w:val="24"/>
        </w:rPr>
        <w:t>Pohar</w:t>
      </w:r>
      <w:proofErr w:type="spellEnd"/>
      <w:r w:rsidRPr="00D31D95">
        <w:rPr>
          <w:rFonts w:ascii="Times New Roman" w:hAnsi="Times New Roman" w:cs="Times New Roman"/>
          <w:b/>
          <w:bCs/>
          <w:sz w:val="24"/>
          <w:szCs w:val="24"/>
        </w:rPr>
        <w:t xml:space="preserve"> </w:t>
      </w:r>
      <w:proofErr w:type="spellStart"/>
      <w:r w:rsidRPr="00D31D95">
        <w:rPr>
          <w:rFonts w:ascii="Times New Roman" w:hAnsi="Times New Roman" w:cs="Times New Roman"/>
          <w:b/>
          <w:bCs/>
          <w:sz w:val="24"/>
          <w:szCs w:val="24"/>
        </w:rPr>
        <w:t>Perme</w:t>
      </w:r>
      <w:proofErr w:type="spellEnd"/>
      <w:r w:rsidRPr="00D31D95">
        <w:rPr>
          <w:rFonts w:ascii="Times New Roman" w:hAnsi="Times New Roman" w:cs="Times New Roman"/>
          <w:b/>
          <w:bCs/>
          <w:sz w:val="24"/>
          <w:szCs w:val="24"/>
        </w:rPr>
        <w:t xml:space="preserve">, M. (2022). </w:t>
      </w:r>
      <w:r w:rsidRPr="00D31D95">
        <w:rPr>
          <w:rFonts w:ascii="Times New Roman" w:hAnsi="Times New Roman" w:cs="Times New Roman"/>
          <w:b/>
          <w:bCs/>
          <w:sz w:val="24"/>
          <w:szCs w:val="24"/>
          <w:lang w:val="en-US"/>
        </w:rPr>
        <w:t xml:space="preserve">Length of hospital stay and survival of hospitalized COVID-19 patients during the second wave of the pandemic: A single centre retrospective study from Slovenia. </w:t>
      </w:r>
      <w:proofErr w:type="spellStart"/>
      <w:r w:rsidRPr="00D31D95">
        <w:rPr>
          <w:rFonts w:ascii="Times New Roman" w:hAnsi="Times New Roman" w:cs="Times New Roman"/>
          <w:b/>
          <w:bCs/>
          <w:i/>
          <w:iCs/>
          <w:sz w:val="24"/>
          <w:szCs w:val="24"/>
        </w:rPr>
        <w:t>Zdravstveno</w:t>
      </w:r>
      <w:proofErr w:type="spellEnd"/>
      <w:r w:rsidRPr="00D31D95">
        <w:rPr>
          <w:rFonts w:ascii="Times New Roman" w:hAnsi="Times New Roman" w:cs="Times New Roman"/>
          <w:b/>
          <w:bCs/>
          <w:i/>
          <w:iCs/>
          <w:sz w:val="24"/>
          <w:szCs w:val="24"/>
        </w:rPr>
        <w:t xml:space="preserve"> </w:t>
      </w:r>
      <w:proofErr w:type="spellStart"/>
      <w:r w:rsidRPr="00D31D95">
        <w:rPr>
          <w:rFonts w:ascii="Times New Roman" w:hAnsi="Times New Roman" w:cs="Times New Roman"/>
          <w:b/>
          <w:bCs/>
          <w:i/>
          <w:iCs/>
          <w:sz w:val="24"/>
          <w:szCs w:val="24"/>
        </w:rPr>
        <w:t>Varstvo</w:t>
      </w:r>
      <w:proofErr w:type="spellEnd"/>
      <w:r w:rsidRPr="00D31D95">
        <w:rPr>
          <w:rFonts w:ascii="Times New Roman" w:hAnsi="Times New Roman" w:cs="Times New Roman"/>
          <w:b/>
          <w:bCs/>
          <w:sz w:val="24"/>
          <w:szCs w:val="24"/>
        </w:rPr>
        <w:t xml:space="preserve">, </w:t>
      </w:r>
      <w:r w:rsidRPr="00D31D95">
        <w:rPr>
          <w:rFonts w:ascii="Times New Roman" w:hAnsi="Times New Roman" w:cs="Times New Roman"/>
          <w:b/>
          <w:bCs/>
          <w:i/>
          <w:iCs/>
          <w:sz w:val="24"/>
          <w:szCs w:val="24"/>
        </w:rPr>
        <w:t>61</w:t>
      </w:r>
      <w:r w:rsidRPr="00D31D95">
        <w:rPr>
          <w:rFonts w:ascii="Times New Roman" w:hAnsi="Times New Roman" w:cs="Times New Roman"/>
          <w:b/>
          <w:bCs/>
          <w:sz w:val="24"/>
          <w:szCs w:val="24"/>
        </w:rPr>
        <w:t xml:space="preserve">(4), 201–208. </w:t>
      </w:r>
    </w:p>
    <w:p w14:paraId="7DB4FA5D" w14:textId="77777777" w:rsidR="00D31D95" w:rsidRPr="00D31D95" w:rsidRDefault="00D31D95" w:rsidP="00D31D95">
      <w:pPr>
        <w:rPr>
          <w:b/>
          <w:bCs/>
        </w:rPr>
      </w:pPr>
    </w:p>
    <w:p w14:paraId="349BCA2B" w14:textId="088EBCD8" w:rsidR="00D31D95" w:rsidRDefault="00D31D95" w:rsidP="00D31D95">
      <w:pPr>
        <w:rPr>
          <w:lang w:val="en-US"/>
        </w:rPr>
      </w:pPr>
      <w:proofErr w:type="spellStart"/>
      <w:r w:rsidRPr="00D31D95">
        <w:rPr>
          <w:b/>
          <w:bCs/>
        </w:rPr>
        <w:t>Rmk</w:t>
      </w:r>
      <w:proofErr w:type="spellEnd"/>
      <w:r w:rsidRPr="00D31D95">
        <w:rPr>
          <w:b/>
          <w:bCs/>
        </w:rPr>
        <w:t xml:space="preserve"> 1: </w:t>
      </w:r>
      <w:r w:rsidRPr="00D31D95">
        <w:t>el propósito de la investigación es estimar el tiempo de estancia promedio de pacientes eslovenos en el hospital y en UCI, entendiendo que depende de variables demográficas tales como el sexo y la edad.</w:t>
      </w:r>
      <w:r w:rsidRPr="00D31D95">
        <w:br/>
      </w:r>
      <w:r w:rsidRPr="00D31D95">
        <w:br/>
      </w:r>
      <w:proofErr w:type="spellStart"/>
      <w:r w:rsidRPr="00D31D95">
        <w:rPr>
          <w:b/>
          <w:bCs/>
        </w:rPr>
        <w:t>Rmk</w:t>
      </w:r>
      <w:proofErr w:type="spellEnd"/>
      <w:r w:rsidRPr="00D31D95">
        <w:rPr>
          <w:b/>
          <w:bCs/>
        </w:rPr>
        <w:t xml:space="preserve"> 2: </w:t>
      </w:r>
      <w:r w:rsidRPr="00757F10">
        <w:rPr>
          <w:shd w:val="clear" w:color="auto" w:fill="F7CAAC" w:themeFill="accent2" w:themeFillTint="66"/>
        </w:rPr>
        <w:t>los eventos de interés son dos: uno, el momento de admisión en UCI; y dos, el tiempo de alta o muerte</w:t>
      </w:r>
      <w:r w:rsidRPr="00D31D95">
        <w:t>. Los pacientes que se mantienen en el hospital hasta el final del estudio se consideran datos censurados.</w:t>
      </w:r>
      <w:r w:rsidRPr="00D31D95">
        <w:br/>
      </w:r>
      <w:r w:rsidRPr="00D31D95">
        <w:br/>
      </w:r>
      <w:proofErr w:type="spellStart"/>
      <w:r w:rsidRPr="00D31D95">
        <w:rPr>
          <w:b/>
          <w:bCs/>
        </w:rPr>
        <w:t>Rmk</w:t>
      </w:r>
      <w:proofErr w:type="spellEnd"/>
      <w:r w:rsidRPr="00D31D95">
        <w:rPr>
          <w:b/>
          <w:bCs/>
        </w:rPr>
        <w:t xml:space="preserve"> 3: </w:t>
      </w:r>
      <w:r w:rsidRPr="00D31D95">
        <w:t>la metodología de la investigación es la siguiente: la probabilidad de la duración de la estancia en UCI (</w:t>
      </w:r>
      <w:proofErr w:type="spellStart"/>
      <w:r w:rsidRPr="00D31D95">
        <w:t>length</w:t>
      </w:r>
      <w:proofErr w:type="spellEnd"/>
      <w:r w:rsidRPr="00D31D95">
        <w:t xml:space="preserve"> of </w:t>
      </w:r>
      <w:proofErr w:type="spellStart"/>
      <w:r w:rsidRPr="00D31D95">
        <w:t>stay</w:t>
      </w:r>
      <w:proofErr w:type="spellEnd"/>
      <w:r w:rsidRPr="00D31D95">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rsidRPr="00D31D95">
        <w:t>splines</w:t>
      </w:r>
      <w:proofErr w:type="spellEnd"/>
      <w:r w:rsidRPr="00D31D95">
        <w:t xml:space="preserve">). </w:t>
      </w:r>
      <w:r w:rsidRPr="00D31D95">
        <w:br/>
      </w:r>
      <w:r w:rsidRPr="00D31D95">
        <w:br/>
      </w:r>
      <w:proofErr w:type="spellStart"/>
      <w:r w:rsidRPr="00D31D95">
        <w:rPr>
          <w:b/>
          <w:bCs/>
        </w:rPr>
        <w:t>Rmk</w:t>
      </w:r>
      <w:proofErr w:type="spellEnd"/>
      <w:r w:rsidRPr="00D31D95">
        <w:rPr>
          <w:b/>
          <w:bCs/>
        </w:rPr>
        <w:t xml:space="preserve"> 4</w:t>
      </w:r>
      <w:r w:rsidRPr="00757F10">
        <w:rPr>
          <w:b/>
          <w:bCs/>
          <w:shd w:val="clear" w:color="auto" w:fill="F7CAAC" w:themeFill="accent2" w:themeFillTint="66"/>
        </w:rPr>
        <w:t xml:space="preserve">: </w:t>
      </w:r>
      <w:r w:rsidRPr="00757F10">
        <w:rPr>
          <w:shd w:val="clear" w:color="auto" w:fill="F7CAAC" w:themeFill="accent2" w:themeFillTint="66"/>
        </w:rPr>
        <w:t xml:space="preserve">nótese que, si la variable de interés es el tiempo en UCI, el resultado del análisis de Kaplan-Meier es el siguiente: </w:t>
      </w:r>
      <w:proofErr w:type="spellStart"/>
      <w:r w:rsidRPr="00757F10">
        <w:rPr>
          <w:shd w:val="clear" w:color="auto" w:fill="F7CAAC" w:themeFill="accent2" w:themeFillTint="66"/>
        </w:rPr>
        <w:t>probability</w:t>
      </w:r>
      <w:proofErr w:type="spellEnd"/>
      <w:r w:rsidRPr="00757F10">
        <w:rPr>
          <w:shd w:val="clear" w:color="auto" w:fill="F7CAAC" w:themeFill="accent2" w:themeFillTint="66"/>
        </w:rPr>
        <w:t xml:space="preserve"> of </w:t>
      </w:r>
      <w:proofErr w:type="spellStart"/>
      <w:r w:rsidRPr="00757F10">
        <w:rPr>
          <w:shd w:val="clear" w:color="auto" w:fill="F7CAAC" w:themeFill="accent2" w:themeFillTint="66"/>
        </w:rPr>
        <w:t>staying</w:t>
      </w:r>
      <w:proofErr w:type="spellEnd"/>
      <w:r w:rsidRPr="00757F10">
        <w:rPr>
          <w:shd w:val="clear" w:color="auto" w:fill="F7CAAC" w:themeFill="accent2" w:themeFillTint="66"/>
        </w:rPr>
        <w:t xml:space="preserve"> in ICU</w:t>
      </w:r>
      <w:r w:rsidRPr="00D31D95">
        <w:t>.</w:t>
      </w:r>
      <w:r w:rsidRPr="00D31D95">
        <w:br/>
      </w:r>
      <w:r w:rsidRPr="00D31D95">
        <w:br/>
      </w:r>
      <w:r w:rsidRPr="006F6AA1">
        <w:rPr>
          <w:b/>
          <w:bCs/>
          <w:shd w:val="clear" w:color="auto" w:fill="F7CAAC" w:themeFill="accent2" w:themeFillTint="66"/>
          <w:lang w:val="en-US"/>
        </w:rPr>
        <w:t xml:space="preserve">Rmk 5: </w:t>
      </w:r>
      <w:r w:rsidRPr="006F6AA1">
        <w:rPr>
          <w:shd w:val="clear" w:color="auto" w:fill="F7CAAC" w:themeFill="accent2" w:themeFillTint="66"/>
          <w:lang w:val="en-US"/>
        </w:rPr>
        <w:t>la figura 3 muestra dos resultados: uno, probability of being in a certain state (hospital ward, ICU, discharged or death) with respect to days since being admitted to the hospital; dos, probability of being in certain state with respect to days since being admitted to ICU.</w:t>
      </w:r>
      <w:r w:rsidRPr="00D31D95">
        <w:rPr>
          <w:lang w:val="en-US"/>
        </w:rPr>
        <w:br/>
      </w:r>
      <w:r w:rsidRPr="00D31D95">
        <w:rPr>
          <w:lang w:val="en-US"/>
        </w:rPr>
        <w:br/>
      </w:r>
      <w:proofErr w:type="spellStart"/>
      <w:r w:rsidRPr="00D31D95">
        <w:rPr>
          <w:b/>
          <w:bCs/>
        </w:rPr>
        <w:t>Rmk</w:t>
      </w:r>
      <w:proofErr w:type="spellEnd"/>
      <w:r w:rsidRPr="00D31D95">
        <w:rPr>
          <w:b/>
          <w:bCs/>
        </w:rPr>
        <w:t xml:space="preserve"> 6: </w:t>
      </w:r>
      <w:r w:rsidRPr="00D31D95">
        <w:t xml:space="preserve">con base en </w:t>
      </w:r>
      <w:proofErr w:type="spellStart"/>
      <w:r w:rsidRPr="00D31D95">
        <w:rPr>
          <w:b/>
          <w:bCs/>
        </w:rPr>
        <w:t>Rmk</w:t>
      </w:r>
      <w:proofErr w:type="spellEnd"/>
      <w:r w:rsidRPr="00D31D95">
        <w:rPr>
          <w:b/>
          <w:bCs/>
        </w:rPr>
        <w:t xml:space="preserve"> 5</w:t>
      </w:r>
      <w:r w:rsidRPr="00D31D95">
        <w:t>, se derivan los siguientes resultados:</w:t>
      </w:r>
      <w:r w:rsidRPr="00D31D95">
        <w:br/>
      </w:r>
      <w:r w:rsidRPr="00D31D95">
        <w:lastRenderedPageBreak/>
        <w:br/>
        <w:t xml:space="preserve">- La probabilidad de morir en los primeros 7 días es igual a 16%, y crece al 35.6% en los 21 días. </w:t>
      </w:r>
      <w:r w:rsidRPr="00D31D95">
        <w:br/>
        <w:t>- La probabilidad de ser dado de alta es menor (31.3%) en el día 21.</w:t>
      </w:r>
      <w:r w:rsidRPr="00D31D95">
        <w:br/>
        <w:t>- La probabilidad de permanecer en UCI por más de 21 días es 19.7%.</w:t>
      </w:r>
      <w:r w:rsidRPr="00D31D95">
        <w:br/>
      </w:r>
      <w:r w:rsidRPr="00D31D95">
        <w:br/>
      </w:r>
      <w:proofErr w:type="spellStart"/>
      <w:r w:rsidRPr="00D31D95">
        <w:rPr>
          <w:b/>
          <w:bCs/>
        </w:rPr>
        <w:t>Rmk</w:t>
      </w:r>
      <w:proofErr w:type="spellEnd"/>
      <w:r w:rsidRPr="00D31D95">
        <w:rPr>
          <w:b/>
          <w:bCs/>
        </w:rPr>
        <w:t xml:space="preserve"> 7: </w:t>
      </w:r>
      <w:r w:rsidRPr="00D31D95">
        <w:t>nótese que la investigación también considera un modelo de Cox con respecto del sexo y la edad con estados múltiples.</w:t>
      </w:r>
      <w:r w:rsidRPr="00D31D95">
        <w:br/>
      </w:r>
      <w:r w:rsidRPr="00D31D95">
        <w:br/>
      </w:r>
      <w:proofErr w:type="spellStart"/>
      <w:r w:rsidRPr="00D31D95">
        <w:rPr>
          <w:b/>
          <w:bCs/>
        </w:rPr>
        <w:t>Rmk</w:t>
      </w:r>
      <w:proofErr w:type="spellEnd"/>
      <w:r w:rsidRPr="00D31D95">
        <w:rPr>
          <w:b/>
          <w:bCs/>
        </w:rPr>
        <w:t xml:space="preserve"> 8</w:t>
      </w:r>
      <w:r w:rsidRPr="006F6AA1">
        <w:rPr>
          <w:b/>
          <w:bCs/>
          <w:shd w:val="clear" w:color="auto" w:fill="F7CAAC" w:themeFill="accent2" w:themeFillTint="66"/>
        </w:rPr>
        <w:t xml:space="preserve">: </w:t>
      </w:r>
      <w:r w:rsidRPr="006F6AA1">
        <w:rPr>
          <w:shd w:val="clear" w:color="auto" w:fill="F7CAAC" w:themeFill="accent2" w:themeFillTint="66"/>
        </w:rPr>
        <w:t>se verifica que el tiempo de permanencia, así como las tasas de supervivencia, son sensibles a covariables como la edad y el sexo.</w:t>
      </w:r>
      <w:r w:rsidRPr="00D31D95">
        <w:t xml:space="preserve"> </w:t>
      </w:r>
      <w:r w:rsidRPr="00D31D95">
        <w:rPr>
          <w:lang w:val="en-US"/>
        </w:rPr>
        <w:t>"Male patients have almost three times the odds of requiring ICU admission and higher odds of death" (Peckham et al., 2020. Male sex identified by global COVID-19 meta-analysis as a risk factor for death and ITU admission). "Compared to females, males had a higher rate of inhospital mortality, a higher rate of intubation and a longer lenght of hospital stay (Nguyen et al., 2021. Male gender is a predictor of higher mortality in hospitalized adults with COVID-19).</w:t>
      </w:r>
    </w:p>
    <w:p w14:paraId="66EF6642" w14:textId="0932F03C" w:rsidR="0064248D" w:rsidRDefault="0064248D" w:rsidP="00D31D95">
      <w:pPr>
        <w:rPr>
          <w:lang w:val="en-US"/>
        </w:rPr>
      </w:pPr>
    </w:p>
    <w:p w14:paraId="2E36A06B" w14:textId="087AECF1" w:rsidR="0064248D" w:rsidRPr="0064248D" w:rsidRDefault="0064248D" w:rsidP="0064248D">
      <w:pPr>
        <w:pStyle w:val="ListParagraph"/>
        <w:numPr>
          <w:ilvl w:val="0"/>
          <w:numId w:val="21"/>
        </w:numPr>
        <w:shd w:val="clear" w:color="auto" w:fill="FFFFFF"/>
        <w:rPr>
          <w:rFonts w:ascii="Times New Roman" w:eastAsia="Times New Roman" w:hAnsi="Times New Roman" w:cs="Times New Roman"/>
          <w:color w:val="2E2E2E"/>
          <w:sz w:val="24"/>
          <w:szCs w:val="24"/>
          <w:lang w:val="es-CO" w:eastAsia="es-CO"/>
        </w:rPr>
      </w:pPr>
      <w:r>
        <w:rPr>
          <w:rFonts w:ascii="Arial" w:eastAsia="Times New Roman" w:hAnsi="Arial" w:cs="Arial"/>
          <w:b/>
          <w:bCs/>
          <w:color w:val="2E2E2E"/>
          <w:sz w:val="21"/>
          <w:szCs w:val="21"/>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Anotaciones</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sobre</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Alam</w:t>
      </w:r>
      <w:proofErr w:type="spellEnd"/>
      <w:r w:rsidRPr="0064248D">
        <w:rPr>
          <w:rFonts w:ascii="Times New Roman" w:eastAsia="Times New Roman" w:hAnsi="Times New Roman" w:cs="Times New Roman"/>
          <w:b/>
          <w:bCs/>
          <w:color w:val="2E2E2E"/>
          <w:sz w:val="24"/>
          <w:szCs w:val="24"/>
          <w:lang w:val="en-US" w:eastAsia="es-CO"/>
        </w:rPr>
        <w:t xml:space="preserve">, M. T., Mehdi, A., </w:t>
      </w:r>
      <w:proofErr w:type="spellStart"/>
      <w:r w:rsidRPr="0064248D">
        <w:rPr>
          <w:rFonts w:ascii="Times New Roman" w:eastAsia="Times New Roman" w:hAnsi="Times New Roman" w:cs="Times New Roman"/>
          <w:b/>
          <w:bCs/>
          <w:color w:val="2E2E2E"/>
          <w:sz w:val="24"/>
          <w:szCs w:val="24"/>
          <w:lang w:val="en-US" w:eastAsia="es-CO"/>
        </w:rPr>
        <w:t>Timsaal</w:t>
      </w:r>
      <w:proofErr w:type="spellEnd"/>
      <w:r w:rsidRPr="0064248D">
        <w:rPr>
          <w:rFonts w:ascii="Times New Roman" w:eastAsia="Times New Roman" w:hAnsi="Times New Roman" w:cs="Times New Roman"/>
          <w:b/>
          <w:bCs/>
          <w:color w:val="2E2E2E"/>
          <w:sz w:val="24"/>
          <w:szCs w:val="24"/>
          <w:lang w:val="en-US" w:eastAsia="es-CO"/>
        </w:rPr>
        <w:t xml:space="preserve">, Y., </w:t>
      </w:r>
      <w:proofErr w:type="spellStart"/>
      <w:r w:rsidRPr="0064248D">
        <w:rPr>
          <w:rFonts w:ascii="Times New Roman" w:eastAsia="Times New Roman" w:hAnsi="Times New Roman" w:cs="Times New Roman"/>
          <w:b/>
          <w:bCs/>
          <w:color w:val="2E2E2E"/>
          <w:sz w:val="24"/>
          <w:szCs w:val="24"/>
          <w:lang w:val="en-US" w:eastAsia="es-CO"/>
        </w:rPr>
        <w:t>Rehan</w:t>
      </w:r>
      <w:proofErr w:type="spellEnd"/>
      <w:r w:rsidRPr="0064248D">
        <w:rPr>
          <w:rFonts w:ascii="Times New Roman" w:eastAsia="Times New Roman" w:hAnsi="Times New Roman" w:cs="Times New Roman"/>
          <w:b/>
          <w:bCs/>
          <w:color w:val="2E2E2E"/>
          <w:sz w:val="24"/>
          <w:szCs w:val="24"/>
          <w:lang w:val="en-US" w:eastAsia="es-CO"/>
        </w:rPr>
        <w:t xml:space="preserve">, M., Kumar, A., Shaikh, I. S., Yasmin, F., </w:t>
      </w:r>
      <w:proofErr w:type="spellStart"/>
      <w:r w:rsidRPr="0064248D">
        <w:rPr>
          <w:rFonts w:ascii="Times New Roman" w:eastAsia="Times New Roman" w:hAnsi="Times New Roman" w:cs="Times New Roman"/>
          <w:b/>
          <w:bCs/>
          <w:color w:val="2E2E2E"/>
          <w:sz w:val="24"/>
          <w:szCs w:val="24"/>
          <w:lang w:val="en-US" w:eastAsia="es-CO"/>
        </w:rPr>
        <w:t>Memon</w:t>
      </w:r>
      <w:proofErr w:type="spellEnd"/>
      <w:r w:rsidRPr="0064248D">
        <w:rPr>
          <w:rFonts w:ascii="Times New Roman" w:eastAsia="Times New Roman" w:hAnsi="Times New Roman" w:cs="Times New Roman"/>
          <w:b/>
          <w:bCs/>
          <w:color w:val="2E2E2E"/>
          <w:sz w:val="24"/>
          <w:szCs w:val="24"/>
          <w:lang w:val="en-US" w:eastAsia="es-CO"/>
        </w:rPr>
        <w:t xml:space="preserve">, G. M., Ahmed, N., &amp; Asghar, M. S. (2022). The clinical course, biochemical markers, and clinical outcomes of COVID-19 positive patients from the third wave in Pakistan: A retrospective cohort study. </w:t>
      </w:r>
      <w:r w:rsidRPr="0064248D">
        <w:rPr>
          <w:rFonts w:ascii="Times New Roman" w:eastAsia="Times New Roman" w:hAnsi="Times New Roman" w:cs="Times New Roman"/>
          <w:b/>
          <w:bCs/>
          <w:i/>
          <w:iCs/>
          <w:color w:val="2E2E2E"/>
          <w:sz w:val="24"/>
          <w:szCs w:val="24"/>
          <w:lang w:val="es-CO" w:eastAsia="es-CO"/>
        </w:rPr>
        <w:t>Annals of Medicine and Surgery</w:t>
      </w:r>
      <w:r w:rsidRPr="0064248D">
        <w:rPr>
          <w:rFonts w:ascii="Times New Roman" w:eastAsia="Times New Roman" w:hAnsi="Times New Roman" w:cs="Times New Roman"/>
          <w:b/>
          <w:bCs/>
          <w:color w:val="2E2E2E"/>
          <w:sz w:val="24"/>
          <w:szCs w:val="24"/>
          <w:lang w:val="es-CO" w:eastAsia="es-CO"/>
        </w:rPr>
        <w:t xml:space="preserve">, </w:t>
      </w:r>
      <w:r w:rsidRPr="0064248D">
        <w:rPr>
          <w:rFonts w:ascii="Times New Roman" w:eastAsia="Times New Roman" w:hAnsi="Times New Roman" w:cs="Times New Roman"/>
          <w:b/>
          <w:bCs/>
          <w:i/>
          <w:iCs/>
          <w:color w:val="2E2E2E"/>
          <w:sz w:val="24"/>
          <w:szCs w:val="24"/>
          <w:lang w:val="es-CO" w:eastAsia="es-CO"/>
        </w:rPr>
        <w:t>77</w:t>
      </w:r>
      <w:r w:rsidRPr="0064248D">
        <w:rPr>
          <w:rFonts w:ascii="Times New Roman" w:eastAsia="Times New Roman" w:hAnsi="Times New Roman" w:cs="Times New Roman"/>
          <w:b/>
          <w:bCs/>
          <w:color w:val="2E2E2E"/>
          <w:sz w:val="24"/>
          <w:szCs w:val="24"/>
          <w:lang w:val="es-CO" w:eastAsia="es-CO"/>
        </w:rPr>
        <w:t>(April), 103599.</w:t>
      </w:r>
      <w:r w:rsidRPr="0064248D">
        <w:rPr>
          <w:rFonts w:ascii="Times New Roman" w:eastAsia="Times New Roman" w:hAnsi="Times New Roman" w:cs="Times New Roman"/>
          <w:color w:val="2E2E2E"/>
          <w:sz w:val="24"/>
          <w:szCs w:val="24"/>
          <w:lang w:val="es-CO" w:eastAsia="es-CO"/>
        </w:rPr>
        <w:t xml:space="preserve"> </w:t>
      </w:r>
    </w:p>
    <w:p w14:paraId="00B4F993" w14:textId="77777777" w:rsidR="0064248D" w:rsidRPr="0064248D" w:rsidRDefault="0064248D" w:rsidP="0064248D">
      <w:pPr>
        <w:shd w:val="clear" w:color="auto" w:fill="FFFFFF"/>
        <w:rPr>
          <w:color w:val="2E2E2E"/>
          <w:lang w:val="es-CO" w:eastAsia="es-CO"/>
        </w:rPr>
      </w:pPr>
      <w:r w:rsidRPr="0064248D">
        <w:rPr>
          <w:color w:val="2E2E2E"/>
          <w:lang w:val="es-CO" w:eastAsia="es-CO"/>
        </w:rPr>
        <w:br/>
      </w:r>
    </w:p>
    <w:p w14:paraId="39D72191" w14:textId="77777777" w:rsidR="0064248D" w:rsidRPr="0064248D" w:rsidRDefault="0064248D" w:rsidP="0064248D">
      <w:pPr>
        <w:shd w:val="clear" w:color="auto" w:fill="FFFFFF"/>
        <w:rPr>
          <w:color w:val="2E2E2E"/>
          <w:lang w:val="es-CO" w:eastAsia="es-CO"/>
        </w:rPr>
      </w:pPr>
      <w:r w:rsidRPr="0064248D">
        <w:rPr>
          <w:b/>
          <w:bCs/>
          <w:color w:val="2E2E2E"/>
          <w:lang w:val="es-CO" w:eastAsia="es-CO"/>
        </w:rPr>
        <w:t xml:space="preserve">Rmk 1: </w:t>
      </w:r>
      <w:r w:rsidRPr="0064248D">
        <w:rPr>
          <w:color w:val="2E2E2E"/>
          <w:lang w:val="es-CO" w:eastAsia="es-CO"/>
        </w:rPr>
        <w:t>la tercera ola de la pandemia de COVID-19 ha afectado numerosos países. El objetivo del estudio es el siguiente: comparar y contrastar las características clínicas significativas entre supervivientes y no-supervivientes durante la tercera ola de la pandemia de COVID-19 en Karachi, Pakistán, para evaluar la severidad y el desenlace de la enfermedad.</w:t>
      </w:r>
    </w:p>
    <w:p w14:paraId="0D2F951E" w14:textId="77777777" w:rsidR="0064248D" w:rsidRPr="0064248D" w:rsidRDefault="0064248D" w:rsidP="0064248D">
      <w:pPr>
        <w:shd w:val="clear" w:color="auto" w:fill="FFFFFF"/>
        <w:rPr>
          <w:color w:val="2E2E2E"/>
          <w:lang w:val="es-CO" w:eastAsia="es-CO"/>
        </w:rPr>
      </w:pPr>
      <w:r w:rsidRPr="0064248D">
        <w:rPr>
          <w:color w:val="2E2E2E"/>
          <w:lang w:val="es-CO" w:eastAsia="es-CO"/>
        </w:rPr>
        <w:br/>
      </w:r>
    </w:p>
    <w:p w14:paraId="75784BE1" w14:textId="77777777" w:rsidR="0064248D" w:rsidRPr="0064248D" w:rsidRDefault="0064248D" w:rsidP="006F6AA1">
      <w:pPr>
        <w:shd w:val="clear" w:color="auto" w:fill="F7CAAC" w:themeFill="accent2" w:themeFillTint="66"/>
        <w:rPr>
          <w:color w:val="2E2E2E"/>
          <w:lang w:val="es-CO" w:eastAsia="es-CO"/>
        </w:rPr>
      </w:pPr>
      <w:r w:rsidRPr="0064248D">
        <w:rPr>
          <w:b/>
          <w:bCs/>
          <w:color w:val="2E2E2E"/>
          <w:lang w:val="es-CO" w:eastAsia="es-CO"/>
        </w:rPr>
        <w:t xml:space="preserve">Rmk 2: </w:t>
      </w:r>
      <w:r w:rsidRPr="0064248D">
        <w:rPr>
          <w:color w:val="2E2E2E"/>
          <w:lang w:val="es-CO" w:eastAsia="es-CO"/>
        </w:rPr>
        <w:t>el análisis estadístico es el siguiente: para las variables categóricas, se implementan regresiones univariadas y multivariadas para asociar su desenlace (muerte, principalmente). Las curvas de Kaplan-Meier son estimadas con el propósito de determinar la supervivencia acumulada (cumulative survival) diferenciada según las covariables de interés.</w:t>
      </w:r>
    </w:p>
    <w:p w14:paraId="2303E87B" w14:textId="77777777" w:rsidR="0064248D" w:rsidRPr="0064248D" w:rsidRDefault="0064248D" w:rsidP="0064248D">
      <w:pPr>
        <w:shd w:val="clear" w:color="auto" w:fill="FFFFFF"/>
        <w:rPr>
          <w:color w:val="2E2E2E"/>
          <w:lang w:val="es-CO" w:eastAsia="es-CO"/>
        </w:rPr>
      </w:pPr>
      <w:r w:rsidRPr="0064248D">
        <w:rPr>
          <w:color w:val="2E2E2E"/>
          <w:lang w:val="es-CO" w:eastAsia="es-CO"/>
        </w:rPr>
        <w:br/>
      </w:r>
    </w:p>
    <w:p w14:paraId="67FA8655" w14:textId="77777777" w:rsidR="0064248D" w:rsidRPr="0064248D" w:rsidRDefault="0064248D" w:rsidP="0064248D">
      <w:pPr>
        <w:shd w:val="clear" w:color="auto" w:fill="FFFFFF"/>
        <w:rPr>
          <w:color w:val="2E2E2E"/>
          <w:lang w:val="es-CO" w:eastAsia="es-CO"/>
        </w:rPr>
      </w:pPr>
      <w:r w:rsidRPr="0064248D">
        <w:rPr>
          <w:color w:val="2E2E2E"/>
          <w:lang w:val="es-CO" w:eastAsia="es-CO"/>
        </w:rPr>
        <w:t>Se verifican los siguientes resultados: la hipertensión, BiPAP/CPAP, los pacientes con ventilación, la estancia en UCI, la fiebre alta y ARDS reducen la supervivencia acumulada.</w:t>
      </w:r>
    </w:p>
    <w:p w14:paraId="110047F1" w14:textId="77777777" w:rsidR="0064248D" w:rsidRPr="0064248D" w:rsidRDefault="0064248D" w:rsidP="0064248D">
      <w:pPr>
        <w:shd w:val="clear" w:color="auto" w:fill="FFFFFF"/>
        <w:rPr>
          <w:color w:val="2E2E2E"/>
          <w:lang w:val="es-CO" w:eastAsia="es-CO"/>
        </w:rPr>
      </w:pPr>
      <w:r w:rsidRPr="0064248D">
        <w:rPr>
          <w:color w:val="2E2E2E"/>
          <w:lang w:val="es-CO" w:eastAsia="es-CO"/>
        </w:rPr>
        <w:br/>
      </w:r>
    </w:p>
    <w:p w14:paraId="52D4B2F4" w14:textId="6EE0957E" w:rsidR="0064248D" w:rsidRDefault="0064248D" w:rsidP="0064248D">
      <w:pPr>
        <w:shd w:val="clear" w:color="auto" w:fill="FFFFFF"/>
        <w:rPr>
          <w:color w:val="2E2E2E"/>
          <w:lang w:val="es-CO" w:eastAsia="es-CO"/>
        </w:rPr>
      </w:pPr>
      <w:r w:rsidRPr="0064248D">
        <w:rPr>
          <w:b/>
          <w:bCs/>
          <w:color w:val="2E2E2E"/>
          <w:lang w:val="es-CO" w:eastAsia="es-CO"/>
        </w:rPr>
        <w:t xml:space="preserve">Rmk 3: </w:t>
      </w:r>
      <w:r w:rsidRPr="0064248D">
        <w:rPr>
          <w:color w:val="2E2E2E"/>
          <w:lang w:val="es-CO" w:eastAsia="es-CO"/>
        </w:rPr>
        <w:t xml:space="preserve">nótese que, en términos generales, el análisis de Kaplan-Meier es el siguiente: se presentan los siguientes ocho análisis de supervivencia (nótese que las diferencias entre grupos es verificada de conformidad con la prueba de log-rank (Mantel-Cox)): supervivencia acumulada (variable de la ordenada) y la estancia en el hospital (variable de interés), </w:t>
      </w:r>
      <w:r w:rsidRPr="006F6AA1">
        <w:rPr>
          <w:color w:val="2E2E2E"/>
          <w:shd w:val="clear" w:color="auto" w:fill="F7CAAC" w:themeFill="accent2" w:themeFillTint="66"/>
          <w:lang w:val="es-CO" w:eastAsia="es-CO"/>
        </w:rPr>
        <w:t>Las subpoblaciones consideradas son, en consecuencia, ocho: primero, los grupos etarios; segundo, tener o no diabetes; tercero, estuvo o no en UCI; cuarto, no o sí BiPAP/CPAP; quinto, grados de fiebre; sexto, tener o no hipertensión; séptimo, tener o no ARDS; y octavo, ventilación o no</w:t>
      </w:r>
      <w:r w:rsidRPr="0064248D">
        <w:rPr>
          <w:color w:val="2E2E2E"/>
          <w:lang w:val="es-CO" w:eastAsia="es-CO"/>
        </w:rPr>
        <w:t>.</w:t>
      </w:r>
    </w:p>
    <w:p w14:paraId="38D3E89A" w14:textId="348F3017" w:rsidR="0064248D" w:rsidRDefault="0064248D" w:rsidP="0064248D">
      <w:pPr>
        <w:shd w:val="clear" w:color="auto" w:fill="FFFFFF"/>
        <w:rPr>
          <w:color w:val="2E2E2E"/>
          <w:lang w:val="es-CO" w:eastAsia="es-CO"/>
        </w:rPr>
      </w:pPr>
    </w:p>
    <w:p w14:paraId="7434BB84" w14:textId="260ABD00" w:rsidR="0064248D" w:rsidRDefault="0064248D" w:rsidP="0064248D">
      <w:pPr>
        <w:shd w:val="clear" w:color="auto" w:fill="FFFFFF"/>
        <w:rPr>
          <w:color w:val="2E2E2E"/>
          <w:lang w:val="es-CO" w:eastAsia="es-CO"/>
        </w:rPr>
      </w:pPr>
    </w:p>
    <w:p w14:paraId="05018132" w14:textId="25C606A0" w:rsidR="0064248D" w:rsidRDefault="0064248D" w:rsidP="0064248D">
      <w:pPr>
        <w:shd w:val="clear" w:color="auto" w:fill="FFFFFF"/>
        <w:rPr>
          <w:color w:val="2E2E2E"/>
          <w:lang w:val="es-CO" w:eastAsia="es-CO"/>
        </w:rPr>
      </w:pPr>
    </w:p>
    <w:p w14:paraId="316E087E" w14:textId="512075CB" w:rsidR="00F17584" w:rsidRPr="00F17584" w:rsidRDefault="00F17584" w:rsidP="00F17584">
      <w:pPr>
        <w:pStyle w:val="ListParagraph"/>
        <w:numPr>
          <w:ilvl w:val="0"/>
          <w:numId w:val="21"/>
        </w:num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n-US" w:eastAsia="es-CO"/>
        </w:rPr>
        <w:t>Anotaciones</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sobre</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Cour</w:t>
      </w:r>
      <w:proofErr w:type="spellEnd"/>
      <w:r w:rsidRPr="00F17584">
        <w:rPr>
          <w:rFonts w:ascii="Times New Roman" w:eastAsia="Times New Roman" w:hAnsi="Times New Roman" w:cs="Times New Roman"/>
          <w:b/>
          <w:bCs/>
          <w:color w:val="2E2E2E"/>
          <w:sz w:val="24"/>
          <w:szCs w:val="24"/>
          <w:lang w:val="en-US" w:eastAsia="es-CO"/>
        </w:rPr>
        <w:t xml:space="preserve">, M., </w:t>
      </w:r>
      <w:proofErr w:type="spellStart"/>
      <w:r w:rsidRPr="00F17584">
        <w:rPr>
          <w:rFonts w:ascii="Times New Roman" w:eastAsia="Times New Roman" w:hAnsi="Times New Roman" w:cs="Times New Roman"/>
          <w:b/>
          <w:bCs/>
          <w:color w:val="2E2E2E"/>
          <w:sz w:val="24"/>
          <w:szCs w:val="24"/>
          <w:lang w:val="en-US" w:eastAsia="es-CO"/>
        </w:rPr>
        <w:t>Amaz</w:t>
      </w:r>
      <w:proofErr w:type="spellEnd"/>
      <w:r w:rsidRPr="00F17584">
        <w:rPr>
          <w:rFonts w:ascii="Times New Roman" w:eastAsia="Times New Roman" w:hAnsi="Times New Roman" w:cs="Times New Roman"/>
          <w:b/>
          <w:bCs/>
          <w:color w:val="2E2E2E"/>
          <w:sz w:val="24"/>
          <w:szCs w:val="24"/>
          <w:lang w:val="en-US" w:eastAsia="es-CO"/>
        </w:rPr>
        <w:t xml:space="preserve">, C., </w:t>
      </w:r>
      <w:proofErr w:type="spellStart"/>
      <w:r w:rsidRPr="00F17584">
        <w:rPr>
          <w:rFonts w:ascii="Times New Roman" w:eastAsia="Times New Roman" w:hAnsi="Times New Roman" w:cs="Times New Roman"/>
          <w:b/>
          <w:bCs/>
          <w:color w:val="2E2E2E"/>
          <w:sz w:val="24"/>
          <w:szCs w:val="24"/>
          <w:lang w:val="en-US" w:eastAsia="es-CO"/>
        </w:rPr>
        <w:t>Bohé</w:t>
      </w:r>
      <w:proofErr w:type="spellEnd"/>
      <w:r w:rsidRPr="00F17584">
        <w:rPr>
          <w:rFonts w:ascii="Times New Roman" w:eastAsia="Times New Roman" w:hAnsi="Times New Roman" w:cs="Times New Roman"/>
          <w:b/>
          <w:bCs/>
          <w:color w:val="2E2E2E"/>
          <w:sz w:val="24"/>
          <w:szCs w:val="24"/>
          <w:lang w:val="en-US" w:eastAsia="es-CO"/>
        </w:rPr>
        <w:t xml:space="preserve">, J., </w:t>
      </w:r>
      <w:proofErr w:type="spellStart"/>
      <w:r w:rsidRPr="00F17584">
        <w:rPr>
          <w:rFonts w:ascii="Times New Roman" w:eastAsia="Times New Roman" w:hAnsi="Times New Roman" w:cs="Times New Roman"/>
          <w:b/>
          <w:bCs/>
          <w:color w:val="2E2E2E"/>
          <w:sz w:val="24"/>
          <w:szCs w:val="24"/>
          <w:lang w:val="en-US" w:eastAsia="es-CO"/>
        </w:rPr>
        <w:t>Rimmelé</w:t>
      </w:r>
      <w:proofErr w:type="spellEnd"/>
      <w:r w:rsidRPr="00F17584">
        <w:rPr>
          <w:rFonts w:ascii="Times New Roman" w:eastAsia="Times New Roman" w:hAnsi="Times New Roman" w:cs="Times New Roman"/>
          <w:b/>
          <w:bCs/>
          <w:color w:val="2E2E2E"/>
          <w:sz w:val="24"/>
          <w:szCs w:val="24"/>
          <w:lang w:val="en-US" w:eastAsia="es-CO"/>
        </w:rPr>
        <w:t xml:space="preserve">, T., </w:t>
      </w:r>
      <w:proofErr w:type="spellStart"/>
      <w:r w:rsidRPr="00F17584">
        <w:rPr>
          <w:rFonts w:ascii="Times New Roman" w:eastAsia="Times New Roman" w:hAnsi="Times New Roman" w:cs="Times New Roman"/>
          <w:b/>
          <w:bCs/>
          <w:color w:val="2E2E2E"/>
          <w:sz w:val="24"/>
          <w:szCs w:val="24"/>
          <w:lang w:val="en-US" w:eastAsia="es-CO"/>
        </w:rPr>
        <w:t>Ovize</w:t>
      </w:r>
      <w:proofErr w:type="spellEnd"/>
      <w:r w:rsidRPr="00F17584">
        <w:rPr>
          <w:rFonts w:ascii="Times New Roman" w:eastAsia="Times New Roman" w:hAnsi="Times New Roman" w:cs="Times New Roman"/>
          <w:b/>
          <w:bCs/>
          <w:color w:val="2E2E2E"/>
          <w:sz w:val="24"/>
          <w:szCs w:val="24"/>
          <w:lang w:val="en-US" w:eastAsia="es-CO"/>
        </w:rPr>
        <w:t xml:space="preserve">, M., &amp; </w:t>
      </w:r>
      <w:proofErr w:type="spellStart"/>
      <w:r w:rsidRPr="00F17584">
        <w:rPr>
          <w:rFonts w:ascii="Times New Roman" w:eastAsia="Times New Roman" w:hAnsi="Times New Roman" w:cs="Times New Roman"/>
          <w:b/>
          <w:bCs/>
          <w:color w:val="2E2E2E"/>
          <w:sz w:val="24"/>
          <w:szCs w:val="24"/>
          <w:lang w:val="en-US" w:eastAsia="es-CO"/>
        </w:rPr>
        <w:t>Argaud</w:t>
      </w:r>
      <w:proofErr w:type="spellEnd"/>
      <w:r w:rsidRPr="00F17584">
        <w:rPr>
          <w:rFonts w:ascii="Times New Roman" w:eastAsia="Times New Roman" w:hAnsi="Times New Roman" w:cs="Times New Roman"/>
          <w:b/>
          <w:bCs/>
          <w:color w:val="2E2E2E"/>
          <w:sz w:val="24"/>
          <w:szCs w:val="24"/>
          <w:lang w:val="en-US" w:eastAsia="es-CO"/>
        </w:rPr>
        <w:t xml:space="preserve">, L. (2021). Day-90 survival in critically-ill patients with COVID-19 and hydroxychloroquine: a propensity analysis. </w:t>
      </w:r>
      <w:r w:rsidRPr="00F17584">
        <w:rPr>
          <w:rFonts w:ascii="Times New Roman" w:eastAsia="Times New Roman" w:hAnsi="Times New Roman" w:cs="Times New Roman"/>
          <w:b/>
          <w:bCs/>
          <w:i/>
          <w:iCs/>
          <w:color w:val="2E2E2E"/>
          <w:sz w:val="24"/>
          <w:szCs w:val="24"/>
          <w:lang w:val="es-CO" w:eastAsia="es-CO"/>
        </w:rPr>
        <w:t>Annals of Translational Medicine</w:t>
      </w:r>
      <w:r w:rsidRPr="00F17584">
        <w:rPr>
          <w:rFonts w:ascii="Times New Roman" w:eastAsia="Times New Roman" w:hAnsi="Times New Roman" w:cs="Times New Roman"/>
          <w:b/>
          <w:bCs/>
          <w:color w:val="2E2E2E"/>
          <w:sz w:val="24"/>
          <w:szCs w:val="24"/>
          <w:lang w:val="es-CO" w:eastAsia="es-CO"/>
        </w:rPr>
        <w:t xml:space="preserve">, </w:t>
      </w:r>
      <w:r w:rsidRPr="00F17584">
        <w:rPr>
          <w:rFonts w:ascii="Times New Roman" w:eastAsia="Times New Roman" w:hAnsi="Times New Roman" w:cs="Times New Roman"/>
          <w:b/>
          <w:bCs/>
          <w:i/>
          <w:iCs/>
          <w:color w:val="2E2E2E"/>
          <w:sz w:val="24"/>
          <w:szCs w:val="24"/>
          <w:lang w:val="es-CO" w:eastAsia="es-CO"/>
        </w:rPr>
        <w:t>9</w:t>
      </w:r>
      <w:r w:rsidRPr="00F17584">
        <w:rPr>
          <w:rFonts w:ascii="Times New Roman" w:eastAsia="Times New Roman" w:hAnsi="Times New Roman" w:cs="Times New Roman"/>
          <w:b/>
          <w:bCs/>
          <w:color w:val="2E2E2E"/>
          <w:sz w:val="24"/>
          <w:szCs w:val="24"/>
          <w:lang w:val="es-CO" w:eastAsia="es-CO"/>
        </w:rPr>
        <w:t xml:space="preserve">(7), 524–524. </w:t>
      </w:r>
    </w:p>
    <w:p w14:paraId="6548A8EE" w14:textId="77777777" w:rsidR="00F17584" w:rsidRPr="00F17584" w:rsidRDefault="00F17584" w:rsidP="006F6AA1">
      <w:pPr>
        <w:shd w:val="clear" w:color="auto" w:fill="F7CAAC" w:themeFill="accent2" w:themeFillTint="66"/>
        <w:rPr>
          <w:color w:val="2E2E2E"/>
          <w:lang w:val="es-CO" w:eastAsia="es-CO"/>
        </w:rPr>
      </w:pPr>
      <w:r w:rsidRPr="00F17584">
        <w:rPr>
          <w:b/>
          <w:bCs/>
          <w:color w:val="2E2E2E"/>
          <w:lang w:val="es-CO" w:eastAsia="es-CO"/>
        </w:rPr>
        <w:t xml:space="preserve">Rmk 1: </w:t>
      </w:r>
      <w:r w:rsidRPr="00F17584">
        <w:rPr>
          <w:color w:val="2E2E2E"/>
          <w:lang w:val="es-CO" w:eastAsia="es-CO"/>
        </w:rPr>
        <w:t>existe información limitada en relación con el efecto de la hydroxychloroquine en resultados de mediano plazo en pacientes con COVID-19 que requieren UCI. El objetivo es el siguiente: evaluar los efectos de la hydroxychloroquine en la mortalidad a los 90 días (day 90 mortality) en la población específica,</w:t>
      </w:r>
    </w:p>
    <w:p w14:paraId="2F85A687" w14:textId="77777777" w:rsidR="00F17584" w:rsidRPr="00F17584" w:rsidRDefault="00F17584" w:rsidP="00F17584">
      <w:pPr>
        <w:shd w:val="clear" w:color="auto" w:fill="FFFFFF"/>
        <w:rPr>
          <w:color w:val="2E2E2E"/>
          <w:lang w:val="es-CO" w:eastAsia="es-CO"/>
        </w:rPr>
      </w:pPr>
      <w:r w:rsidRPr="00F17584">
        <w:rPr>
          <w:color w:val="2E2E2E"/>
          <w:lang w:val="es-CO" w:eastAsia="es-CO"/>
        </w:rPr>
        <w:br/>
      </w:r>
    </w:p>
    <w:p w14:paraId="35524A62" w14:textId="77777777" w:rsidR="00F17584" w:rsidRPr="00F17584" w:rsidRDefault="00F17584" w:rsidP="00F17584">
      <w:pPr>
        <w:shd w:val="clear" w:color="auto" w:fill="FFFFFF"/>
        <w:rPr>
          <w:color w:val="2E2E2E"/>
          <w:lang w:val="es-CO" w:eastAsia="es-CO"/>
        </w:rPr>
      </w:pPr>
      <w:r w:rsidRPr="006F6AA1">
        <w:rPr>
          <w:b/>
          <w:bCs/>
          <w:color w:val="2E2E2E"/>
          <w:shd w:val="clear" w:color="auto" w:fill="F7CAAC" w:themeFill="accent2" w:themeFillTint="66"/>
          <w:lang w:val="es-CO" w:eastAsia="es-CO"/>
        </w:rPr>
        <w:t xml:space="preserve">Rmk 2: </w:t>
      </w:r>
      <w:r w:rsidRPr="006F6AA1">
        <w:rPr>
          <w:color w:val="2E2E2E"/>
          <w:shd w:val="clear" w:color="auto" w:fill="F7CAAC" w:themeFill="accent2" w:themeFillTint="66"/>
          <w:lang w:val="es-CO" w:eastAsia="es-CO"/>
        </w:rPr>
        <w:t>la metodología es la siguiente: se consideró la mortalidad a 28 días y 90 días (day-28 and day-90 mortality rate) para los 157 pacientes de la cohorte. Adicionalmente, se estimó la mortalidad a 90 días (90-day mortality) diferenciado según los pacientes que recibieren hydroxychloroquine y no los que no recibieron</w:t>
      </w:r>
      <w:r w:rsidRPr="00F17584">
        <w:rPr>
          <w:color w:val="2E2E2E"/>
          <w:lang w:val="es-CO" w:eastAsia="es-CO"/>
        </w:rPr>
        <w:t xml:space="preserve">. </w:t>
      </w:r>
    </w:p>
    <w:p w14:paraId="30FC5410" w14:textId="77777777" w:rsidR="00F17584" w:rsidRPr="00F17584" w:rsidRDefault="00F17584" w:rsidP="00F17584">
      <w:pPr>
        <w:shd w:val="clear" w:color="auto" w:fill="FFFFFF"/>
        <w:rPr>
          <w:color w:val="2E2E2E"/>
          <w:lang w:val="es-CO" w:eastAsia="es-CO"/>
        </w:rPr>
      </w:pPr>
      <w:r w:rsidRPr="00F17584">
        <w:rPr>
          <w:color w:val="2E2E2E"/>
          <w:lang w:val="es-CO" w:eastAsia="es-CO"/>
        </w:rPr>
        <w:br/>
      </w:r>
    </w:p>
    <w:p w14:paraId="5B31C812" w14:textId="77777777" w:rsidR="00F17584" w:rsidRPr="00F17584" w:rsidRDefault="00F17584" w:rsidP="00F17584">
      <w:pPr>
        <w:shd w:val="clear" w:color="auto" w:fill="FFFFFF"/>
        <w:rPr>
          <w:color w:val="2E2E2E"/>
          <w:lang w:val="es-CO" w:eastAsia="es-CO"/>
        </w:rPr>
      </w:pPr>
      <w:r w:rsidRPr="00F17584">
        <w:rPr>
          <w:color w:val="2E2E2E"/>
          <w:lang w:val="es-CO" w:eastAsia="es-CO"/>
        </w:rPr>
        <w:t>Nótese que, para verificar la asociación entre la terapia con hydroxychloroquine y la mortalidad, se emplea el análisis de supervivencia de Kaplan-Meier. El resultado es el siguiente: la estimación no-paramétrica de Kaplan-Meier muestra que no existe una asociación estadísticamente significativa entre la terapia con hydroxychloroquine (HCQ) y la mortalidad (log-rank o Mantel-Cox test con valor-p = 0.20).</w:t>
      </w:r>
    </w:p>
    <w:p w14:paraId="1FD547B6" w14:textId="77777777" w:rsidR="00F17584" w:rsidRPr="00F17584" w:rsidRDefault="00F17584" w:rsidP="00F17584">
      <w:pPr>
        <w:shd w:val="clear" w:color="auto" w:fill="FFFFFF"/>
        <w:rPr>
          <w:color w:val="2E2E2E"/>
          <w:lang w:val="es-CO" w:eastAsia="es-CO"/>
        </w:rPr>
      </w:pPr>
      <w:r w:rsidRPr="00F17584">
        <w:rPr>
          <w:color w:val="2E2E2E"/>
          <w:lang w:val="es-CO" w:eastAsia="es-CO"/>
        </w:rPr>
        <w:br/>
      </w:r>
    </w:p>
    <w:p w14:paraId="542CDD8B" w14:textId="77777777" w:rsidR="00F17584" w:rsidRPr="00F17584" w:rsidRDefault="00F17584" w:rsidP="00F17584">
      <w:pPr>
        <w:shd w:val="clear" w:color="auto" w:fill="FFFFFF"/>
        <w:rPr>
          <w:color w:val="2E2E2E"/>
          <w:lang w:val="es-CO" w:eastAsia="es-CO"/>
        </w:rPr>
      </w:pPr>
      <w:r w:rsidRPr="00F17584">
        <w:rPr>
          <w:b/>
          <w:bCs/>
          <w:color w:val="2E2E2E"/>
          <w:lang w:val="es-CO" w:eastAsia="es-CO"/>
        </w:rPr>
        <w:t xml:space="preserve">Rmk 3: </w:t>
      </w:r>
      <w:r w:rsidRPr="00F17584">
        <w:rPr>
          <w:color w:val="2E2E2E"/>
          <w:lang w:val="es-CO" w:eastAsia="es-CO"/>
        </w:rPr>
        <w:t xml:space="preserve">la curva de supervivencia estimada según el método de Kaplan-Meier es la siguiente: probabilidad de supervivencia (variable en la ordenada) y los días de seguimiento (variable de interés). </w:t>
      </w:r>
      <w:r w:rsidRPr="00F17584">
        <w:rPr>
          <w:color w:val="2E2E2E"/>
          <w:lang w:val="en-US" w:eastAsia="es-CO"/>
        </w:rPr>
        <w:t xml:space="preserve">El </w:t>
      </w:r>
      <w:proofErr w:type="spellStart"/>
      <w:r w:rsidRPr="00F17584">
        <w:rPr>
          <w:color w:val="2E2E2E"/>
          <w:lang w:val="en-US" w:eastAsia="es-CO"/>
        </w:rPr>
        <w:t>resultado</w:t>
      </w:r>
      <w:proofErr w:type="spellEnd"/>
      <w:r w:rsidRPr="00F17584">
        <w:rPr>
          <w:color w:val="2E2E2E"/>
          <w:lang w:val="en-US" w:eastAsia="es-CO"/>
        </w:rPr>
        <w:t xml:space="preserve"> es el </w:t>
      </w:r>
      <w:proofErr w:type="spellStart"/>
      <w:r w:rsidRPr="00F17584">
        <w:rPr>
          <w:color w:val="2E2E2E"/>
          <w:lang w:val="en-US" w:eastAsia="es-CO"/>
        </w:rPr>
        <w:t>siguiente</w:t>
      </w:r>
      <w:proofErr w:type="spellEnd"/>
      <w:r w:rsidRPr="00F17584">
        <w:rPr>
          <w:color w:val="2E2E2E"/>
          <w:lang w:val="en-US" w:eastAsia="es-CO"/>
        </w:rPr>
        <w:t>: Kaplan-Meier survival curves of propensity score matched patients with COVID 19 treated or not with hydroxychloroquine</w:t>
      </w:r>
      <w:r w:rsidRPr="006F6AA1">
        <w:rPr>
          <w:color w:val="2E2E2E"/>
          <w:shd w:val="clear" w:color="auto" w:fill="F7CAAC" w:themeFill="accent2" w:themeFillTint="66"/>
          <w:lang w:val="en-US" w:eastAsia="es-CO"/>
        </w:rPr>
        <w:t xml:space="preserve">. Kaplan-Meier curves are presented before (panel A) and after (panel B) matching patients receiving HCQ or standard of care (No HCQ). </w:t>
      </w:r>
      <w:r w:rsidRPr="006F6AA1">
        <w:rPr>
          <w:color w:val="2E2E2E"/>
          <w:shd w:val="clear" w:color="auto" w:fill="F7CAAC" w:themeFill="accent2" w:themeFillTint="66"/>
          <w:lang w:val="es-CO" w:eastAsia="es-CO"/>
        </w:rPr>
        <w:t>COVID-19, coronavirus disease 2019; HCQ, hydroxychloroquine</w:t>
      </w:r>
    </w:p>
    <w:p w14:paraId="583C01D3" w14:textId="5B0D0D9E" w:rsidR="00F17584" w:rsidRPr="00F17584" w:rsidRDefault="00F17584" w:rsidP="00F17584">
      <w:pPr>
        <w:shd w:val="clear" w:color="auto" w:fill="FFFFFF"/>
        <w:rPr>
          <w:color w:val="2E2E2E"/>
          <w:lang w:val="es-CO" w:eastAsia="es-CO"/>
        </w:rPr>
      </w:pPr>
    </w:p>
    <w:p w14:paraId="111EDDD0" w14:textId="77777777" w:rsidR="00F17584" w:rsidRPr="00F17584" w:rsidRDefault="00F17584" w:rsidP="00F17584">
      <w:pPr>
        <w:shd w:val="clear" w:color="auto" w:fill="FFFFFF"/>
        <w:rPr>
          <w:color w:val="2E2E2E"/>
          <w:lang w:val="es-CO" w:eastAsia="es-CO"/>
        </w:rPr>
      </w:pPr>
      <w:r w:rsidRPr="00F17584">
        <w:rPr>
          <w:color w:val="2E2E2E"/>
          <w:lang w:val="es-CO" w:eastAsia="es-CO"/>
        </w:rPr>
        <w:t>Nótese que esto implica, entre otras cosas, que:</w:t>
      </w:r>
    </w:p>
    <w:p w14:paraId="68302617" w14:textId="6553CDDA" w:rsidR="00F17584" w:rsidRPr="00F17584" w:rsidRDefault="00F17584" w:rsidP="00F17584">
      <w:pPr>
        <w:shd w:val="clear" w:color="auto" w:fill="FFFFFF"/>
        <w:rPr>
          <w:color w:val="2E2E2E"/>
          <w:lang w:val="es-CO" w:eastAsia="es-CO"/>
        </w:rPr>
      </w:pPr>
    </w:p>
    <w:p w14:paraId="1A321CAB" w14:textId="77777777" w:rsidR="00F17584" w:rsidRPr="00F17584" w:rsidRDefault="00F17584" w:rsidP="006F6AA1">
      <w:pPr>
        <w:shd w:val="clear" w:color="auto" w:fill="F7CAAC" w:themeFill="accent2" w:themeFillTint="66"/>
        <w:rPr>
          <w:color w:val="2E2E2E"/>
          <w:lang w:val="en-US" w:eastAsia="es-CO"/>
        </w:rPr>
      </w:pPr>
      <w:r w:rsidRPr="00F17584">
        <w:rPr>
          <w:color w:val="2E2E2E"/>
          <w:lang w:val="en-US" w:eastAsia="es-CO"/>
        </w:rPr>
        <w:t>Since patients were not randomly assigned to receive HCQ, propensity score matching (19) was used to compare similar patient population receiving or not HCQ. The sample size was determined by the number of eligible patients admitted to ICU during the study period. We compared groups by intention-to-treat analysis, regardless of the discontinuation of HCQ during follow-up. There was no imputation for missing data. Covariates presumed to be associated with both the decision of HCQ therapy and outcomes or unbalanced between groups were used to build the propensity score (i.e., age, sex, chronic renal and cardiac diseases, ARDS, duration of symptoms before admission and SOFA score). The nearest neighbor method with a caliper of 0.2 was applied to create a matched cohort of HCQ-treated and untreated patients</w:t>
      </w:r>
    </w:p>
    <w:p w14:paraId="0F829D92" w14:textId="77777777" w:rsidR="00F17584" w:rsidRPr="00F17584" w:rsidRDefault="00F17584" w:rsidP="006F6AA1">
      <w:pPr>
        <w:shd w:val="clear" w:color="auto" w:fill="F7CAAC" w:themeFill="accent2" w:themeFillTint="66"/>
        <w:rPr>
          <w:color w:val="2E2E2E"/>
          <w:lang w:val="en-US" w:eastAsia="es-CO"/>
        </w:rPr>
      </w:pPr>
      <w:r w:rsidRPr="00F17584">
        <w:rPr>
          <w:color w:val="2E2E2E"/>
          <w:lang w:val="en-US" w:eastAsia="es-CO"/>
        </w:rPr>
        <w:br/>
      </w:r>
    </w:p>
    <w:p w14:paraId="20E3AE87" w14:textId="557A1180" w:rsidR="00F17584" w:rsidRDefault="00F17584" w:rsidP="006F6AA1">
      <w:pPr>
        <w:shd w:val="clear" w:color="auto" w:fill="F7CAAC" w:themeFill="accent2" w:themeFillTint="66"/>
        <w:rPr>
          <w:color w:val="2E2E2E"/>
          <w:lang w:val="en-US" w:eastAsia="es-CO"/>
        </w:rPr>
      </w:pPr>
      <w:r w:rsidRPr="00F17584">
        <w:rPr>
          <w:color w:val="2E2E2E"/>
          <w:lang w:val="en-US" w:eastAsia="es-CO"/>
        </w:rPr>
        <w:lastRenderedPageBreak/>
        <w:t>Survival curves among propensity-matched patients were constructed using Kaplan Meier estimates with comparison between curves based on the log-rank test</w:t>
      </w:r>
    </w:p>
    <w:p w14:paraId="46FE3CAF" w14:textId="226ACF9B" w:rsidR="00536BB9" w:rsidRDefault="00536BB9" w:rsidP="00F17584">
      <w:pPr>
        <w:shd w:val="clear" w:color="auto" w:fill="FFFFFF"/>
        <w:rPr>
          <w:color w:val="2E2E2E"/>
          <w:lang w:val="en-US" w:eastAsia="es-CO"/>
        </w:rPr>
      </w:pPr>
    </w:p>
    <w:p w14:paraId="03AFBB8E" w14:textId="77777777" w:rsidR="00536BB9" w:rsidRPr="00536BB9" w:rsidRDefault="00536BB9" w:rsidP="00536BB9">
      <w:pPr>
        <w:pStyle w:val="ListParagraph"/>
        <w:numPr>
          <w:ilvl w:val="0"/>
          <w:numId w:val="21"/>
        </w:numPr>
        <w:shd w:val="clear" w:color="auto" w:fill="FFFFFF"/>
        <w:rPr>
          <w:rFonts w:ascii="Times New Roman" w:eastAsia="Times New Roman" w:hAnsi="Times New Roman" w:cs="Times New Roman"/>
          <w:color w:val="2E2E2E"/>
          <w:sz w:val="24"/>
          <w:szCs w:val="24"/>
          <w:lang w:val="en-US" w:eastAsia="es-CO"/>
        </w:rPr>
      </w:pPr>
      <w:r w:rsidRPr="00D26E63">
        <w:rPr>
          <w:rFonts w:ascii="Arial" w:hAnsi="Arial" w:cs="Arial"/>
          <w:b/>
          <w:bCs/>
          <w:color w:val="2E2E2E"/>
          <w:sz w:val="21"/>
          <w:szCs w:val="21"/>
          <w:shd w:val="clear" w:color="auto" w:fill="FFFFFF"/>
          <w:lang w:val="en-US"/>
        </w:rPr>
        <w:t xml:space="preserve"> </w:t>
      </w:r>
      <w:r w:rsidRPr="00536BB9">
        <w:rPr>
          <w:rFonts w:ascii="Arial" w:hAnsi="Arial" w:cs="Arial"/>
          <w:b/>
          <w:bCs/>
          <w:color w:val="2E2E2E"/>
          <w:sz w:val="21"/>
          <w:szCs w:val="21"/>
          <w:shd w:val="clear" w:color="auto" w:fill="FFFFFF"/>
        </w:rPr>
        <w:t>López-</w:t>
      </w:r>
      <w:proofErr w:type="spellStart"/>
      <w:r w:rsidRPr="00536BB9">
        <w:rPr>
          <w:rFonts w:ascii="Arial" w:hAnsi="Arial" w:cs="Arial"/>
          <w:b/>
          <w:bCs/>
          <w:color w:val="2E2E2E"/>
          <w:sz w:val="21"/>
          <w:szCs w:val="21"/>
          <w:shd w:val="clear" w:color="auto" w:fill="FFFFFF"/>
        </w:rPr>
        <w:t>Cheda</w:t>
      </w:r>
      <w:proofErr w:type="spellEnd"/>
      <w:r w:rsidRPr="00536BB9">
        <w:rPr>
          <w:rFonts w:ascii="Arial" w:hAnsi="Arial" w:cs="Arial"/>
          <w:b/>
          <w:bCs/>
          <w:color w:val="2E2E2E"/>
          <w:sz w:val="21"/>
          <w:szCs w:val="21"/>
          <w:shd w:val="clear" w:color="auto" w:fill="FFFFFF"/>
        </w:rPr>
        <w:t xml:space="preserve"> A, Jácome M-A, Cao R, De Salazar PM (2021). </w:t>
      </w:r>
      <w:r w:rsidRPr="00536BB9">
        <w:rPr>
          <w:rFonts w:ascii="Arial" w:hAnsi="Arial" w:cs="Arial"/>
          <w:b/>
          <w:bCs/>
          <w:color w:val="2E2E2E"/>
          <w:sz w:val="21"/>
          <w:szCs w:val="21"/>
          <w:shd w:val="clear" w:color="auto" w:fill="FFFFFF"/>
          <w:lang w:val="en-US"/>
        </w:rPr>
        <w:t xml:space="preserve">Estimating lengths-of-stay of </w:t>
      </w:r>
      <w:proofErr w:type="spellStart"/>
      <w:r w:rsidRPr="00536BB9">
        <w:rPr>
          <w:rFonts w:ascii="Arial" w:hAnsi="Arial" w:cs="Arial"/>
          <w:b/>
          <w:bCs/>
          <w:color w:val="2E2E2E"/>
          <w:sz w:val="21"/>
          <w:szCs w:val="21"/>
          <w:shd w:val="clear" w:color="auto" w:fill="FFFFFF"/>
          <w:lang w:val="en-US"/>
        </w:rPr>
        <w:t>hospitalised</w:t>
      </w:r>
      <w:proofErr w:type="spellEnd"/>
      <w:r w:rsidRPr="00536BB9">
        <w:rPr>
          <w:rFonts w:ascii="Arial" w:hAnsi="Arial" w:cs="Arial"/>
          <w:b/>
          <w:bCs/>
          <w:color w:val="2E2E2E"/>
          <w:sz w:val="21"/>
          <w:szCs w:val="21"/>
          <w:shd w:val="clear" w:color="auto" w:fill="FFFFFF"/>
          <w:lang w:val="en-US"/>
        </w:rPr>
        <w:t xml:space="preserve"> COVID-19 patients using a non-parametric model: a case study in Galicia (Spain). </w:t>
      </w:r>
      <w:proofErr w:type="spellStart"/>
      <w:r w:rsidRPr="00536BB9">
        <w:rPr>
          <w:rFonts w:ascii="Arial" w:hAnsi="Arial" w:cs="Arial"/>
          <w:b/>
          <w:bCs/>
          <w:color w:val="2E2E2E"/>
          <w:sz w:val="21"/>
          <w:szCs w:val="21"/>
          <w:shd w:val="clear" w:color="auto" w:fill="FFFFFF"/>
        </w:rPr>
        <w:t>Epidemiology</w:t>
      </w:r>
      <w:proofErr w:type="spellEnd"/>
      <w:r w:rsidRPr="00536BB9">
        <w:rPr>
          <w:rFonts w:ascii="Arial" w:hAnsi="Arial" w:cs="Arial"/>
          <w:b/>
          <w:bCs/>
          <w:color w:val="2E2E2E"/>
          <w:sz w:val="21"/>
          <w:szCs w:val="21"/>
          <w:shd w:val="clear" w:color="auto" w:fill="FFFFFF"/>
        </w:rPr>
        <w:t xml:space="preserve"> and </w:t>
      </w:r>
      <w:proofErr w:type="spellStart"/>
      <w:r w:rsidRPr="00536BB9">
        <w:rPr>
          <w:rFonts w:ascii="Arial" w:hAnsi="Arial" w:cs="Arial"/>
          <w:b/>
          <w:bCs/>
          <w:color w:val="2E2E2E"/>
          <w:sz w:val="21"/>
          <w:szCs w:val="21"/>
          <w:shd w:val="clear" w:color="auto" w:fill="FFFFFF"/>
        </w:rPr>
        <w:t>Infection</w:t>
      </w:r>
      <w:proofErr w:type="spellEnd"/>
      <w:r w:rsidRPr="00536BB9">
        <w:rPr>
          <w:rFonts w:ascii="Arial" w:hAnsi="Arial" w:cs="Arial"/>
          <w:b/>
          <w:bCs/>
          <w:color w:val="2E2E2E"/>
          <w:sz w:val="21"/>
          <w:szCs w:val="21"/>
          <w:shd w:val="clear" w:color="auto" w:fill="FFFFFF"/>
        </w:rPr>
        <w:t xml:space="preserve"> 149, e102, 1–8. 1. </w:t>
      </w:r>
    </w:p>
    <w:p w14:paraId="21664013"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A0DBD7D" w14:textId="1538580F"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Contexto: </w:t>
      </w:r>
      <w:r w:rsidRPr="00536BB9">
        <w:rPr>
          <w:rFonts w:ascii="Arial" w:hAnsi="Arial" w:cs="Arial"/>
          <w:color w:val="2E2E2E"/>
          <w:sz w:val="21"/>
          <w:szCs w:val="21"/>
          <w:shd w:val="clear" w:color="auto" w:fill="FFFFFF"/>
        </w:rPr>
        <w:t>en la medida en que avanza la pandemia, las presiones negativas sobre los sistemas de salud han tenido consecuencias críticas sobre la mortalidad de la enfermedad. Por tanto, entender el tiempo de espera y la demanda de cuidados intensivos constituye uno de los principales componentes para tomar decisiones y adoptar planes contingentes. Existen datos censurados porque el estudio termina antes de que el paciente deje el hospital. Como señala López-</w:t>
      </w:r>
      <w:proofErr w:type="spellStart"/>
      <w:r w:rsidRPr="00536BB9">
        <w:rPr>
          <w:rFonts w:ascii="Arial" w:hAnsi="Arial" w:cs="Arial"/>
          <w:color w:val="2E2E2E"/>
          <w:sz w:val="21"/>
          <w:szCs w:val="21"/>
          <w:shd w:val="clear" w:color="auto" w:fill="FFFFFF"/>
        </w:rPr>
        <w:t>Cheda</w:t>
      </w:r>
      <w:proofErr w:type="spellEnd"/>
      <w:r w:rsidRPr="00536BB9">
        <w:rPr>
          <w:rFonts w:ascii="Arial" w:hAnsi="Arial" w:cs="Arial"/>
          <w:color w:val="2E2E2E"/>
          <w:sz w:val="21"/>
          <w:szCs w:val="21"/>
          <w:shd w:val="clear" w:color="auto" w:fill="FFFFFF"/>
        </w:rPr>
        <w:t xml:space="preserve">, el tiempo de permanencia de pacientes por COVID-19 ha sido estudiado a partir de </w:t>
      </w:r>
    </w:p>
    <w:p w14:paraId="2408B3AB" w14:textId="77777777" w:rsidR="00536BB9" w:rsidRDefault="00536BB9" w:rsidP="00D26E63">
      <w:pPr>
        <w:shd w:val="clear" w:color="auto" w:fill="FFFFFF"/>
        <w:rPr>
          <w:rFonts w:ascii="Arial" w:hAnsi="Arial" w:cs="Arial"/>
          <w:b/>
          <w:bCs/>
          <w:color w:val="2E2E2E"/>
          <w:sz w:val="21"/>
          <w:szCs w:val="21"/>
          <w:shd w:val="clear" w:color="auto" w:fill="FFFFFF"/>
          <w:lang w:val="en-US"/>
        </w:rPr>
      </w:pPr>
    </w:p>
    <w:p w14:paraId="73CF3F62" w14:textId="77777777" w:rsidR="00536BB9" w:rsidRDefault="00536BB9" w:rsidP="00536BB9">
      <w:pPr>
        <w:pStyle w:val="ListParagraph"/>
        <w:numPr>
          <w:ilvl w:val="0"/>
          <w:numId w:val="26"/>
        </w:numPr>
        <w:shd w:val="clear" w:color="auto" w:fill="FFFFFF"/>
        <w:rPr>
          <w:rFonts w:ascii="Arial" w:hAnsi="Arial" w:cs="Arial"/>
          <w:color w:val="2E2E2E"/>
          <w:sz w:val="21"/>
          <w:szCs w:val="21"/>
          <w:shd w:val="clear" w:color="auto" w:fill="FFFFFF"/>
          <w:lang w:val="en-US"/>
        </w:rPr>
      </w:pPr>
      <w:r w:rsidRPr="00536BB9">
        <w:rPr>
          <w:rFonts w:ascii="Arial" w:hAnsi="Arial" w:cs="Arial"/>
          <w:b/>
          <w:bCs/>
          <w:color w:val="2E2E2E"/>
          <w:sz w:val="21"/>
          <w:szCs w:val="21"/>
          <w:shd w:val="clear" w:color="auto" w:fill="FFFFFF"/>
          <w:lang w:val="es-CO"/>
        </w:rPr>
        <w:t xml:space="preserve">Estimaciones no-paramétricas: Grasell et al. </w:t>
      </w:r>
      <w:r w:rsidRPr="00536BB9">
        <w:rPr>
          <w:rFonts w:ascii="Arial" w:hAnsi="Arial" w:cs="Arial"/>
          <w:b/>
          <w:bCs/>
          <w:color w:val="2E2E2E"/>
          <w:sz w:val="21"/>
          <w:szCs w:val="21"/>
          <w:shd w:val="clear" w:color="auto" w:fill="FFFFFF"/>
          <w:lang w:val="en-US"/>
        </w:rPr>
        <w:t>(2020). Critical Care Utilization for the COVID-19 Outbreak in Lombardy. Wang et al. (2020). Survival Analysis of hospital length of stay of novel coronavirus.</w:t>
      </w:r>
      <w:r w:rsidRPr="00536BB9">
        <w:rPr>
          <w:rFonts w:ascii="Arial" w:hAnsi="Arial" w:cs="Arial"/>
          <w:color w:val="2E2E2E"/>
          <w:sz w:val="21"/>
          <w:szCs w:val="21"/>
          <w:shd w:val="clear" w:color="auto" w:fill="FFFFFF"/>
          <w:lang w:val="en-US"/>
        </w:rPr>
        <w:t xml:space="preserve"> </w:t>
      </w:r>
    </w:p>
    <w:p w14:paraId="7EB50E7F" w14:textId="77777777" w:rsidR="00536BB9" w:rsidRDefault="00536BB9" w:rsidP="00536BB9">
      <w:pPr>
        <w:pStyle w:val="ListParagraph"/>
        <w:shd w:val="clear" w:color="auto" w:fill="FFFFFF"/>
        <w:rPr>
          <w:rFonts w:ascii="Arial" w:hAnsi="Arial" w:cs="Arial"/>
          <w:color w:val="2E2E2E"/>
          <w:sz w:val="21"/>
          <w:szCs w:val="21"/>
          <w:shd w:val="clear" w:color="auto" w:fill="FFFFFF"/>
          <w:lang w:val="en-US"/>
        </w:rPr>
      </w:pPr>
    </w:p>
    <w:p w14:paraId="57C55C7B"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Nótese que el estimador de Kaplan-Meier es el estimador no-paramétrico usado con mayor frecuencia. Se supone que todos los pacientes con resultados faltantes experimentan el evento al final. El supuesto no funciona con el tiempo de permanencia de los pacientes en Hospital Ward hasta que algún resultado potencial (UCI o muerte) sea el caso. No funciona en la medida en que no todos los pacientes alcanzarán el evento específico. El estimador de Kaplan-Meier no se puede usar para estimar el tiempo de permanencia para este último caso. De manera alternativa, se proponen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los cuales representan las situaciones en que una proporción de individuos no experimentan el evento que será analizado. </w:t>
      </w:r>
    </w:p>
    <w:p w14:paraId="5E59DB7A"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07E1858" w14:textId="77777777"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Objetivo: </w:t>
      </w:r>
      <w:r w:rsidRPr="00536BB9">
        <w:rPr>
          <w:rFonts w:ascii="Arial" w:hAnsi="Arial" w:cs="Arial"/>
          <w:color w:val="2E2E2E"/>
          <w:sz w:val="21"/>
          <w:szCs w:val="21"/>
          <w:shd w:val="clear" w:color="auto" w:fill="FFFFFF"/>
        </w:rPr>
        <w:t xml:space="preserve">Se propone una estrategia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proofErr w:type="spellStart"/>
      <w:r w:rsidRPr="00536BB9">
        <w:rPr>
          <w:rFonts w:ascii="Arial" w:hAnsi="Arial" w:cs="Arial"/>
          <w:color w:val="2E2E2E"/>
          <w:sz w:val="21"/>
          <w:szCs w:val="21"/>
          <w:shd w:val="clear" w:color="auto" w:fill="FFFFFF"/>
        </w:rPr>
        <w:t>odos</w:t>
      </w:r>
      <w:proofErr w:type="spellEnd"/>
      <w:r w:rsidRPr="00536BB9">
        <w:rPr>
          <w:rFonts w:ascii="Arial" w:hAnsi="Arial" w:cs="Arial"/>
          <w:color w:val="2E2E2E"/>
          <w:sz w:val="21"/>
          <w:szCs w:val="21"/>
          <w:shd w:val="clear" w:color="auto" w:fill="FFFFFF"/>
        </w:rPr>
        <w:t xml:space="preserve"> los pacientes. Se consideran los siguientes 5 tiempos de permanencia:</w:t>
      </w:r>
    </w:p>
    <w:p w14:paraId="609C574E" w14:textId="5C355CED" w:rsidR="00536BB9" w:rsidRDefault="00536BB9" w:rsidP="00D31D97">
      <w:pPr>
        <w:shd w:val="clear" w:color="auto" w:fill="FFFFFF"/>
        <w:ind w:left="720" w:hanging="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 </w:t>
      </w:r>
      <w:r w:rsidRPr="00536BB9">
        <w:rPr>
          <w:rFonts w:ascii="Arial" w:hAnsi="Arial" w:cs="Arial"/>
          <w:b/>
          <w:bCs/>
          <w:color w:val="2E2E2E"/>
          <w:sz w:val="21"/>
          <w:szCs w:val="21"/>
          <w:shd w:val="clear" w:color="auto" w:fill="FFFFFF"/>
        </w:rPr>
        <w:t xml:space="preserve">a. Tiempo de permanencia en hospital </w:t>
      </w:r>
      <w:proofErr w:type="spellStart"/>
      <w:r w:rsidRPr="00536BB9">
        <w:rPr>
          <w:rFonts w:ascii="Arial" w:hAnsi="Arial" w:cs="Arial"/>
          <w:b/>
          <w:bCs/>
          <w:color w:val="2E2E2E"/>
          <w:sz w:val="21"/>
          <w:szCs w:val="21"/>
          <w:shd w:val="clear" w:color="auto" w:fill="FFFFFF"/>
        </w:rPr>
        <w:t>ward</w:t>
      </w:r>
      <w:proofErr w:type="spellEnd"/>
      <w:r w:rsidRPr="00536BB9">
        <w:rPr>
          <w:rFonts w:ascii="Arial" w:hAnsi="Arial" w:cs="Arial"/>
          <w:b/>
          <w:bCs/>
          <w:color w:val="2E2E2E"/>
          <w:sz w:val="21"/>
          <w:szCs w:val="21"/>
          <w:shd w:val="clear" w:color="auto" w:fill="FFFFFF"/>
        </w:rPr>
        <w:t xml:space="preserve"> </w:t>
      </w:r>
      <w:proofErr w:type="spellStart"/>
      <w:r w:rsidRPr="00536BB9">
        <w:rPr>
          <w:rFonts w:ascii="Arial" w:hAnsi="Arial" w:cs="Arial"/>
          <w:b/>
          <w:bCs/>
          <w:color w:val="2E2E2E"/>
          <w:sz w:val="21"/>
          <w:szCs w:val="21"/>
          <w:shd w:val="clear" w:color="auto" w:fill="FFFFFF"/>
        </w:rPr>
        <w:t>hast</w:t>
      </w:r>
      <w:r w:rsidR="00D31D97">
        <w:rPr>
          <w:rFonts w:ascii="Arial" w:hAnsi="Arial" w:cs="Arial"/>
          <w:b/>
          <w:bCs/>
          <w:color w:val="2E2E2E"/>
          <w:sz w:val="21"/>
          <w:szCs w:val="21"/>
          <w:shd w:val="clear" w:color="auto" w:fill="FFFFFF"/>
        </w:rPr>
        <w:t>VAP</w:t>
      </w:r>
      <w:r w:rsidRPr="00536BB9">
        <w:rPr>
          <w:rFonts w:ascii="Arial" w:hAnsi="Arial" w:cs="Arial"/>
          <w:b/>
          <w:bCs/>
          <w:color w:val="2E2E2E"/>
          <w:sz w:val="21"/>
          <w:szCs w:val="21"/>
          <w:shd w:val="clear" w:color="auto" w:fill="FFFFFF"/>
        </w:rPr>
        <w:t>a</w:t>
      </w:r>
      <w:proofErr w:type="spellEnd"/>
      <w:r w:rsidRPr="00536BB9">
        <w:rPr>
          <w:rFonts w:ascii="Arial" w:hAnsi="Arial" w:cs="Arial"/>
          <w:b/>
          <w:bCs/>
          <w:color w:val="2E2E2E"/>
          <w:sz w:val="21"/>
          <w:szCs w:val="21"/>
          <w:shd w:val="clear" w:color="auto" w:fill="FFFFFF"/>
        </w:rPr>
        <w:t xml:space="preserve"> UCI. </w:t>
      </w:r>
    </w:p>
    <w:p w14:paraId="49E1E516"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b. Tiempo de </w:t>
      </w:r>
      <w:proofErr w:type="spellStart"/>
      <w:r w:rsidRPr="00536BB9">
        <w:rPr>
          <w:rFonts w:ascii="Arial" w:hAnsi="Arial" w:cs="Arial"/>
          <w:b/>
          <w:bCs/>
          <w:color w:val="2E2E2E"/>
          <w:sz w:val="21"/>
          <w:szCs w:val="21"/>
          <w:shd w:val="clear" w:color="auto" w:fill="FFFFFF"/>
        </w:rPr>
        <w:t>permamencia</w:t>
      </w:r>
      <w:proofErr w:type="spellEnd"/>
      <w:r w:rsidRPr="00536BB9">
        <w:rPr>
          <w:rFonts w:ascii="Arial" w:hAnsi="Arial" w:cs="Arial"/>
          <w:b/>
          <w:bCs/>
          <w:color w:val="2E2E2E"/>
          <w:sz w:val="21"/>
          <w:szCs w:val="21"/>
          <w:shd w:val="clear" w:color="auto" w:fill="FFFFFF"/>
        </w:rPr>
        <w:t xml:space="preserve"> en HW hasta salida completa.</w:t>
      </w:r>
    </w:p>
    <w:p w14:paraId="77B9C946" w14:textId="1FCE997A"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 c. Tiempo de permanencia en HW hasta muerte en HW. d. </w:t>
      </w:r>
      <w:proofErr w:type="spellStart"/>
      <w:r w:rsidRPr="00536BB9">
        <w:rPr>
          <w:rFonts w:ascii="Arial" w:hAnsi="Arial" w:cs="Arial"/>
          <w:b/>
          <w:bCs/>
          <w:color w:val="2E2E2E"/>
          <w:sz w:val="21"/>
          <w:szCs w:val="21"/>
          <w:shd w:val="clear" w:color="auto" w:fill="FFFFFF"/>
        </w:rPr>
        <w:t>Tiemp</w:t>
      </w:r>
      <w:proofErr w:type="spellEnd"/>
      <w:r w:rsidRPr="00536BB9">
        <w:rPr>
          <w:rFonts w:ascii="Arial" w:hAnsi="Arial" w:cs="Arial"/>
          <w:b/>
          <w:bCs/>
          <w:color w:val="2E2E2E"/>
          <w:sz w:val="21"/>
          <w:szCs w:val="21"/>
          <w:shd w:val="clear" w:color="auto" w:fill="FFFFFF"/>
        </w:rPr>
        <w:t xml:space="preserve"> de permanencia en UCI hasta descarga e. Tiempo de permanencia en UCI has</w:t>
      </w:r>
      <w:r w:rsidR="006C4B37">
        <w:rPr>
          <w:rFonts w:ascii="Arial" w:hAnsi="Arial" w:cs="Arial"/>
          <w:b/>
          <w:bCs/>
          <w:color w:val="2E2E2E"/>
          <w:sz w:val="21"/>
          <w:szCs w:val="21"/>
          <w:shd w:val="clear" w:color="auto" w:fill="FFFFFF"/>
        </w:rPr>
        <w:t>t</w:t>
      </w:r>
      <w:r w:rsidRPr="00536BB9">
        <w:rPr>
          <w:rFonts w:ascii="Arial" w:hAnsi="Arial" w:cs="Arial"/>
          <w:b/>
          <w:bCs/>
          <w:color w:val="2E2E2E"/>
          <w:sz w:val="21"/>
          <w:szCs w:val="21"/>
          <w:shd w:val="clear" w:color="auto" w:fill="FFFFFF"/>
        </w:rPr>
        <w:t>a muer</w:t>
      </w:r>
      <w:r w:rsidR="006C4B37">
        <w:rPr>
          <w:rFonts w:ascii="Arial" w:hAnsi="Arial" w:cs="Arial"/>
          <w:b/>
          <w:bCs/>
          <w:color w:val="2E2E2E"/>
          <w:sz w:val="21"/>
          <w:szCs w:val="21"/>
          <w:shd w:val="clear" w:color="auto" w:fill="FFFFFF"/>
        </w:rPr>
        <w:t>te</w:t>
      </w:r>
    </w:p>
    <w:p w14:paraId="38615256"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76AB3277" w14:textId="5D57085A" w:rsidR="00536BB9" w:rsidRP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Metodología: </w:t>
      </w:r>
      <w:r w:rsidRPr="00536BB9">
        <w:rPr>
          <w:rFonts w:ascii="Arial" w:hAnsi="Arial" w:cs="Arial"/>
          <w:color w:val="2E2E2E"/>
          <w:sz w:val="21"/>
          <w:szCs w:val="21"/>
          <w:shd w:val="clear" w:color="auto" w:fill="FFFFFF"/>
        </w:rPr>
        <w:t xml:space="preserve">el método consiste en </w:t>
      </w:r>
      <w:r w:rsidR="007D2098" w:rsidRPr="00536BB9">
        <w:rPr>
          <w:rFonts w:ascii="Arial" w:hAnsi="Arial" w:cs="Arial"/>
          <w:color w:val="2E2E2E"/>
          <w:sz w:val="21"/>
          <w:szCs w:val="21"/>
          <w:shd w:val="clear" w:color="auto" w:fill="FFFFFF"/>
        </w:rPr>
        <w:t>una estimación</w:t>
      </w:r>
      <w:r w:rsidRPr="00536BB9">
        <w:rPr>
          <w:rFonts w:ascii="Arial" w:hAnsi="Arial" w:cs="Arial"/>
          <w:color w:val="2E2E2E"/>
          <w:sz w:val="21"/>
          <w:szCs w:val="21"/>
          <w:shd w:val="clear" w:color="auto" w:fill="FFFFFF"/>
        </w:rPr>
        <w:t xml:space="preserve">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r>
        <w:rPr>
          <w:rFonts w:ascii="Arial" w:hAnsi="Arial" w:cs="Arial"/>
          <w:color w:val="2E2E2E"/>
          <w:sz w:val="21"/>
          <w:szCs w:val="21"/>
          <w:shd w:val="clear" w:color="auto" w:fill="FFFFFF"/>
        </w:rPr>
        <w:t>t</w:t>
      </w:r>
      <w:r w:rsidRPr="00536BB9">
        <w:rPr>
          <w:rFonts w:ascii="Arial" w:hAnsi="Arial" w:cs="Arial"/>
          <w:color w:val="2E2E2E"/>
          <w:sz w:val="21"/>
          <w:szCs w:val="21"/>
          <w:shd w:val="clear" w:color="auto" w:fill="FFFFFF"/>
        </w:rPr>
        <w:t xml:space="preserve">odos los pacientes. Nótese que, entre los cinco tiempos de permanencia considerados, el estimador de Kaplan-Meier no será sesgado si la variable de interés es el tiempo de permanencia hasta la descarga si la descarga del paciente se considera como un evento compuesto (por ejemplo, si se considera la muerte o el ser dado de alto como un único evento). La utilidad de ese tiempo de permanencia radica en analizar la demanda de recursos de cuidados intensivos, pero los demás tiempos de permanencia podrían ser útiles para analizar la probabilidad </w:t>
      </w:r>
      <w:proofErr w:type="spellStart"/>
      <w:r w:rsidRPr="00536BB9">
        <w:rPr>
          <w:rFonts w:ascii="Arial" w:hAnsi="Arial" w:cs="Arial"/>
          <w:color w:val="2E2E2E"/>
          <w:sz w:val="21"/>
          <w:szCs w:val="21"/>
          <w:shd w:val="clear" w:color="auto" w:fill="FFFFFF"/>
        </w:rPr>
        <w:t>conidiconal</w:t>
      </w:r>
      <w:proofErr w:type="spellEnd"/>
      <w:r w:rsidRPr="00536BB9">
        <w:rPr>
          <w:rFonts w:ascii="Arial" w:hAnsi="Arial" w:cs="Arial"/>
          <w:color w:val="2E2E2E"/>
          <w:sz w:val="21"/>
          <w:szCs w:val="21"/>
          <w:shd w:val="clear" w:color="auto" w:fill="FFFFFF"/>
        </w:rPr>
        <w:t xml:space="preserve"> de que un paciente </w:t>
      </w:r>
      <w:proofErr w:type="spellStart"/>
      <w:r w:rsidRPr="00536BB9">
        <w:rPr>
          <w:rFonts w:ascii="Arial" w:hAnsi="Arial" w:cs="Arial"/>
          <w:color w:val="2E2E2E"/>
          <w:sz w:val="21"/>
          <w:szCs w:val="21"/>
          <w:shd w:val="clear" w:color="auto" w:fill="FFFFFF"/>
        </w:rPr>
        <w:t>experiemente</w:t>
      </w:r>
      <w:proofErr w:type="spellEnd"/>
      <w:r w:rsidRPr="00536BB9">
        <w:rPr>
          <w:rFonts w:ascii="Arial" w:hAnsi="Arial" w:cs="Arial"/>
          <w:color w:val="2E2E2E"/>
          <w:sz w:val="21"/>
          <w:szCs w:val="21"/>
          <w:shd w:val="clear" w:color="auto" w:fill="FFFFFF"/>
        </w:rPr>
        <w:t xml:space="preserve"> cada uno de los eventos de acuerdo con el tiempo de permanencia observado. (Esta es la utilidad del modelo NP-MCM) Así, la investigación compara el desempeño del estimador de Kaplan-Meier con el NP-MCM, así como el estimador empírico que descarta todas las observaciones que no han experimentado el evento durante las primeras semanas de la pandemia en España. (Para el tratamiento formal del modelo, véase los apuntes).</w:t>
      </w:r>
    </w:p>
    <w:p w14:paraId="38F8E917" w14:textId="27B0753E" w:rsidR="0064248D" w:rsidRPr="00D26E63" w:rsidRDefault="0064248D" w:rsidP="00F17584">
      <w:pPr>
        <w:shd w:val="clear" w:color="auto" w:fill="FFFFFF"/>
        <w:rPr>
          <w:color w:val="2E2E2E"/>
          <w:lang w:val="es-ES" w:eastAsia="es-CO"/>
        </w:rPr>
      </w:pPr>
    </w:p>
    <w:p w14:paraId="70E19236" w14:textId="73F0D852" w:rsidR="00D26E63" w:rsidRDefault="00D26E63" w:rsidP="00D26E63">
      <w:pPr>
        <w:pStyle w:val="ListParagraph"/>
        <w:ind w:left="10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MÉTODOS</w:t>
      </w:r>
      <w:r w:rsidRPr="007D2098">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SEMI</w:t>
      </w:r>
      <w:r w:rsidRPr="007D2098">
        <w:rPr>
          <w:rFonts w:ascii="Times New Roman" w:eastAsia="Times New Roman" w:hAnsi="Times New Roman" w:cs="Times New Roman"/>
          <w:b/>
          <w:sz w:val="40"/>
          <w:szCs w:val="40"/>
        </w:rPr>
        <w:t>-PARAMÉTRIC</w:t>
      </w:r>
      <w:r>
        <w:rPr>
          <w:rFonts w:ascii="Times New Roman" w:eastAsia="Times New Roman" w:hAnsi="Times New Roman" w:cs="Times New Roman"/>
          <w:b/>
          <w:sz w:val="40"/>
          <w:szCs w:val="40"/>
        </w:rPr>
        <w:t>O</w:t>
      </w:r>
      <w:r w:rsidRPr="007D2098">
        <w:rPr>
          <w:rFonts w:ascii="Times New Roman" w:eastAsia="Times New Roman" w:hAnsi="Times New Roman" w:cs="Times New Roman"/>
          <w:b/>
          <w:sz w:val="40"/>
          <w:szCs w:val="40"/>
        </w:rPr>
        <w:t>S</w:t>
      </w:r>
    </w:p>
    <w:p w14:paraId="5F8BB604" w14:textId="25F1EB4B" w:rsidR="00FE62C9" w:rsidRDefault="00FE62C9" w:rsidP="00FE62C9">
      <w:pPr>
        <w:rPr>
          <w:b/>
          <w:sz w:val="40"/>
          <w:szCs w:val="40"/>
        </w:rPr>
      </w:pPr>
    </w:p>
    <w:p w14:paraId="4CDC7111" w14:textId="77777777" w:rsidR="00FE62C9" w:rsidRPr="00FE62C9" w:rsidRDefault="00FE62C9" w:rsidP="00FE62C9">
      <w:pPr>
        <w:rPr>
          <w:bCs/>
          <w:sz w:val="40"/>
          <w:szCs w:val="40"/>
        </w:rPr>
      </w:pPr>
    </w:p>
    <w:p w14:paraId="745B4E6B" w14:textId="6DDC6524" w:rsidR="00D26E63" w:rsidRDefault="00D26E63" w:rsidP="00D26E63">
      <w:pPr>
        <w:pStyle w:val="ListParagraph"/>
        <w:ind w:left="1080"/>
        <w:jc w:val="center"/>
        <w:rPr>
          <w:rFonts w:ascii="Times New Roman" w:eastAsia="Times New Roman" w:hAnsi="Times New Roman" w:cs="Times New Roman"/>
          <w:b/>
          <w:sz w:val="40"/>
          <w:szCs w:val="40"/>
        </w:rPr>
      </w:pPr>
    </w:p>
    <w:p w14:paraId="31703B2F" w14:textId="77777777" w:rsidR="00DA070B" w:rsidRPr="00DA070B" w:rsidRDefault="00DA070B" w:rsidP="00DA070B">
      <w:pPr>
        <w:pStyle w:val="ListParagraph"/>
        <w:numPr>
          <w:ilvl w:val="0"/>
          <w:numId w:val="21"/>
        </w:numPr>
        <w:jc w:val="both"/>
        <w:rPr>
          <w:rFonts w:ascii="Times New Roman" w:eastAsia="Times New Roman" w:hAnsi="Times New Roman" w:cs="Times New Roman"/>
          <w:b/>
          <w:sz w:val="40"/>
          <w:szCs w:val="40"/>
        </w:rPr>
      </w:pPr>
      <w:r w:rsidRPr="00DA070B">
        <w:rPr>
          <w:b/>
          <w:bCs/>
        </w:rPr>
        <w:t xml:space="preserve">Anotaciones sobre Sobral, M. F. F., </w:t>
      </w:r>
      <w:proofErr w:type="spellStart"/>
      <w:r w:rsidRPr="00DA070B">
        <w:rPr>
          <w:b/>
          <w:bCs/>
        </w:rPr>
        <w:t>Roazzi</w:t>
      </w:r>
      <w:proofErr w:type="spellEnd"/>
      <w:r w:rsidRPr="00DA070B">
        <w:rPr>
          <w:b/>
          <w:bCs/>
        </w:rPr>
        <w:t xml:space="preserve">, A., da </w:t>
      </w:r>
      <w:proofErr w:type="spellStart"/>
      <w:r w:rsidRPr="00DA070B">
        <w:rPr>
          <w:b/>
          <w:bCs/>
        </w:rPr>
        <w:t>Penha</w:t>
      </w:r>
      <w:proofErr w:type="spellEnd"/>
      <w:r w:rsidRPr="00DA070B">
        <w:rPr>
          <w:b/>
          <w:bCs/>
        </w:rPr>
        <w:t xml:space="preserve"> Sobral, A. I. G., de Oliveira, B. R. B., Duarte, G. B., da Silva, J. F., {\&amp;} Nogueira, R. M. T. B. L. (2022). </w:t>
      </w:r>
      <w:r w:rsidRPr="00DA070B">
        <w:rPr>
          <w:b/>
          <w:bCs/>
          <w:lang w:val="en-US"/>
        </w:rPr>
        <w:t xml:space="preserve">A retrospective cohort study of 238,000 COVID-19 hospitalizations and deaths in Brazil. </w:t>
      </w:r>
      <w:proofErr w:type="spellStart"/>
      <w:r w:rsidRPr="00DA070B">
        <w:rPr>
          <w:b/>
          <w:bCs/>
        </w:rPr>
        <w:t>Scientific</w:t>
      </w:r>
      <w:proofErr w:type="spellEnd"/>
      <w:r w:rsidRPr="00DA070B">
        <w:rPr>
          <w:b/>
          <w:bCs/>
        </w:rPr>
        <w:t xml:space="preserve"> </w:t>
      </w:r>
      <w:proofErr w:type="spellStart"/>
      <w:r w:rsidRPr="00DA070B">
        <w:rPr>
          <w:b/>
          <w:bCs/>
        </w:rPr>
        <w:t>Reports</w:t>
      </w:r>
      <w:proofErr w:type="spellEnd"/>
      <w:r w:rsidRPr="00DA070B">
        <w:rPr>
          <w:b/>
          <w:bCs/>
        </w:rPr>
        <w:t>, 12(1), 1–11</w:t>
      </w:r>
      <w:r>
        <w:t xml:space="preserve">. </w:t>
      </w:r>
    </w:p>
    <w:p w14:paraId="7BABA681" w14:textId="77777777" w:rsidR="00DA070B" w:rsidRDefault="00DA070B" w:rsidP="00DA070B">
      <w:pPr>
        <w:jc w:val="both"/>
        <w:rPr>
          <w:b/>
          <w:bCs/>
        </w:rPr>
      </w:pPr>
    </w:p>
    <w:p w14:paraId="3B210319" w14:textId="031FA94A" w:rsidR="00D26E63" w:rsidRDefault="00DA070B" w:rsidP="00DA070B">
      <w:proofErr w:type="spellStart"/>
      <w:r w:rsidRPr="00DA070B">
        <w:rPr>
          <w:b/>
          <w:bCs/>
        </w:rPr>
        <w:t>Rmk</w:t>
      </w:r>
      <w:proofErr w:type="spellEnd"/>
      <w:r w:rsidRPr="00DA070B">
        <w:rPr>
          <w:b/>
          <w:bCs/>
        </w:rPr>
        <w:t xml:space="preserve"> 1: </w:t>
      </w:r>
      <w:r>
        <w:t xml:space="preserve">El propósito del estudio es analizar los tiempos de hospitalización y permanencia en Unidades de Cuidados Intensivos en pacientes diagnosticados con COVID-19. El estudio considera una cohorte de 55.563 admisiones a UCI y 238.075 hospitalizaciones en el sistema de salud de </w:t>
      </w:r>
      <w:proofErr w:type="spellStart"/>
      <w:r>
        <w:t>brasil</w:t>
      </w:r>
      <w:proofErr w:type="spellEnd"/>
      <w:r>
        <w:t xml:space="preserve"> desde febrero-22-2020 hasta junio-07-2021.</w:t>
      </w:r>
      <w:r>
        <w:br/>
      </w:r>
      <w:r>
        <w:br/>
      </w:r>
      <w:proofErr w:type="spellStart"/>
      <w:r w:rsidRPr="00DA070B">
        <w:rPr>
          <w:b/>
          <w:bCs/>
        </w:rPr>
        <w:t>Rmk</w:t>
      </w:r>
      <w:proofErr w:type="spellEnd"/>
      <w:r w:rsidRPr="00DA070B">
        <w:rPr>
          <w:b/>
          <w:bCs/>
        </w:rPr>
        <w:t xml:space="preserve"> 2: </w:t>
      </w:r>
      <w:r>
        <w:t xml:space="preserve">la aproximación </w:t>
      </w:r>
      <w:proofErr w:type="spellStart"/>
      <w:r>
        <w:t>semiparamétrica</w:t>
      </w:r>
      <w:proofErr w:type="spellEnd"/>
      <w:r>
        <w:t xml:space="preserve"> es la siguiente: se emplea una regresión de Cox. Las razones de riesgo y las curvas de supervivencia son calculadas por grupos de edad. Se consideraron las siguientes </w:t>
      </w:r>
      <w:proofErr w:type="spellStart"/>
      <w:r>
        <w:t>covariables</w:t>
      </w:r>
      <w:proofErr w:type="spellEnd"/>
      <w:r>
        <w:t xml:space="preserve"> de interés: </w:t>
      </w:r>
      <w:proofErr w:type="spellStart"/>
      <w:r>
        <w:t>fever</w:t>
      </w:r>
      <w:proofErr w:type="spellEnd"/>
      <w:r>
        <w:t xml:space="preserve">, </w:t>
      </w:r>
      <w:proofErr w:type="spellStart"/>
      <w:r>
        <w:t>cough</w:t>
      </w:r>
      <w:proofErr w:type="spellEnd"/>
      <w:r>
        <w:t xml:space="preserve">, </w:t>
      </w:r>
      <w:proofErr w:type="spellStart"/>
      <w:r>
        <w:t>sore</w:t>
      </w:r>
      <w:proofErr w:type="spellEnd"/>
      <w:r>
        <w:t xml:space="preserve"> </w:t>
      </w:r>
      <w:proofErr w:type="spellStart"/>
      <w:r>
        <w:t>throat</w:t>
      </w:r>
      <w:proofErr w:type="spellEnd"/>
      <w:r>
        <w:t xml:space="preserve">, </w:t>
      </w:r>
      <w:proofErr w:type="spellStart"/>
      <w:r>
        <w:t>dyspnea</w:t>
      </w:r>
      <w:proofErr w:type="spellEnd"/>
      <w:r>
        <w:t xml:space="preserve">, </w:t>
      </w:r>
      <w:proofErr w:type="spellStart"/>
      <w:r>
        <w:t>respiratory</w:t>
      </w:r>
      <w:proofErr w:type="spellEnd"/>
      <w:r>
        <w:t xml:space="preserve"> </w:t>
      </w:r>
      <w:proofErr w:type="spellStart"/>
      <w:r>
        <w:t>distrees</w:t>
      </w:r>
      <w:proofErr w:type="spellEnd"/>
      <w:r>
        <w:t xml:space="preserve">, saturación de oxigeno, diarrea, vomito, fatiga, dolor abdominal, </w:t>
      </w:r>
      <w:proofErr w:type="spellStart"/>
      <w:r>
        <w:t>pèrdida</w:t>
      </w:r>
      <w:proofErr w:type="spellEnd"/>
      <w:r>
        <w:t xml:space="preserve"> del gusto, pérdida del olfato (todos ellos síntomas) y grupos de edad.</w:t>
      </w:r>
      <w:r>
        <w:br/>
      </w:r>
      <w:r>
        <w:br/>
        <w:t>Adicionalmente, con base en los mismos modelos, se presenta la curva de supervivencia acumulada (</w:t>
      </w:r>
      <w:proofErr w:type="spellStart"/>
      <w:r>
        <w:t>cumulative</w:t>
      </w:r>
      <w:proofErr w:type="spellEnd"/>
      <w:r>
        <w:t xml:space="preserve"> </w:t>
      </w:r>
      <w:proofErr w:type="spellStart"/>
      <w:r>
        <w:t>survival</w:t>
      </w:r>
      <w:proofErr w:type="spellEnd"/>
      <w:r>
        <w:t>) y la curva de riesgo acumulado (</w:t>
      </w:r>
      <w:proofErr w:type="spellStart"/>
      <w:r>
        <w:t>cumulative</w:t>
      </w:r>
      <w:proofErr w:type="spellEnd"/>
      <w:r>
        <w:t xml:space="preserve"> </w:t>
      </w:r>
      <w:proofErr w:type="spellStart"/>
      <w:r>
        <w:t>hazard</w:t>
      </w:r>
      <w:proofErr w:type="spellEnd"/>
      <w:r>
        <w:t>). En ambos casos, la variable de interés es "</w:t>
      </w:r>
      <w:proofErr w:type="spellStart"/>
      <w:r>
        <w:t>Days</w:t>
      </w:r>
      <w:proofErr w:type="spellEnd"/>
      <w:r>
        <w:t xml:space="preserve"> in ICU".</w:t>
      </w:r>
      <w:r>
        <w:br/>
      </w:r>
      <w:r>
        <w:br/>
      </w:r>
      <w:r>
        <w:br/>
      </w:r>
      <w:r w:rsidRPr="00DA070B">
        <w:rPr>
          <w:b/>
          <w:bCs/>
        </w:rPr>
        <w:t>Referencia:</w:t>
      </w:r>
      <w:r w:rsidRPr="00DA070B">
        <w:rPr>
          <w:b/>
          <w:bCs/>
        </w:rPr>
        <w:br/>
      </w:r>
      <w:r w:rsidRPr="00DA070B">
        <w:rPr>
          <w:b/>
          <w:bCs/>
        </w:rPr>
        <w:br/>
      </w:r>
      <w:r>
        <w:t>@article{Sobral2022,</w:t>
      </w:r>
      <w:r>
        <w:br/>
      </w:r>
      <w:proofErr w:type="spellStart"/>
      <w:r>
        <w:t>author</w:t>
      </w:r>
      <w:proofErr w:type="spellEnd"/>
      <w:r>
        <w:t xml:space="preserve"> = {Sobral, Marcos Felipe </w:t>
      </w:r>
      <w:proofErr w:type="spellStart"/>
      <w:r>
        <w:t>Falc</w:t>
      </w:r>
      <w:proofErr w:type="spellEnd"/>
      <w:r>
        <w:t xml:space="preserve">{\~{a}}o and </w:t>
      </w:r>
      <w:proofErr w:type="spellStart"/>
      <w:r>
        <w:t>Roazzi</w:t>
      </w:r>
      <w:proofErr w:type="spellEnd"/>
      <w:r>
        <w:t xml:space="preserve">, Antonio and {da </w:t>
      </w:r>
      <w:proofErr w:type="spellStart"/>
      <w:r>
        <w:t>Penha</w:t>
      </w:r>
      <w:proofErr w:type="spellEnd"/>
      <w:r>
        <w:t xml:space="preserve"> Sobral}, Ana Iza Gomes and de Oliveira, </w:t>
      </w:r>
      <w:proofErr w:type="spellStart"/>
      <w:r>
        <w:t>Brigitte</w:t>
      </w:r>
      <w:proofErr w:type="spellEnd"/>
      <w:r>
        <w:t xml:space="preserve"> Renata </w:t>
      </w:r>
      <w:proofErr w:type="spellStart"/>
      <w:r>
        <w:t>Bezerra</w:t>
      </w:r>
      <w:proofErr w:type="spellEnd"/>
      <w:r>
        <w:t xml:space="preserve"> and Duarte, </w:t>
      </w:r>
      <w:proofErr w:type="spellStart"/>
      <w:r>
        <w:t>Gisleia</w:t>
      </w:r>
      <w:proofErr w:type="spellEnd"/>
      <w:r>
        <w:t xml:space="preserve"> </w:t>
      </w:r>
      <w:proofErr w:type="spellStart"/>
      <w:r>
        <w:t>Benini</w:t>
      </w:r>
      <w:proofErr w:type="spellEnd"/>
      <w:r>
        <w:t xml:space="preserve"> and da Silva, </w:t>
      </w:r>
      <w:proofErr w:type="spellStart"/>
      <w:r>
        <w:t>Jadson</w:t>
      </w:r>
      <w:proofErr w:type="spellEnd"/>
      <w:r>
        <w:t xml:space="preserve"> Freire and Nogueira, Renata </w:t>
      </w:r>
      <w:proofErr w:type="spellStart"/>
      <w:r>
        <w:t>Maria</w:t>
      </w:r>
      <w:proofErr w:type="spellEnd"/>
      <w:r>
        <w:t xml:space="preserve"> Toscano Barreto </w:t>
      </w:r>
      <w:proofErr w:type="spellStart"/>
      <w:r>
        <w:t>Lyra</w:t>
      </w:r>
      <w:proofErr w:type="spellEnd"/>
      <w:r>
        <w:t>},</w:t>
      </w:r>
      <w:r>
        <w:br/>
      </w:r>
      <w:proofErr w:type="spellStart"/>
      <w:r>
        <w:t>journal</w:t>
      </w:r>
      <w:proofErr w:type="spellEnd"/>
      <w:r>
        <w:t xml:space="preserve"> = {</w:t>
      </w:r>
      <w:proofErr w:type="spellStart"/>
      <w:r>
        <w:t>Scientific</w:t>
      </w:r>
      <w:proofErr w:type="spellEnd"/>
      <w:r>
        <w:t xml:space="preserve"> </w:t>
      </w:r>
      <w:proofErr w:type="spellStart"/>
      <w:r>
        <w:t>Reports</w:t>
      </w:r>
      <w:proofErr w:type="spellEnd"/>
      <w:r>
        <w:t>},</w:t>
      </w:r>
      <w:r>
        <w:br/>
      </w:r>
      <w:proofErr w:type="spellStart"/>
      <w:r>
        <w:t>number</w:t>
      </w:r>
      <w:proofErr w:type="spellEnd"/>
      <w:r>
        <w:t xml:space="preserve"> = {1},</w:t>
      </w:r>
      <w:r>
        <w:br/>
      </w:r>
      <w:proofErr w:type="spellStart"/>
      <w:r>
        <w:t>pages</w:t>
      </w:r>
      <w:proofErr w:type="spellEnd"/>
      <w:r>
        <w:t xml:space="preserve"> = {1--11},</w:t>
      </w:r>
      <w:r>
        <w:br/>
      </w:r>
      <w:proofErr w:type="spellStart"/>
      <w:r>
        <w:t>title</w:t>
      </w:r>
      <w:proofErr w:type="spellEnd"/>
      <w:r>
        <w:t xml:space="preserve"> = {{A </w:t>
      </w:r>
      <w:proofErr w:type="spellStart"/>
      <w:r>
        <w:t>retrospective</w:t>
      </w:r>
      <w:proofErr w:type="spellEnd"/>
      <w:r>
        <w:t xml:space="preserve"> </w:t>
      </w:r>
      <w:proofErr w:type="spellStart"/>
      <w:r>
        <w:t>cohort</w:t>
      </w:r>
      <w:proofErr w:type="spellEnd"/>
      <w:r>
        <w:t xml:space="preserve"> </w:t>
      </w:r>
      <w:proofErr w:type="spellStart"/>
      <w:r>
        <w:t>study</w:t>
      </w:r>
      <w:proofErr w:type="spellEnd"/>
      <w:r>
        <w:t xml:space="preserve"> of 238,000 COVID-19 </w:t>
      </w:r>
      <w:proofErr w:type="spellStart"/>
      <w:r>
        <w:t>hospitalizations</w:t>
      </w:r>
      <w:proofErr w:type="spellEnd"/>
      <w:r>
        <w:t xml:space="preserve"> and </w:t>
      </w:r>
      <w:proofErr w:type="spellStart"/>
      <w:r>
        <w:t>deaths</w:t>
      </w:r>
      <w:proofErr w:type="spellEnd"/>
      <w:r>
        <w:t xml:space="preserve"> in </w:t>
      </w:r>
      <w:proofErr w:type="spellStart"/>
      <w:r>
        <w:t>Brazil</w:t>
      </w:r>
      <w:proofErr w:type="spellEnd"/>
      <w:r>
        <w:t>}},</w:t>
      </w:r>
      <w:r>
        <w:br/>
      </w:r>
      <w:proofErr w:type="spellStart"/>
      <w:r>
        <w:t>year</w:t>
      </w:r>
      <w:proofErr w:type="spellEnd"/>
      <w:r>
        <w:t xml:space="preserve"> = {2022}</w:t>
      </w:r>
      <w:r>
        <w:br/>
        <w:t>}</w:t>
      </w:r>
    </w:p>
    <w:p w14:paraId="70AE2A43" w14:textId="71B7D0A8" w:rsidR="00DA070B" w:rsidRDefault="00DA070B" w:rsidP="00DA070B"/>
    <w:p w14:paraId="2FB84C4D" w14:textId="77777777" w:rsidR="00DA070B" w:rsidRPr="00DA070B" w:rsidRDefault="00DA070B" w:rsidP="00DA070B">
      <w:pPr>
        <w:pStyle w:val="ListParagraph"/>
        <w:numPr>
          <w:ilvl w:val="0"/>
          <w:numId w:val="21"/>
        </w:numPr>
      </w:pPr>
      <w:r w:rsidRPr="00DA070B">
        <w:rPr>
          <w:b/>
          <w:bCs/>
        </w:rPr>
        <w:t xml:space="preserve">Segundas notas a Cummings, M. J., Baldwin, M. R., </w:t>
      </w:r>
      <w:proofErr w:type="spellStart"/>
      <w:r w:rsidRPr="00DA070B">
        <w:rPr>
          <w:b/>
          <w:bCs/>
        </w:rPr>
        <w:t>Abrams</w:t>
      </w:r>
      <w:proofErr w:type="spellEnd"/>
      <w:r w:rsidRPr="00DA070B">
        <w:rPr>
          <w:b/>
          <w:bCs/>
        </w:rPr>
        <w:t xml:space="preserve">, D., Jacobson, S. D., Meyer, B. J., </w:t>
      </w:r>
      <w:proofErr w:type="spellStart"/>
      <w:r w:rsidRPr="00DA070B">
        <w:rPr>
          <w:b/>
          <w:bCs/>
        </w:rPr>
        <w:t>Balough</w:t>
      </w:r>
      <w:proofErr w:type="spellEnd"/>
      <w:r w:rsidRPr="00DA070B">
        <w:rPr>
          <w:b/>
          <w:bCs/>
        </w:rPr>
        <w:t xml:space="preserve">, E. M., </w:t>
      </w:r>
      <w:proofErr w:type="spellStart"/>
      <w:r w:rsidRPr="00DA070B">
        <w:rPr>
          <w:b/>
          <w:bCs/>
        </w:rPr>
        <w:t>Aaron</w:t>
      </w:r>
      <w:proofErr w:type="spellEnd"/>
      <w:r w:rsidRPr="00DA070B">
        <w:rPr>
          <w:b/>
          <w:bCs/>
        </w:rPr>
        <w:t xml:space="preserve">, J. G., </w:t>
      </w:r>
      <w:proofErr w:type="spellStart"/>
      <w:r w:rsidRPr="00DA070B">
        <w:rPr>
          <w:b/>
          <w:bCs/>
        </w:rPr>
        <w:t>Claassen</w:t>
      </w:r>
      <w:proofErr w:type="spellEnd"/>
      <w:r w:rsidRPr="00DA070B">
        <w:rPr>
          <w:b/>
          <w:bCs/>
        </w:rPr>
        <w:t xml:space="preserve">, J., </w:t>
      </w:r>
      <w:proofErr w:type="spellStart"/>
      <w:r w:rsidRPr="00DA070B">
        <w:rPr>
          <w:b/>
          <w:bCs/>
        </w:rPr>
        <w:t>Rabbani</w:t>
      </w:r>
      <w:proofErr w:type="spellEnd"/>
      <w:r w:rsidRPr="00DA070B">
        <w:rPr>
          <w:b/>
          <w:bCs/>
        </w:rPr>
        <w:t xml:space="preserve">, L. R. E., </w:t>
      </w:r>
      <w:proofErr w:type="spellStart"/>
      <w:r w:rsidRPr="00DA070B">
        <w:rPr>
          <w:b/>
          <w:bCs/>
        </w:rPr>
        <w:t>Hastie</w:t>
      </w:r>
      <w:proofErr w:type="spellEnd"/>
      <w:r w:rsidRPr="00DA070B">
        <w:rPr>
          <w:b/>
          <w:bCs/>
        </w:rPr>
        <w:t xml:space="preserve">, J., </w:t>
      </w:r>
      <w:proofErr w:type="spellStart"/>
      <w:r w:rsidRPr="00DA070B">
        <w:rPr>
          <w:b/>
          <w:bCs/>
        </w:rPr>
        <w:t>Hochman</w:t>
      </w:r>
      <w:proofErr w:type="spellEnd"/>
      <w:r w:rsidRPr="00DA070B">
        <w:rPr>
          <w:b/>
          <w:bCs/>
        </w:rPr>
        <w:t>, B. R., Salazar-</w:t>
      </w:r>
      <w:proofErr w:type="spellStart"/>
      <w:r w:rsidRPr="00DA070B">
        <w:rPr>
          <w:b/>
          <w:bCs/>
        </w:rPr>
        <w:t>Schicchi</w:t>
      </w:r>
      <w:proofErr w:type="spellEnd"/>
      <w:r w:rsidRPr="00DA070B">
        <w:rPr>
          <w:b/>
          <w:bCs/>
        </w:rPr>
        <w:t xml:space="preserve">, J., Yip, N. H., </w:t>
      </w:r>
      <w:proofErr w:type="spellStart"/>
      <w:r w:rsidRPr="00DA070B">
        <w:rPr>
          <w:b/>
          <w:bCs/>
        </w:rPr>
        <w:t>Brodie</w:t>
      </w:r>
      <w:proofErr w:type="spellEnd"/>
      <w:r w:rsidRPr="00DA070B">
        <w:rPr>
          <w:b/>
          <w:bCs/>
        </w:rPr>
        <w:t xml:space="preserve">, D., &amp; </w:t>
      </w:r>
      <w:proofErr w:type="spellStart"/>
      <w:r w:rsidRPr="00DA070B">
        <w:rPr>
          <w:b/>
          <w:bCs/>
        </w:rPr>
        <w:t>O’Donnell</w:t>
      </w:r>
      <w:proofErr w:type="spellEnd"/>
      <w:r w:rsidRPr="00DA070B">
        <w:rPr>
          <w:b/>
          <w:bCs/>
        </w:rPr>
        <w:t xml:space="preserve">, M. R. (2020). </w:t>
      </w:r>
      <w:r w:rsidRPr="00DA070B">
        <w:rPr>
          <w:b/>
          <w:bCs/>
          <w:lang w:val="en-US"/>
        </w:rPr>
        <w:t xml:space="preserve">Epidemiology, clinical course, and outcomes of critically ill adults with COVID-19 in New York City: a prospective cohort study. </w:t>
      </w:r>
      <w:proofErr w:type="spellStart"/>
      <w:r w:rsidRPr="00DA070B">
        <w:rPr>
          <w:b/>
          <w:bCs/>
          <w:i/>
          <w:iCs/>
        </w:rPr>
        <w:t>The</w:t>
      </w:r>
      <w:proofErr w:type="spellEnd"/>
      <w:r w:rsidRPr="00DA070B">
        <w:rPr>
          <w:b/>
          <w:bCs/>
          <w:i/>
          <w:iCs/>
        </w:rPr>
        <w:t xml:space="preserve"> </w:t>
      </w:r>
      <w:proofErr w:type="spellStart"/>
      <w:r w:rsidRPr="00DA070B">
        <w:rPr>
          <w:b/>
          <w:bCs/>
          <w:i/>
          <w:iCs/>
        </w:rPr>
        <w:t>Lancet</w:t>
      </w:r>
      <w:proofErr w:type="spellEnd"/>
      <w:r w:rsidRPr="00DA070B">
        <w:rPr>
          <w:b/>
          <w:bCs/>
        </w:rPr>
        <w:t xml:space="preserve">, </w:t>
      </w:r>
      <w:r w:rsidRPr="00DA070B">
        <w:rPr>
          <w:b/>
          <w:bCs/>
          <w:i/>
          <w:iCs/>
        </w:rPr>
        <w:t>395</w:t>
      </w:r>
      <w:r w:rsidRPr="00DA070B">
        <w:rPr>
          <w:b/>
          <w:bCs/>
        </w:rPr>
        <w:t>(10239), 1763–1770</w:t>
      </w:r>
    </w:p>
    <w:p w14:paraId="7BEAD7B0" w14:textId="77777777" w:rsidR="00DA070B" w:rsidRDefault="00DA070B" w:rsidP="00DA070B">
      <w:pPr>
        <w:rPr>
          <w:b/>
          <w:bCs/>
        </w:rPr>
      </w:pPr>
    </w:p>
    <w:p w14:paraId="3726BC2A" w14:textId="14EA4F24" w:rsidR="00DA070B" w:rsidRDefault="00DA070B" w:rsidP="00DA070B">
      <w:proofErr w:type="spellStart"/>
      <w:r w:rsidRPr="00DA070B">
        <w:rPr>
          <w:b/>
          <w:bCs/>
        </w:rPr>
        <w:t>Rmk</w:t>
      </w:r>
      <w:proofErr w:type="spellEnd"/>
      <w:r w:rsidRPr="00DA070B">
        <w:rPr>
          <w:b/>
          <w:bCs/>
        </w:rPr>
        <w:t xml:space="preserve"> 1 [Regresión de Cox]: </w:t>
      </w:r>
      <w:r>
        <w:t xml:space="preserve">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w:t>
      </w:r>
      <w:proofErr w:type="spellStart"/>
      <w:r>
        <w:t>chornic</w:t>
      </w:r>
      <w:proofErr w:type="spellEnd"/>
      <w:r>
        <w:t xml:space="preserve"> </w:t>
      </w:r>
      <w:proofErr w:type="spellStart"/>
      <w:r>
        <w:t>cardiac</w:t>
      </w:r>
      <w:proofErr w:type="spellEnd"/>
      <w:r>
        <w:t xml:space="preserve"> </w:t>
      </w:r>
      <w:proofErr w:type="spellStart"/>
      <w:r>
        <w:t>disease</w:t>
      </w:r>
      <w:proofErr w:type="spellEnd"/>
      <w:r>
        <w:t xml:space="preserve">, </w:t>
      </w:r>
      <w:proofErr w:type="spellStart"/>
      <w:r>
        <w:t>chronic</w:t>
      </w:r>
      <w:proofErr w:type="spellEnd"/>
      <w:r>
        <w:t xml:space="preserve"> </w:t>
      </w:r>
      <w:proofErr w:type="spellStart"/>
      <w:r>
        <w:t>obstructive</w:t>
      </w:r>
      <w:proofErr w:type="spellEnd"/>
      <w:r>
        <w:t xml:space="preserve"> </w:t>
      </w:r>
      <w:proofErr w:type="spellStart"/>
      <w:r>
        <w:t>pulmonary</w:t>
      </w:r>
      <w:proofErr w:type="spellEnd"/>
      <w:r>
        <w:t xml:space="preserve"> </w:t>
      </w:r>
      <w:proofErr w:type="spellStart"/>
      <w:r>
        <w:t>disease</w:t>
      </w:r>
      <w:proofErr w:type="spellEnd"/>
      <w:r>
        <w:t xml:space="preserve">, </w:t>
      </w:r>
      <w:proofErr w:type="spellStart"/>
      <w:r>
        <w:t>chronic</w:t>
      </w:r>
      <w:proofErr w:type="spellEnd"/>
      <w:r>
        <w:t xml:space="preserve"> </w:t>
      </w:r>
      <w:proofErr w:type="spellStart"/>
      <w:r>
        <w:t>kidney</w:t>
      </w:r>
      <w:proofErr w:type="spellEnd"/>
      <w:r>
        <w:t xml:space="preserve"> </w:t>
      </w:r>
      <w:proofErr w:type="spellStart"/>
      <w:r>
        <w:t>disease</w:t>
      </w:r>
      <w:proofErr w:type="spellEnd"/>
      <w:r>
        <w:t xml:space="preserve">, diabetes, </w:t>
      </w:r>
      <w:proofErr w:type="spellStart"/>
      <w:r>
        <w:t>body-mass</w:t>
      </w:r>
      <w:proofErr w:type="spellEnd"/>
      <w:r>
        <w:t xml:space="preserve"> </w:t>
      </w:r>
      <w:proofErr w:type="spellStart"/>
      <w:r>
        <w:t>index</w:t>
      </w:r>
      <w:proofErr w:type="spellEnd"/>
      <w:r>
        <w:t>.</w:t>
      </w:r>
    </w:p>
    <w:p w14:paraId="65C06380" w14:textId="200AD742" w:rsidR="00DA070B" w:rsidRDefault="00DA070B" w:rsidP="00DA070B"/>
    <w:p w14:paraId="34A00975" w14:textId="475BDD50" w:rsidR="009B1D76" w:rsidRDefault="00DA070B" w:rsidP="00DA070B">
      <w:r>
        <w:rPr>
          <w:b/>
          <w:bCs/>
        </w:rPr>
        <w:t xml:space="preserve">Referencia: </w:t>
      </w:r>
      <w:r>
        <w:t>véase archivo .Bib</w:t>
      </w:r>
    </w:p>
    <w:p w14:paraId="2A462E84" w14:textId="6173395F" w:rsidR="009B1D76" w:rsidRDefault="009B1D76" w:rsidP="00DA070B"/>
    <w:p w14:paraId="324232B0" w14:textId="078E68A7" w:rsidR="009B1D76" w:rsidRPr="009B1D76" w:rsidRDefault="009B1D76" w:rsidP="009B1D76">
      <w:pPr>
        <w:pStyle w:val="ListParagraph"/>
        <w:numPr>
          <w:ilvl w:val="0"/>
          <w:numId w:val="21"/>
        </w:numPr>
      </w:pPr>
      <w:r w:rsidRPr="009B1D76">
        <w:rPr>
          <w:b/>
          <w:bCs/>
        </w:rPr>
        <w:t xml:space="preserve">Segundas anotaciones a </w:t>
      </w:r>
      <w:proofErr w:type="spellStart"/>
      <w:r w:rsidRPr="009B1D76">
        <w:rPr>
          <w:b/>
          <w:bCs/>
        </w:rPr>
        <w:t>Rozman</w:t>
      </w:r>
      <w:proofErr w:type="spellEnd"/>
      <w:r w:rsidRPr="009B1D76">
        <w:rPr>
          <w:b/>
          <w:bCs/>
        </w:rPr>
        <w:t xml:space="preserve">, A., Rituper, B., Kačar, M., Kopač, P., Zidarn, M., &amp; Pohar Perme, M. (2022). Length of hospital stay and survival of hospitalized COVID-19 patients during the second wave of the pandemic: A </w:t>
      </w:r>
      <w:proofErr w:type="gramStart"/>
      <w:r w:rsidRPr="009B1D76">
        <w:rPr>
          <w:b/>
          <w:bCs/>
        </w:rPr>
        <w:t>single</w:t>
      </w:r>
      <w:proofErr w:type="gramEnd"/>
      <w:r w:rsidRPr="009B1D76">
        <w:rPr>
          <w:b/>
          <w:bCs/>
        </w:rPr>
        <w:t xml:space="preserve"> centre retrospective study from Slovenia. </w:t>
      </w:r>
      <w:r w:rsidRPr="009B1D76">
        <w:rPr>
          <w:b/>
          <w:bCs/>
          <w:i/>
          <w:iCs/>
        </w:rPr>
        <w:t>Zdravstveno Varstvo</w:t>
      </w:r>
      <w:r w:rsidRPr="009B1D76">
        <w:rPr>
          <w:b/>
          <w:bCs/>
        </w:rPr>
        <w:t xml:space="preserve">, </w:t>
      </w:r>
      <w:r w:rsidRPr="009B1D76">
        <w:rPr>
          <w:b/>
          <w:bCs/>
          <w:i/>
          <w:iCs/>
        </w:rPr>
        <w:t>61</w:t>
      </w:r>
      <w:r w:rsidRPr="009B1D76">
        <w:rPr>
          <w:b/>
          <w:bCs/>
        </w:rPr>
        <w:t xml:space="preserve">(4), 201–208. </w:t>
      </w:r>
    </w:p>
    <w:p w14:paraId="309F4D39" w14:textId="77777777" w:rsidR="009B1D76" w:rsidRPr="009B1D76" w:rsidRDefault="009B1D76" w:rsidP="009B1D76">
      <w:pPr>
        <w:rPr>
          <w:b/>
          <w:bCs/>
        </w:rPr>
      </w:pPr>
    </w:p>
    <w:p w14:paraId="6A6261E4" w14:textId="77777777" w:rsidR="009B1D76" w:rsidRPr="009B1D76" w:rsidRDefault="009B1D76" w:rsidP="009B1D76">
      <w:r w:rsidRPr="009B1D76">
        <w:rPr>
          <w:b/>
          <w:bCs/>
        </w:rPr>
        <w:t xml:space="preserve">Rmk [Cox model]: </w:t>
      </w:r>
      <w:r w:rsidRPr="009B1D76">
        <w:t>los eventos de interés son dos: uno, el momento de admisión en UCI; y dos, el tiempo de alta o muerte. Los pacientes que se mantienen en el hospital hasta el final del estudio se consideran datos censurados.</w:t>
      </w:r>
    </w:p>
    <w:p w14:paraId="5B524E07" w14:textId="77777777" w:rsidR="009B1D76" w:rsidRPr="009B1D76" w:rsidRDefault="009B1D76" w:rsidP="009B1D76"/>
    <w:p w14:paraId="7F885973" w14:textId="77777777" w:rsidR="009B1D76" w:rsidRPr="009B1D76" w:rsidRDefault="009B1D76" w:rsidP="009B1D76">
      <w:r w:rsidRPr="009B1D76">
        <w:t>La asociación entre el riesgo de los eventos de interés y las diferentes variables (edad, sexo y covariable dependiente del tiempo de haber estado en UCI) es modelada mediante el modelo de Cox.</w:t>
      </w:r>
    </w:p>
    <w:p w14:paraId="2CDC9B19" w14:textId="77777777" w:rsidR="009B1D76" w:rsidRPr="009B1D76" w:rsidRDefault="009B1D76" w:rsidP="009B1D76"/>
    <w:p w14:paraId="1C6CCCED" w14:textId="1F7847EE" w:rsidR="009B1D76" w:rsidRDefault="009B1D76" w:rsidP="009B1D76">
      <w:r w:rsidRPr="009B1D76">
        <w:t>Adicionalmente, se presentan las predicciones de un modelo de estados múltiples que combinan regresiones de Cox que modela los riesgos en relación con la edad y el sexo. ¿En qué sentido se habla de modelo de estados múltiples? El resultado es la probabilidad de la ocupación de cierto estado en términos del tiempo desde la admisión al hospital en relación con la edad y sexo (Los estados considerados son los siguientes: muerte, planta, UCI y descarga). [Nota: el nombre de modelo de estados múltiples es suficiente. No es necesario entrar en detalles.]</w:t>
      </w:r>
    </w:p>
    <w:p w14:paraId="646C47A8" w14:textId="2905DBD6" w:rsidR="009B1D76" w:rsidRDefault="009B1D76" w:rsidP="009B1D76"/>
    <w:p w14:paraId="60CF787B" w14:textId="474C70A9" w:rsidR="009B1D76" w:rsidRDefault="009B1D76" w:rsidP="009B1D76">
      <w:pPr>
        <w:rPr>
          <w:lang w:val="es-ES"/>
        </w:rPr>
      </w:pPr>
      <w:r>
        <w:rPr>
          <w:b/>
          <w:bCs/>
          <w:lang w:val="es-ES"/>
        </w:rPr>
        <w:t xml:space="preserve">Referencia: </w:t>
      </w:r>
      <w:r>
        <w:rPr>
          <w:lang w:val="es-ES"/>
        </w:rPr>
        <w:t>véase archivo .</w:t>
      </w:r>
      <w:proofErr w:type="spellStart"/>
      <w:r>
        <w:rPr>
          <w:lang w:val="es-ES"/>
        </w:rPr>
        <w:t>Bib</w:t>
      </w:r>
      <w:proofErr w:type="spellEnd"/>
    </w:p>
    <w:p w14:paraId="5A8AD464" w14:textId="1B02E7BB" w:rsidR="009B1D76" w:rsidRDefault="009B1D76" w:rsidP="009B1D76">
      <w:pPr>
        <w:rPr>
          <w:lang w:val="es-ES"/>
        </w:rPr>
      </w:pPr>
    </w:p>
    <w:p w14:paraId="711DB65A" w14:textId="77777777" w:rsidR="009B1D76" w:rsidRPr="009B1D76" w:rsidRDefault="009B1D76" w:rsidP="009B1D76">
      <w:pPr>
        <w:pStyle w:val="ListParagraph"/>
        <w:numPr>
          <w:ilvl w:val="0"/>
          <w:numId w:val="21"/>
        </w:numPr>
      </w:pPr>
      <w:r>
        <w:rPr>
          <w:b/>
          <w:bCs/>
        </w:rPr>
        <w:t xml:space="preserve"> </w:t>
      </w:r>
      <w:r w:rsidRPr="009B1D76">
        <w:rPr>
          <w:b/>
          <w:bCs/>
        </w:rPr>
        <w:t xml:space="preserve">Anotaciones sobre </w:t>
      </w:r>
      <w:proofErr w:type="spellStart"/>
      <w:r w:rsidRPr="009B1D76">
        <w:rPr>
          <w:b/>
          <w:bCs/>
        </w:rPr>
        <w:t>Socolovithc</w:t>
      </w:r>
      <w:proofErr w:type="spellEnd"/>
      <w:r w:rsidRPr="009B1D76">
        <w:rPr>
          <w:b/>
          <w:bCs/>
        </w:rPr>
        <w:t xml:space="preserve">, R. L., Fumis, R. R. L., Tomazini, B. M., Pastore, L., Galas, F. R. B. G., de Azevedo, L. C. P., &amp; Costa, E. L. V. (2020). Epidemiology, outcomes, and the use of intensive care unit resources of critically ill patients diagnosed with COVID-19 in Sao Paulo, Brazil: A cohort study. </w:t>
      </w:r>
      <w:r w:rsidRPr="009B1D76">
        <w:rPr>
          <w:b/>
          <w:bCs/>
          <w:i/>
          <w:iCs/>
        </w:rPr>
        <w:t>PLoS ONE</w:t>
      </w:r>
      <w:r w:rsidRPr="009B1D76">
        <w:rPr>
          <w:b/>
          <w:bCs/>
        </w:rPr>
        <w:t xml:space="preserve">, </w:t>
      </w:r>
      <w:r w:rsidRPr="009B1D76">
        <w:rPr>
          <w:b/>
          <w:bCs/>
          <w:i/>
          <w:iCs/>
        </w:rPr>
        <w:t>15</w:t>
      </w:r>
      <w:r w:rsidRPr="009B1D76">
        <w:rPr>
          <w:b/>
          <w:bCs/>
        </w:rPr>
        <w:t xml:space="preserve">(12 December), 1–13. </w:t>
      </w:r>
    </w:p>
    <w:p w14:paraId="4F07B81F" w14:textId="77777777" w:rsidR="009B1D76" w:rsidRDefault="009B1D76" w:rsidP="009B1D76">
      <w:pPr>
        <w:rPr>
          <w:b/>
          <w:bCs/>
          <w:lang w:val="es-ES"/>
        </w:rPr>
      </w:pPr>
    </w:p>
    <w:p w14:paraId="417E1537" w14:textId="7C0B0D3C" w:rsidR="009B1D76" w:rsidRPr="009B1D76" w:rsidRDefault="009B1D76" w:rsidP="009B1D76">
      <w:r w:rsidRPr="009B1D76">
        <w:rPr>
          <w:b/>
          <w:bCs/>
        </w:rPr>
        <w:t xml:space="preserve">Rmk 1: </w:t>
      </w:r>
      <w:r w:rsidRPr="009B1D76">
        <w:t>el propósito del artículo es describir los desenlaces clínicos de los pacientes críticos de COVID-19, así como evaluar el impacto en el uso de recursos hospitalarios y compararlo con patientes en estados crítico sin COVID-19.</w:t>
      </w:r>
      <w:r w:rsidRPr="009B1D76">
        <w:br/>
      </w:r>
      <w:r w:rsidRPr="009B1D76">
        <w:br/>
      </w:r>
      <w:r w:rsidRPr="009B1D76">
        <w:rPr>
          <w:b/>
          <w:bCs/>
        </w:rPr>
        <w:t xml:space="preserve">Rmk 2: </w:t>
      </w:r>
      <w:r w:rsidRPr="009B1D76">
        <w:t xml:space="preserve">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w:t>
      </w:r>
      <w:r w:rsidRPr="009B1D76">
        <w:lastRenderedPageBreak/>
        <w:t>puntajes de severidad de la enfermedad y el desenlace de la enfermedad.</w:t>
      </w:r>
      <w:r w:rsidRPr="009B1D76">
        <w:br/>
      </w:r>
      <w:r w:rsidRPr="009B1D76">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9B1D76">
        <w:br/>
      </w:r>
      <w:r w:rsidRPr="009B1D76">
        <w:br/>
      </w:r>
      <w:r w:rsidRPr="009B1D76">
        <w:rPr>
          <w:b/>
          <w:bCs/>
        </w:rPr>
        <w:t xml:space="preserve">Rmk 3: </w:t>
      </w:r>
      <w:r w:rsidRPr="009B1D76">
        <w:t>nótese que se consideran dos subpoblaciones en la estimación no-paramétrica de las curvas de supervivencia: (1) pacientes críticos de COVID-19 en UCI; (2) pacientes en UCI sin COVID-19 pero con enfermedades respiratorias.</w:t>
      </w:r>
      <w:r w:rsidRPr="009B1D76">
        <w:br/>
      </w:r>
      <w:r w:rsidRPr="009B1D76">
        <w:br/>
      </w:r>
      <w:r w:rsidRPr="009B1D76">
        <w:rPr>
          <w:b/>
          <w:bCs/>
        </w:rPr>
        <w:t xml:space="preserve">Rmk 4: </w:t>
      </w:r>
      <w:r w:rsidRPr="009B1D76">
        <w:t>en relación con el análisis de supervivencia de Kaplan-Meier, se considera la variable de interés "Tiempo en días". El objetivo es estimar la probabilidad de supervivencia general hasta los 28 días.</w:t>
      </w:r>
      <w:r w:rsidRPr="009B1D76">
        <w:br/>
      </w:r>
      <w:r w:rsidRPr="009B1D76">
        <w:br/>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r w:rsidRPr="009B1D76">
        <w:br/>
      </w:r>
      <w:r w:rsidRPr="009B1D76">
        <w:br/>
        <w:t>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w:t>
      </w:r>
    </w:p>
    <w:p w14:paraId="1D00ACC2" w14:textId="77777777" w:rsidR="009B1D76" w:rsidRPr="009B1D76" w:rsidRDefault="009B1D76" w:rsidP="009B1D76"/>
    <w:p w14:paraId="5980BDE2" w14:textId="3DF056C8" w:rsidR="009B1D76" w:rsidRPr="009B1D76" w:rsidRDefault="009B1D76" w:rsidP="009B1D76">
      <w:pPr>
        <w:rPr>
          <w:b/>
          <w:bCs/>
          <w:lang w:val="es-ES"/>
        </w:rPr>
      </w:pPr>
      <w:r w:rsidRPr="009B1D76">
        <w:rPr>
          <w:b/>
          <w:bCs/>
        </w:rPr>
        <w:t xml:space="preserve">Rmk 5: </w:t>
      </w:r>
      <w:r w:rsidRPr="009B1D76">
        <w:t>se recurre a una regresión de riesgos proporcionales de Cox para el ajuste multivariado de las variables asociadas significativamente con el COVID-19. En la misma línea de los estudios descritos, se reportan las razones de riesgo.</w:t>
      </w:r>
    </w:p>
    <w:p w14:paraId="3E7E9E9F" w14:textId="6FF07DEE" w:rsidR="00DA070B" w:rsidRDefault="00DA070B" w:rsidP="00DA070B">
      <w:pPr>
        <w:rPr>
          <w:b/>
          <w:sz w:val="40"/>
          <w:szCs w:val="40"/>
        </w:rPr>
      </w:pPr>
    </w:p>
    <w:p w14:paraId="1E6913B0" w14:textId="77777777" w:rsidR="006B6E72" w:rsidRPr="006B6E72" w:rsidRDefault="006B6E72" w:rsidP="0002494E">
      <w:pPr>
        <w:pStyle w:val="ListParagraph"/>
        <w:numPr>
          <w:ilvl w:val="0"/>
          <w:numId w:val="21"/>
        </w:numPr>
        <w:rPr>
          <w:bCs/>
          <w:sz w:val="40"/>
          <w:szCs w:val="40"/>
        </w:rPr>
      </w:pPr>
      <w:r w:rsidRPr="006B6E72">
        <w:rPr>
          <w:b/>
          <w:bCs/>
          <w:lang w:val="en-CO"/>
        </w:rPr>
        <w:t xml:space="preserve">Anotaciones a Kukoč, A., Mihelčić, A., Miko, I., Romić, A., Pražetina, M., Tipura, D., Drmić, Ž., Čučković, M., Ćurčić, M., Blagaj, V., Lasić, H., Dolenc, E., Hleb, S., Almahariq, H., Peršec, J., &amp; Šribar, A. (2022). </w:t>
      </w:r>
      <w:r w:rsidRPr="006B6E72">
        <w:rPr>
          <w:b/>
          <w:bCs/>
          <w:lang w:val="en-US"/>
        </w:rPr>
        <w:t xml:space="preserve">Clinical and laboratory predictors at ICU admission affecting course of illness and mortality rates in a tertiary COVID-19 center. </w:t>
      </w:r>
      <w:proofErr w:type="spellStart"/>
      <w:r w:rsidRPr="006B6E72">
        <w:rPr>
          <w:b/>
          <w:bCs/>
          <w:i/>
          <w:iCs/>
        </w:rPr>
        <w:t>Heart</w:t>
      </w:r>
      <w:proofErr w:type="spellEnd"/>
      <w:r w:rsidRPr="006B6E72">
        <w:rPr>
          <w:b/>
          <w:bCs/>
          <w:i/>
          <w:iCs/>
        </w:rPr>
        <w:t xml:space="preserve"> and </w:t>
      </w:r>
      <w:proofErr w:type="spellStart"/>
      <w:r w:rsidRPr="006B6E72">
        <w:rPr>
          <w:b/>
          <w:bCs/>
          <w:i/>
          <w:iCs/>
        </w:rPr>
        <w:t>Lung</w:t>
      </w:r>
      <w:proofErr w:type="spellEnd"/>
      <w:r w:rsidRPr="006B6E72">
        <w:rPr>
          <w:b/>
          <w:bCs/>
        </w:rPr>
        <w:t xml:space="preserve">, </w:t>
      </w:r>
      <w:r w:rsidRPr="006B6E72">
        <w:rPr>
          <w:b/>
          <w:bCs/>
          <w:i/>
          <w:iCs/>
        </w:rPr>
        <w:t>53</w:t>
      </w:r>
      <w:r w:rsidRPr="006B6E72">
        <w:rPr>
          <w:b/>
          <w:bCs/>
        </w:rPr>
        <w:t>(</w:t>
      </w:r>
      <w:proofErr w:type="spellStart"/>
      <w:r w:rsidRPr="006B6E72">
        <w:rPr>
          <w:b/>
          <w:bCs/>
        </w:rPr>
        <w:t>March</w:t>
      </w:r>
      <w:proofErr w:type="spellEnd"/>
      <w:r w:rsidRPr="006B6E72">
        <w:rPr>
          <w:b/>
          <w:bCs/>
        </w:rPr>
        <w:t xml:space="preserve"> 2020), 1–10.</w:t>
      </w:r>
      <w:r>
        <w:t xml:space="preserve"> </w:t>
      </w:r>
    </w:p>
    <w:p w14:paraId="776E4EF2" w14:textId="77777777" w:rsidR="006B6E72" w:rsidRDefault="006B6E72" w:rsidP="006B6E72">
      <w:pPr>
        <w:rPr>
          <w:b/>
          <w:bCs/>
          <w:lang w:val="es-ES"/>
        </w:rPr>
      </w:pPr>
    </w:p>
    <w:p w14:paraId="781C0653" w14:textId="5DD7A069" w:rsidR="0002494E" w:rsidRDefault="006B6E72" w:rsidP="006B6E72">
      <w:r w:rsidRPr="006B6E72">
        <w:rPr>
          <w:b/>
          <w:bCs/>
        </w:rPr>
        <w:t xml:space="preserve">Rmk 1: </w:t>
      </w:r>
      <w:r>
        <w:t xml:space="preserve">mediante una regresión multivariada, se pregende predecir el desenlace de pacientes críticos con COVID-19 en relación con baseline clinical and laboratory parameters. </w:t>
      </w:r>
      <w:r>
        <w:br/>
      </w:r>
      <w:r>
        <w:br/>
        <w:t xml:space="preserve">Se consideran características antropométricas, comorbilidades, paramétros de laboratorio, características clínicas, intervenciones terapéuticas, etc. </w:t>
      </w:r>
      <w:r>
        <w:br/>
      </w:r>
      <w:r>
        <w:br/>
      </w:r>
      <w:r w:rsidRPr="006B6E72">
        <w:rPr>
          <w:b/>
          <w:bCs/>
        </w:rPr>
        <w:t xml:space="preserve">Rmk 2: </w:t>
      </w:r>
      <w:r>
        <w:t>en términos metodológicos, se implementa un modelo de regresión multivariado de Cox para evaluar las razones de riesgo ajustadas y no-ajustadas.</w:t>
      </w:r>
      <w:r>
        <w:br/>
      </w:r>
      <w:r>
        <w:br/>
      </w:r>
      <w:r w:rsidRPr="006B6E72">
        <w:rPr>
          <w:b/>
          <w:bCs/>
        </w:rPr>
        <w:t>Referencia:</w:t>
      </w:r>
      <w:r w:rsidRPr="006B6E72">
        <w:rPr>
          <w:b/>
          <w:bCs/>
        </w:rPr>
        <w:br/>
      </w:r>
      <w:r>
        <w:lastRenderedPageBreak/>
        <w:t>@article{Kukoc2022,</w:t>
      </w:r>
      <w:r>
        <w:br/>
        <w:t>author = {Kuko{\v{c}}, Andrea and Mihel{\v{c}}i{\'{c}}, Antonija and Miko, Ivan and Romi{\'{c}}, Andrea and Pra{\v{z}}etina, Marko and Tipura, Danijela and Drmi{\'{c}}, {\v{Z}}eljka and {\v{C}}u{\v{c}}kovi{\'{c}}, Marcela and {\'{C}}ur{\v{c}}i{\'{c}}, Maja and Blagaj, Vanja and Lasi{\'{c}}, Hrvoje and Dolenc, Emil and Hleb, Sonja and Almahariq, Hani and Per{\v{s}}ec, Jasminka and {\v{S}}ribar, Andrej},</w:t>
      </w:r>
      <w:r>
        <w:br/>
        <w:t>journal = {Heart and Lung},</w:t>
      </w:r>
      <w:r>
        <w:br/>
        <w:t>number = {March 2020},</w:t>
      </w:r>
      <w:r>
        <w:br/>
        <w:t>pages = {1--10},</w:t>
      </w:r>
      <w:r>
        <w:br/>
        <w:t>pmid = {35104727},</w:t>
      </w:r>
      <w:r>
        <w:br/>
        <w:t>title = {{Clinical and laboratory predictors at ICU admission affecting course of illness and mortality rates in a tertiary COVID-19 center}},</w:t>
      </w:r>
      <w:r>
        <w:br/>
        <w:t>volume = {53},</w:t>
      </w:r>
      <w:r>
        <w:br/>
        <w:t>year = {2022}</w:t>
      </w:r>
      <w:r>
        <w:br/>
        <w:t>}</w:t>
      </w:r>
    </w:p>
    <w:p w14:paraId="3431B7C8" w14:textId="7264531D" w:rsidR="006B6E72" w:rsidRDefault="006B6E72" w:rsidP="006B6E72"/>
    <w:p w14:paraId="28F165FE" w14:textId="77777777" w:rsidR="00890E06" w:rsidRPr="00890E06" w:rsidRDefault="00890E06" w:rsidP="00890E06">
      <w:pPr>
        <w:pStyle w:val="ListParagraph"/>
        <w:numPr>
          <w:ilvl w:val="0"/>
          <w:numId w:val="21"/>
        </w:numPr>
      </w:pPr>
      <w:proofErr w:type="spellStart"/>
      <w:r w:rsidRPr="00890E06">
        <w:rPr>
          <w:b/>
          <w:bCs/>
          <w:lang w:val="en-US"/>
        </w:rPr>
        <w:t>Anotaciones</w:t>
      </w:r>
      <w:proofErr w:type="spellEnd"/>
      <w:r w:rsidRPr="00890E06">
        <w:rPr>
          <w:b/>
          <w:bCs/>
          <w:lang w:val="en-US"/>
        </w:rPr>
        <w:t xml:space="preserve"> a </w:t>
      </w:r>
      <w:proofErr w:type="spellStart"/>
      <w:r w:rsidRPr="00890E06">
        <w:rPr>
          <w:b/>
          <w:bCs/>
          <w:lang w:val="en-US"/>
        </w:rPr>
        <w:t>Haase</w:t>
      </w:r>
      <w:proofErr w:type="spellEnd"/>
      <w:r w:rsidRPr="00890E06">
        <w:rPr>
          <w:b/>
          <w:bCs/>
          <w:lang w:val="en-US"/>
        </w:rPr>
        <w:t xml:space="preserve">, N., </w:t>
      </w:r>
      <w:proofErr w:type="spellStart"/>
      <w:r w:rsidRPr="00890E06">
        <w:rPr>
          <w:b/>
          <w:bCs/>
          <w:lang w:val="en-US"/>
        </w:rPr>
        <w:t>Plovsing</w:t>
      </w:r>
      <w:proofErr w:type="spellEnd"/>
      <w:r w:rsidRPr="00890E06">
        <w:rPr>
          <w:b/>
          <w:bCs/>
          <w:lang w:val="en-US"/>
        </w:rPr>
        <w:t xml:space="preserve">, R., Christensen, S., Poulsen, L. M., </w:t>
      </w:r>
      <w:proofErr w:type="spellStart"/>
      <w:r w:rsidRPr="00890E06">
        <w:rPr>
          <w:b/>
          <w:bCs/>
          <w:lang w:val="en-US"/>
        </w:rPr>
        <w:t>Brøchner</w:t>
      </w:r>
      <w:proofErr w:type="spellEnd"/>
      <w:r w:rsidRPr="00890E06">
        <w:rPr>
          <w:b/>
          <w:bCs/>
          <w:lang w:val="en-US"/>
        </w:rPr>
        <w:t xml:space="preserve">, A. C., Rasmussen, B. S., </w:t>
      </w:r>
      <w:proofErr w:type="spellStart"/>
      <w:r w:rsidRPr="00890E06">
        <w:rPr>
          <w:b/>
          <w:bCs/>
          <w:lang w:val="en-US"/>
        </w:rPr>
        <w:t>Helleberg</w:t>
      </w:r>
      <w:proofErr w:type="spellEnd"/>
      <w:r w:rsidRPr="00890E06">
        <w:rPr>
          <w:b/>
          <w:bCs/>
          <w:lang w:val="en-US"/>
        </w:rPr>
        <w:t xml:space="preserve">, M., Jensen, J. U. S., Andersen, L. P. K., Siegel, H., Ibsen, M., </w:t>
      </w:r>
      <w:proofErr w:type="spellStart"/>
      <w:r w:rsidRPr="00890E06">
        <w:rPr>
          <w:b/>
          <w:bCs/>
          <w:lang w:val="en-US"/>
        </w:rPr>
        <w:t>Jørgensen</w:t>
      </w:r>
      <w:proofErr w:type="spellEnd"/>
      <w:r w:rsidRPr="00890E06">
        <w:rPr>
          <w:b/>
          <w:bCs/>
          <w:lang w:val="en-US"/>
        </w:rPr>
        <w:t xml:space="preserve">, V., Winding, R., Iversen, S., Pedersen, H. P., Madsen, J., </w:t>
      </w:r>
      <w:proofErr w:type="spellStart"/>
      <w:r w:rsidRPr="00890E06">
        <w:rPr>
          <w:b/>
          <w:bCs/>
          <w:lang w:val="en-US"/>
        </w:rPr>
        <w:t>Sølling</w:t>
      </w:r>
      <w:proofErr w:type="spellEnd"/>
      <w:r w:rsidRPr="00890E06">
        <w:rPr>
          <w:b/>
          <w:bCs/>
          <w:lang w:val="en-US"/>
        </w:rPr>
        <w:t xml:space="preserve">, C., Garcia, R. S., Michelsen, J., … </w:t>
      </w:r>
      <w:proofErr w:type="spellStart"/>
      <w:r w:rsidRPr="00890E06">
        <w:rPr>
          <w:b/>
          <w:bCs/>
        </w:rPr>
        <w:t>Perner</w:t>
      </w:r>
      <w:proofErr w:type="spellEnd"/>
      <w:r w:rsidRPr="00890E06">
        <w:rPr>
          <w:b/>
          <w:bCs/>
        </w:rPr>
        <w:t xml:space="preserve">, A. (2021). Characteristics, interventions, and longer term outcomes of COVID-19 ICU patients in Denmark—A nationwide, observational study. </w:t>
      </w:r>
      <w:r w:rsidRPr="00890E06">
        <w:rPr>
          <w:b/>
          <w:bCs/>
          <w:i/>
          <w:iCs/>
        </w:rPr>
        <w:t>Acta Anaesthesiologica Scandinavica</w:t>
      </w:r>
      <w:r w:rsidRPr="00890E06">
        <w:rPr>
          <w:b/>
          <w:bCs/>
        </w:rPr>
        <w:t xml:space="preserve">, </w:t>
      </w:r>
      <w:r w:rsidRPr="00890E06">
        <w:rPr>
          <w:b/>
          <w:bCs/>
          <w:i/>
          <w:iCs/>
        </w:rPr>
        <w:t>65</w:t>
      </w:r>
      <w:r w:rsidRPr="00890E06">
        <w:rPr>
          <w:b/>
          <w:bCs/>
        </w:rPr>
        <w:t xml:space="preserve">(1), 68–7: </w:t>
      </w:r>
    </w:p>
    <w:p w14:paraId="74C8689B" w14:textId="77777777" w:rsidR="00890E06" w:rsidRDefault="00890E06" w:rsidP="00890E06">
      <w:pPr>
        <w:rPr>
          <w:b/>
          <w:bCs/>
          <w:lang w:val="es-ES"/>
        </w:rPr>
      </w:pPr>
    </w:p>
    <w:p w14:paraId="1A4DE42F" w14:textId="373E86DC" w:rsidR="00890E06" w:rsidRPr="00890E06" w:rsidRDefault="00890E06" w:rsidP="00890E06">
      <w:r w:rsidRPr="00890E06">
        <w:rPr>
          <w:b/>
          <w:bCs/>
        </w:rPr>
        <w:t xml:space="preserve">Rmk 1: </w:t>
      </w:r>
      <w:r w:rsidRPr="00890E06">
        <w:t>el objetivo del artículo es presentar las características, intervenciones y desenlaces a largo-plazo de una cohorte de pacientes en UCI por COVID-19 en Dinamarca. (Nota: los pacientes no exceden la capacidad UCI del hospital).</w:t>
      </w:r>
      <w:r w:rsidRPr="00890E06">
        <w:br/>
      </w:r>
      <w:r w:rsidRPr="00890E06">
        <w:br/>
      </w:r>
      <w:r w:rsidRPr="00890E06">
        <w:rPr>
          <w:b/>
          <w:bCs/>
        </w:rPr>
        <w:t xml:space="preserve">Rmk 2: </w:t>
      </w:r>
      <w:r w:rsidRPr="00890E06">
        <w:t>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w:t>
      </w:r>
      <w:r w:rsidRPr="00890E06">
        <w:br/>
      </w:r>
      <w:r w:rsidRPr="00890E06">
        <w:br/>
        <w:t>El análisis multivariado considera las siguientes variables: sexo, heart failure, hypertension, chronic pulmonary disease, chronic kidney disease, active cancer, immunocomprimised, edad, body mass index.</w:t>
      </w:r>
      <w:r w:rsidRPr="00890E06">
        <w:br/>
      </w:r>
      <w:r w:rsidRPr="00890E06">
        <w:br/>
      </w:r>
      <w:r w:rsidRPr="00890E06">
        <w:rPr>
          <w:b/>
          <w:bCs/>
        </w:rPr>
        <w:t xml:space="preserve">Referencia: </w:t>
      </w:r>
    </w:p>
    <w:p w14:paraId="3937A61B" w14:textId="77777777" w:rsidR="00890E06" w:rsidRPr="00890E06" w:rsidRDefault="00890E06" w:rsidP="00890E06">
      <w:r w:rsidRPr="00890E06">
        <w:rPr>
          <w:b/>
          <w:bCs/>
        </w:rPr>
        <w:t>@article{Haase2021,</w:t>
      </w:r>
    </w:p>
    <w:p w14:paraId="26EC3B24" w14:textId="77777777" w:rsidR="00890E06" w:rsidRPr="00890E06" w:rsidRDefault="00890E06" w:rsidP="00890E06">
      <w:r w:rsidRPr="00890E06">
        <w:rPr>
          <w:b/>
          <w:bCs/>
        </w:rPr>
        <w:t xml:space="preserve">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w:t>
      </w:r>
      <w:r w:rsidRPr="00890E06">
        <w:rPr>
          <w:b/>
          <w:bCs/>
        </w:rPr>
        <w:lastRenderedPageBreak/>
        <w:t>Margit and Buck, David Levarett and Ribergaard, Niels Erik and Pedersen, Helle Scharling and Christensen, Birgitte Vieb{\ae}k and Perner, Anders},</w:t>
      </w:r>
    </w:p>
    <w:p w14:paraId="4FA5AC0B" w14:textId="77777777" w:rsidR="00890E06" w:rsidRPr="00890E06" w:rsidRDefault="00890E06" w:rsidP="00890E06">
      <w:r w:rsidRPr="00890E06">
        <w:rPr>
          <w:b/>
          <w:bCs/>
        </w:rPr>
        <w:t>journal = {Acta Anaesthesiologica Scandinavica},</w:t>
      </w:r>
    </w:p>
    <w:p w14:paraId="21C60547" w14:textId="77777777" w:rsidR="00890E06" w:rsidRPr="00890E06" w:rsidRDefault="00890E06" w:rsidP="00890E06">
      <w:r w:rsidRPr="00890E06">
        <w:rPr>
          <w:b/>
          <w:bCs/>
        </w:rPr>
        <w:t>number = {1},</w:t>
      </w:r>
    </w:p>
    <w:p w14:paraId="44C5421E" w14:textId="77777777" w:rsidR="00890E06" w:rsidRPr="00890E06" w:rsidRDefault="00890E06" w:rsidP="00890E06">
      <w:r w:rsidRPr="00890E06">
        <w:rPr>
          <w:b/>
          <w:bCs/>
        </w:rPr>
        <w:t>pages = {68--75},</w:t>
      </w:r>
    </w:p>
    <w:p w14:paraId="5E86641F" w14:textId="77777777" w:rsidR="00890E06" w:rsidRPr="00890E06" w:rsidRDefault="00890E06" w:rsidP="00890E06">
      <w:r w:rsidRPr="00890E06">
        <w:rPr>
          <w:b/>
          <w:bCs/>
        </w:rPr>
        <w:t>title = {{Characteristics, interventions, and longer term outcomes of COVID-19 ICU patients in Denmark—A nationwide, observational study}},</w:t>
      </w:r>
    </w:p>
    <w:p w14:paraId="64BBD054" w14:textId="77777777" w:rsidR="00890E06" w:rsidRPr="00890E06" w:rsidRDefault="00890E06" w:rsidP="00890E06">
      <w:r w:rsidRPr="00890E06">
        <w:rPr>
          <w:b/>
          <w:bCs/>
        </w:rPr>
        <w:t>volume = {65},</w:t>
      </w:r>
    </w:p>
    <w:p w14:paraId="0DD5691D" w14:textId="6DEBEBDA" w:rsidR="006B6E72" w:rsidRPr="00890E06" w:rsidRDefault="00890E06" w:rsidP="00890E06">
      <w:r w:rsidRPr="00890E06">
        <w:rPr>
          <w:b/>
          <w:bCs/>
        </w:rPr>
        <w:t>year = {2021}}</w:t>
      </w:r>
    </w:p>
    <w:p w14:paraId="378E806C" w14:textId="77777777" w:rsidR="00D26E63" w:rsidRPr="006B6E72" w:rsidRDefault="00D26E63" w:rsidP="00F17584">
      <w:pPr>
        <w:shd w:val="clear" w:color="auto" w:fill="FFFFFF"/>
        <w:rPr>
          <w:color w:val="2E2E2E"/>
          <w:lang w:eastAsia="es-CO"/>
        </w:rPr>
      </w:pPr>
    </w:p>
    <w:p w14:paraId="0236E3C0" w14:textId="57A709BD" w:rsidR="0064248D" w:rsidRDefault="0064248D" w:rsidP="00D31D95"/>
    <w:p w14:paraId="3E2D8668" w14:textId="738A0916" w:rsidR="00D26E63" w:rsidRDefault="00D26E63" w:rsidP="00D31D95"/>
    <w:p w14:paraId="118B91DF" w14:textId="3267DBAC" w:rsidR="00D26E63" w:rsidRDefault="00D26E63" w:rsidP="00D31D95"/>
    <w:p w14:paraId="55633026" w14:textId="593AF366" w:rsidR="00D26E63" w:rsidRDefault="00D26E63" w:rsidP="00D31D95"/>
    <w:p w14:paraId="459888D7" w14:textId="07C67275" w:rsidR="00D26E63" w:rsidRDefault="00D26E63" w:rsidP="00D31D95"/>
    <w:p w14:paraId="63219784" w14:textId="1ABE98D1" w:rsidR="00D26E63" w:rsidRDefault="00D26E63" w:rsidP="00D31D95"/>
    <w:p w14:paraId="1CF9590D" w14:textId="24DA1A5F" w:rsidR="00D26E63" w:rsidRDefault="00D26E63" w:rsidP="00D31D95"/>
    <w:p w14:paraId="5E326F66" w14:textId="4FE8816F" w:rsidR="00D26E63" w:rsidRDefault="00D26E63" w:rsidP="00D31D95"/>
    <w:p w14:paraId="25BA4FF3" w14:textId="7799E1D5" w:rsidR="00D26E63" w:rsidRDefault="00D26E63" w:rsidP="00D31D95"/>
    <w:p w14:paraId="6579B04C" w14:textId="086D40A2" w:rsidR="00D26E63" w:rsidRDefault="00D26E63" w:rsidP="00D31D95"/>
    <w:p w14:paraId="62554557" w14:textId="7C52072C" w:rsidR="00D26E63" w:rsidRDefault="00D26E63" w:rsidP="00D31D95"/>
    <w:p w14:paraId="71EA2AC0" w14:textId="3F770D0C" w:rsidR="00D26E63" w:rsidRDefault="00D26E63" w:rsidP="00D31D95"/>
    <w:p w14:paraId="553C6498" w14:textId="08EBEFE4" w:rsidR="00D26E63" w:rsidRDefault="00D26E63" w:rsidP="00D31D95"/>
    <w:p w14:paraId="5E5EBB0B" w14:textId="733A7E31" w:rsidR="00D26E63" w:rsidRDefault="00D26E63" w:rsidP="00D31D95"/>
    <w:p w14:paraId="26081EE7" w14:textId="20965C8F" w:rsidR="00D26E63" w:rsidRDefault="00D26E63" w:rsidP="00D31D95"/>
    <w:p w14:paraId="4369AF38" w14:textId="4873C5F1" w:rsidR="00D26E63" w:rsidRDefault="00D26E63" w:rsidP="00D31D95"/>
    <w:p w14:paraId="1C7D9D26" w14:textId="1A02722E" w:rsidR="00D26E63" w:rsidRDefault="00D26E63" w:rsidP="00D31D95"/>
    <w:p w14:paraId="6AE30B1A" w14:textId="232DCDB9" w:rsidR="00D26E63" w:rsidRDefault="00D26E63" w:rsidP="00D31D95"/>
    <w:p w14:paraId="2F39EDA0" w14:textId="5C5DEE89" w:rsidR="00D26E63" w:rsidRDefault="00D26E63" w:rsidP="00D31D95"/>
    <w:p w14:paraId="1A94EEB0" w14:textId="5E95A583" w:rsidR="00D26E63" w:rsidRDefault="00D26E63" w:rsidP="00D31D95"/>
    <w:p w14:paraId="2DFB68AF" w14:textId="20EBD01A" w:rsidR="00D26E63" w:rsidRDefault="00D26E63" w:rsidP="00D31D95"/>
    <w:p w14:paraId="119B36B6" w14:textId="0A8E9F9D" w:rsidR="00D26E63" w:rsidRDefault="00D26E63" w:rsidP="00D31D95"/>
    <w:p w14:paraId="1C8E060E" w14:textId="0F8B0D86" w:rsidR="00D26E63" w:rsidRDefault="00D26E63" w:rsidP="00D31D95"/>
    <w:p w14:paraId="64927743" w14:textId="61F63E46" w:rsidR="00D26E63" w:rsidRDefault="00D26E63" w:rsidP="00D31D95"/>
    <w:p w14:paraId="3EBFE3B7" w14:textId="628FA69D" w:rsidR="00D26E63" w:rsidRDefault="00D26E63" w:rsidP="00D31D95"/>
    <w:p w14:paraId="3BF7CBA6" w14:textId="2C4C6763" w:rsidR="00D26E63" w:rsidRDefault="00D26E63" w:rsidP="00D31D95"/>
    <w:p w14:paraId="0A2710C4" w14:textId="17BAF3D7" w:rsidR="00D26E63" w:rsidRDefault="00D26E63" w:rsidP="00D31D95"/>
    <w:p w14:paraId="7A294144" w14:textId="1BB9B675" w:rsidR="00D26E63" w:rsidRDefault="00D26E63" w:rsidP="00D31D95"/>
    <w:p w14:paraId="3E995795" w14:textId="1BC1C7FF" w:rsidR="00D26E63" w:rsidRDefault="00D26E63" w:rsidP="00D31D95"/>
    <w:p w14:paraId="74224572" w14:textId="61CF0F03" w:rsidR="00D26E63" w:rsidRDefault="00D26E63" w:rsidP="00D31D95"/>
    <w:p w14:paraId="5F7FD5CE" w14:textId="463A395F" w:rsidR="00D26E63" w:rsidRDefault="00D26E63" w:rsidP="00D31D95"/>
    <w:p w14:paraId="42B7BCD1" w14:textId="1DD36675" w:rsidR="00D26E63" w:rsidRDefault="00D26E63" w:rsidP="00D31D95"/>
    <w:p w14:paraId="520E69C0" w14:textId="0DFBBD06" w:rsidR="00D26E63" w:rsidRDefault="00D26E63" w:rsidP="00D31D95"/>
    <w:p w14:paraId="0D8F5398" w14:textId="4E869B7A" w:rsidR="00D26E63" w:rsidRDefault="00D26E63" w:rsidP="00D31D95"/>
    <w:p w14:paraId="1D076613" w14:textId="3FE396B5" w:rsidR="00D26E63" w:rsidRDefault="00D26E63" w:rsidP="00D31D95"/>
    <w:p w14:paraId="19197340" w14:textId="00671B65" w:rsidR="00D26E63" w:rsidRDefault="00D26E63" w:rsidP="00D31D95"/>
    <w:p w14:paraId="0E92AD90" w14:textId="2C1925D0" w:rsidR="00D26E63" w:rsidRDefault="00D26E63" w:rsidP="00D31D95"/>
    <w:p w14:paraId="5BCC5CC2" w14:textId="4A0F535F" w:rsidR="00D26E63" w:rsidRDefault="00D26E63" w:rsidP="00D31D95"/>
    <w:p w14:paraId="48FE35A2" w14:textId="5B5C64B0" w:rsidR="00D26E63" w:rsidRDefault="00D26E63" w:rsidP="00D31D95"/>
    <w:p w14:paraId="028F8FCE" w14:textId="588C7979" w:rsidR="00D26E63" w:rsidRDefault="00D26E63" w:rsidP="00D31D95"/>
    <w:p w14:paraId="201CF42C" w14:textId="77777777" w:rsidR="00D26E63" w:rsidRPr="006B6E72" w:rsidRDefault="00D26E63" w:rsidP="00D31D95"/>
    <w:p w14:paraId="656FF86A" w14:textId="77777777" w:rsidR="002C7C49" w:rsidRPr="006B6E72" w:rsidRDefault="002C7C49" w:rsidP="002C7C49"/>
    <w:p w14:paraId="6B574B66" w14:textId="7CBB6217" w:rsidR="00EC535F" w:rsidRDefault="00EC3CB1" w:rsidP="00EC3CB1">
      <w:pPr>
        <w:jc w:val="center"/>
        <w:rPr>
          <w:b/>
          <w:sz w:val="40"/>
          <w:szCs w:val="40"/>
          <w:lang w:val="es-CO"/>
        </w:rPr>
      </w:pPr>
      <w:r w:rsidRPr="00EC3CB1">
        <w:rPr>
          <w:b/>
          <w:sz w:val="40"/>
          <w:szCs w:val="40"/>
          <w:lang w:val="es-CO"/>
        </w:rPr>
        <w:t>ANEXO 1</w:t>
      </w:r>
      <w:r>
        <w:rPr>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b/>
          <w:sz w:val="40"/>
          <w:szCs w:val="40"/>
          <w:lang w:val="es-CO"/>
        </w:rPr>
      </w:pPr>
    </w:p>
    <w:p w14:paraId="64D9E0A6" w14:textId="036D5544" w:rsidR="00EC3CB1" w:rsidRPr="00D5252D" w:rsidRDefault="00D5252D" w:rsidP="00D5252D">
      <w:pPr>
        <w:pStyle w:val="ListParagraph"/>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ListParagraph"/>
        <w:jc w:val="both"/>
        <w:rPr>
          <w:rFonts w:ascii="Times New Roman" w:hAnsi="Times New Roman" w:cs="Times New Roman"/>
          <w:b/>
          <w:sz w:val="24"/>
          <w:szCs w:val="24"/>
          <w:lang w:val="es-CO"/>
        </w:rPr>
      </w:pPr>
    </w:p>
    <w:p w14:paraId="25DA1D7C" w14:textId="3DB7971A" w:rsidR="00D5252D" w:rsidRDefault="00D5252D" w:rsidP="00D5252D">
      <w:pPr>
        <w:pStyle w:val="ListParagraph"/>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ListParagraph"/>
        <w:rPr>
          <w:rFonts w:ascii="Times New Roman" w:hAnsi="Times New Roman" w:cs="Times New Roman"/>
          <w:sz w:val="24"/>
          <w:szCs w:val="24"/>
          <w:lang w:val="es-CO"/>
        </w:rPr>
      </w:pPr>
    </w:p>
    <w:p w14:paraId="45F3831B" w14:textId="711EF2A1" w:rsidR="00917425" w:rsidRDefault="00917425" w:rsidP="00D5252D">
      <w:pPr>
        <w:pStyle w:val="ListParagraph"/>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ListParagraph"/>
        <w:rPr>
          <w:rFonts w:ascii="Times New Roman" w:hAnsi="Times New Roman" w:cs="Times New Roman"/>
          <w:sz w:val="24"/>
          <w:szCs w:val="24"/>
          <w:lang w:val="es-CO"/>
        </w:rPr>
      </w:pPr>
    </w:p>
    <w:p w14:paraId="4B4EF483" w14:textId="46F4D909" w:rsidR="00917425" w:rsidRPr="00D5252D" w:rsidRDefault="00917425" w:rsidP="00D5252D">
      <w:pPr>
        <w:pStyle w:val="ListParagraph"/>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Logrank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ListParagraph"/>
        <w:jc w:val="both"/>
        <w:rPr>
          <w:rFonts w:ascii="Times New Roman" w:hAnsi="Times New Roman" w:cs="Times New Roman"/>
          <w:b/>
          <w:sz w:val="24"/>
          <w:szCs w:val="24"/>
          <w:lang w:val="es-CO"/>
        </w:rPr>
      </w:pPr>
    </w:p>
    <w:p w14:paraId="3F0EEE40" w14:textId="355BBD35" w:rsidR="00D5252D" w:rsidRDefault="00D5252D" w:rsidP="00D5252D">
      <w:pPr>
        <w:jc w:val="both"/>
        <w:rPr>
          <w:lang w:val="es-CO"/>
        </w:rPr>
      </w:pPr>
    </w:p>
    <w:p w14:paraId="1B766410" w14:textId="77777777" w:rsidR="00D5252D" w:rsidRDefault="00D5252D" w:rsidP="00D5252D">
      <w:pPr>
        <w:jc w:val="both"/>
        <w:rPr>
          <w:lang w:val="es-CO"/>
        </w:rPr>
      </w:pPr>
    </w:p>
    <w:p w14:paraId="1C50A576" w14:textId="5228C91A" w:rsidR="00D5252D" w:rsidRDefault="00D5252D" w:rsidP="00D5252D">
      <w:pPr>
        <w:jc w:val="both"/>
        <w:rPr>
          <w:b/>
          <w:lang w:val="es-CO"/>
        </w:rPr>
      </w:pPr>
    </w:p>
    <w:p w14:paraId="01B7DCB7" w14:textId="39463867" w:rsidR="00D5252D" w:rsidRDefault="00D5252D" w:rsidP="00D5252D">
      <w:pPr>
        <w:jc w:val="both"/>
        <w:rPr>
          <w:b/>
          <w:lang w:val="es-CO"/>
        </w:rPr>
      </w:pPr>
    </w:p>
    <w:p w14:paraId="2D6F481B" w14:textId="5AAE4D6B" w:rsidR="00EC535F" w:rsidRDefault="00EC535F">
      <w:pPr>
        <w:rPr>
          <w:lang w:val="es-CO"/>
        </w:rPr>
      </w:pPr>
    </w:p>
    <w:p w14:paraId="6BDCFB41" w14:textId="77777777" w:rsidR="00EC3CB1" w:rsidRPr="00EC3CB1" w:rsidRDefault="00EC3CB1">
      <w:pPr>
        <w:rPr>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F8773" w14:textId="77777777" w:rsidR="00A66EF0" w:rsidRDefault="00A66EF0" w:rsidP="00622EA6">
      <w:r>
        <w:separator/>
      </w:r>
    </w:p>
  </w:endnote>
  <w:endnote w:type="continuationSeparator" w:id="0">
    <w:p w14:paraId="23D02336" w14:textId="77777777" w:rsidR="00A66EF0" w:rsidRDefault="00A66EF0"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8833672"/>
      <w:docPartObj>
        <w:docPartGallery w:val="Page Numbers (Bottom of Page)"/>
        <w:docPartUnique/>
      </w:docPartObj>
    </w:sdtPr>
    <w:sdtEndPr>
      <w:rPr>
        <w:rStyle w:val="PageNumber"/>
      </w:rPr>
    </w:sdtEndPr>
    <w:sdtContent>
      <w:p w14:paraId="4B835886" w14:textId="44D39EDB" w:rsidR="00EC3CB1" w:rsidRDefault="00EC3CB1" w:rsidP="00EC3C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50AFD" w14:textId="77777777" w:rsidR="00EC3CB1" w:rsidRDefault="00EC3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804600"/>
      <w:docPartObj>
        <w:docPartGallery w:val="Page Numbers (Bottom of Page)"/>
        <w:docPartUnique/>
      </w:docPartObj>
    </w:sdtPr>
    <w:sdtEndPr>
      <w:rPr>
        <w:rStyle w:val="PageNumber"/>
      </w:rPr>
    </w:sdtEndPr>
    <w:sdtContent>
      <w:p w14:paraId="0D30FA6F" w14:textId="0036B42F" w:rsidR="00EC3CB1" w:rsidRDefault="00EC3CB1" w:rsidP="00EC3C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56C785" w14:textId="77777777" w:rsidR="00EC3CB1" w:rsidRDefault="00EC3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81A83" w14:textId="77777777" w:rsidR="00A66EF0" w:rsidRDefault="00A66EF0" w:rsidP="00622EA6">
      <w:r>
        <w:separator/>
      </w:r>
    </w:p>
  </w:footnote>
  <w:footnote w:type="continuationSeparator" w:id="0">
    <w:p w14:paraId="26C2EB4A" w14:textId="77777777" w:rsidR="00A66EF0" w:rsidRDefault="00A66EF0" w:rsidP="00622EA6">
      <w:r>
        <w:continuationSeparator/>
      </w:r>
    </w:p>
  </w:footnote>
  <w:footnote w:id="1">
    <w:p w14:paraId="6E0ED6A0" w14:textId="77777777" w:rsidR="00EC3CB1" w:rsidRPr="001133FE" w:rsidRDefault="00EC3CB1" w:rsidP="00622EA6">
      <w:pPr>
        <w:pStyle w:val="FootnoteText"/>
        <w:rPr>
          <w:lang w:val="en-US"/>
        </w:rPr>
      </w:pPr>
      <w:r>
        <w:rPr>
          <w:rStyle w:val="FootnoteReferenc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FootnoteText"/>
      </w:pPr>
      <w:r>
        <w:rPr>
          <w:rStyle w:val="FootnoteReferenc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FootnoteText"/>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FootnoteText"/>
      </w:pPr>
      <w:r>
        <w:rPr>
          <w:rStyle w:val="FootnoteReferenc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FootnoteText"/>
        <w:rPr>
          <w:rFonts w:ascii="Times New Roman" w:hAnsi="Times New Roman" w:cs="Times New Roman"/>
          <w:lang w:val="es-CO"/>
        </w:rPr>
      </w:pPr>
      <w:r>
        <w:rPr>
          <w:rStyle w:val="FootnoteReference"/>
        </w:rPr>
        <w:footnoteRef/>
      </w:r>
      <w:r>
        <w:t xml:space="preserve"> </w:t>
      </w:r>
      <w:r w:rsidRPr="00DC6B38">
        <w:rPr>
          <w:rFonts w:ascii="Times New Roman" w:hAnsi="Times New Roman" w:cs="Times New Roman"/>
          <w:lang w:val="es-CO"/>
        </w:rPr>
        <w:t>De hecho, hubo un estudio sistemático y meta-análisis que verificó, entre otras cosas, que los odds ratios de requerir un ingreso a UCI, así como la mortalidad en general, es superior en pacientes de sexo masculino (Peckham et al., 2020. Male sex identified by global COVID-19 meta-análisis como un factor de riesgo de muerte e ingreso en UCI).</w:t>
      </w:r>
    </w:p>
  </w:footnote>
  <w:footnote w:id="10">
    <w:p w14:paraId="63EE495E" w14:textId="4EE48363" w:rsidR="00EC3CB1" w:rsidRPr="00DC6B38" w:rsidRDefault="00EC3CB1">
      <w:pPr>
        <w:pStyle w:val="FootnoteText"/>
        <w:rPr>
          <w:rFonts w:ascii="Times New Roman" w:hAnsi="Times New Roman" w:cs="Times New Roman"/>
          <w:lang w:val="es-CO"/>
        </w:rPr>
      </w:pPr>
      <w:r w:rsidRPr="00DC6B38">
        <w:rPr>
          <w:rStyle w:val="FootnoteReferenc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4A2B"/>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9383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F5411"/>
    <w:multiLevelType w:val="hybridMultilevel"/>
    <w:tmpl w:val="3ED83B78"/>
    <w:lvl w:ilvl="0" w:tplc="9AAC20D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5"/>
  </w:num>
  <w:num w:numId="4">
    <w:abstractNumId w:val="19"/>
  </w:num>
  <w:num w:numId="5">
    <w:abstractNumId w:val="16"/>
  </w:num>
  <w:num w:numId="6">
    <w:abstractNumId w:val="1"/>
  </w:num>
  <w:num w:numId="7">
    <w:abstractNumId w:val="7"/>
  </w:num>
  <w:num w:numId="8">
    <w:abstractNumId w:val="27"/>
  </w:num>
  <w:num w:numId="9">
    <w:abstractNumId w:val="5"/>
  </w:num>
  <w:num w:numId="10">
    <w:abstractNumId w:val="13"/>
  </w:num>
  <w:num w:numId="11">
    <w:abstractNumId w:val="20"/>
  </w:num>
  <w:num w:numId="12">
    <w:abstractNumId w:val="2"/>
  </w:num>
  <w:num w:numId="13">
    <w:abstractNumId w:val="10"/>
  </w:num>
  <w:num w:numId="14">
    <w:abstractNumId w:val="24"/>
  </w:num>
  <w:num w:numId="15">
    <w:abstractNumId w:val="4"/>
  </w:num>
  <w:num w:numId="16">
    <w:abstractNumId w:val="23"/>
  </w:num>
  <w:num w:numId="17">
    <w:abstractNumId w:val="0"/>
  </w:num>
  <w:num w:numId="18">
    <w:abstractNumId w:val="9"/>
  </w:num>
  <w:num w:numId="19">
    <w:abstractNumId w:val="14"/>
  </w:num>
  <w:num w:numId="20">
    <w:abstractNumId w:val="22"/>
  </w:num>
  <w:num w:numId="21">
    <w:abstractNumId w:val="17"/>
  </w:num>
  <w:num w:numId="22">
    <w:abstractNumId w:val="15"/>
  </w:num>
  <w:num w:numId="23">
    <w:abstractNumId w:val="8"/>
  </w:num>
  <w:num w:numId="24">
    <w:abstractNumId w:val="26"/>
  </w:num>
  <w:num w:numId="25">
    <w:abstractNumId w:val="6"/>
  </w:num>
  <w:num w:numId="26">
    <w:abstractNumId w:val="18"/>
  </w:num>
  <w:num w:numId="27">
    <w:abstractNumId w:val="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2494E"/>
    <w:rsid w:val="00067CC3"/>
    <w:rsid w:val="00070524"/>
    <w:rsid w:val="000B2CAE"/>
    <w:rsid w:val="000C3FAC"/>
    <w:rsid w:val="000D02CA"/>
    <w:rsid w:val="000D0707"/>
    <w:rsid w:val="000F1E19"/>
    <w:rsid w:val="001040D9"/>
    <w:rsid w:val="00134A12"/>
    <w:rsid w:val="001429CF"/>
    <w:rsid w:val="00186FE2"/>
    <w:rsid w:val="001B0E3A"/>
    <w:rsid w:val="001B2414"/>
    <w:rsid w:val="001E0516"/>
    <w:rsid w:val="00207AB7"/>
    <w:rsid w:val="00215857"/>
    <w:rsid w:val="00254607"/>
    <w:rsid w:val="00281757"/>
    <w:rsid w:val="002C7C49"/>
    <w:rsid w:val="00306BE9"/>
    <w:rsid w:val="0031767C"/>
    <w:rsid w:val="003223AA"/>
    <w:rsid w:val="0036526E"/>
    <w:rsid w:val="00382D6B"/>
    <w:rsid w:val="00390E0B"/>
    <w:rsid w:val="00396744"/>
    <w:rsid w:val="003E071D"/>
    <w:rsid w:val="00401227"/>
    <w:rsid w:val="004D1716"/>
    <w:rsid w:val="004E3235"/>
    <w:rsid w:val="00503B52"/>
    <w:rsid w:val="00535A2E"/>
    <w:rsid w:val="00536BB9"/>
    <w:rsid w:val="00541FA9"/>
    <w:rsid w:val="005771CF"/>
    <w:rsid w:val="005C7F54"/>
    <w:rsid w:val="005D7078"/>
    <w:rsid w:val="005E1C50"/>
    <w:rsid w:val="00622EA6"/>
    <w:rsid w:val="0064248D"/>
    <w:rsid w:val="00660CFB"/>
    <w:rsid w:val="0069585E"/>
    <w:rsid w:val="006B6E72"/>
    <w:rsid w:val="006C4064"/>
    <w:rsid w:val="006C4B37"/>
    <w:rsid w:val="006D076C"/>
    <w:rsid w:val="006D4C0B"/>
    <w:rsid w:val="006F6AA1"/>
    <w:rsid w:val="0071459C"/>
    <w:rsid w:val="0075529B"/>
    <w:rsid w:val="00757F10"/>
    <w:rsid w:val="007716B2"/>
    <w:rsid w:val="007B58B3"/>
    <w:rsid w:val="007C2A3D"/>
    <w:rsid w:val="007D2098"/>
    <w:rsid w:val="0085465C"/>
    <w:rsid w:val="00872363"/>
    <w:rsid w:val="00890E06"/>
    <w:rsid w:val="00897FEF"/>
    <w:rsid w:val="008F6A41"/>
    <w:rsid w:val="00917425"/>
    <w:rsid w:val="009726A3"/>
    <w:rsid w:val="009B1D76"/>
    <w:rsid w:val="009C0F83"/>
    <w:rsid w:val="00A66EF0"/>
    <w:rsid w:val="00AC2065"/>
    <w:rsid w:val="00AE3309"/>
    <w:rsid w:val="00AE3E22"/>
    <w:rsid w:val="00B27C69"/>
    <w:rsid w:val="00B72173"/>
    <w:rsid w:val="00BB7139"/>
    <w:rsid w:val="00BE4189"/>
    <w:rsid w:val="00BF4D7A"/>
    <w:rsid w:val="00C6055F"/>
    <w:rsid w:val="00C70248"/>
    <w:rsid w:val="00CF30BE"/>
    <w:rsid w:val="00D26E63"/>
    <w:rsid w:val="00D31D95"/>
    <w:rsid w:val="00D31D97"/>
    <w:rsid w:val="00D376F4"/>
    <w:rsid w:val="00D5252D"/>
    <w:rsid w:val="00DA070B"/>
    <w:rsid w:val="00DC6B38"/>
    <w:rsid w:val="00DC76CE"/>
    <w:rsid w:val="00DE4DF8"/>
    <w:rsid w:val="00E57EF4"/>
    <w:rsid w:val="00E95B2B"/>
    <w:rsid w:val="00EB1327"/>
    <w:rsid w:val="00EC3CB1"/>
    <w:rsid w:val="00EC535F"/>
    <w:rsid w:val="00EE1310"/>
    <w:rsid w:val="00EF7695"/>
    <w:rsid w:val="00F17584"/>
    <w:rsid w:val="00F444F1"/>
    <w:rsid w:val="00F80058"/>
    <w:rsid w:val="00FC0D33"/>
    <w:rsid w:val="00FE62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76"/>
    <w:rPr>
      <w:rFonts w:ascii="Times New Roman" w:eastAsia="Times New Roman" w:hAnsi="Times New Roman" w:cs="Times New Roman"/>
      <w:lang w:val="en-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A6"/>
    <w:pPr>
      <w:ind w:left="720"/>
      <w:contextualSpacing/>
    </w:pPr>
    <w:rPr>
      <w:rFonts w:asciiTheme="minorHAnsi" w:eastAsiaTheme="minorHAnsi" w:hAnsiTheme="minorHAnsi" w:cstheme="minorBidi"/>
      <w:sz w:val="22"/>
      <w:szCs w:val="22"/>
      <w:lang w:val="es-ES"/>
    </w:rPr>
  </w:style>
  <w:style w:type="paragraph" w:styleId="FootnoteText">
    <w:name w:val="footnote text"/>
    <w:basedOn w:val="Normal"/>
    <w:link w:val="FootnoteTextChar"/>
    <w:uiPriority w:val="99"/>
    <w:semiHidden/>
    <w:unhideWhenUsed/>
    <w:rsid w:val="00622EA6"/>
    <w:rPr>
      <w:rFonts w:asciiTheme="minorHAnsi" w:eastAsiaTheme="minorHAnsi" w:hAnsiTheme="minorHAnsi" w:cstheme="minorBidi"/>
      <w:sz w:val="20"/>
      <w:szCs w:val="20"/>
      <w:lang w:val="es-ES"/>
    </w:rPr>
  </w:style>
  <w:style w:type="character" w:customStyle="1" w:styleId="FootnoteTextChar">
    <w:name w:val="Footnote Text Char"/>
    <w:basedOn w:val="DefaultParagraphFont"/>
    <w:link w:val="FootnoteText"/>
    <w:uiPriority w:val="99"/>
    <w:semiHidden/>
    <w:rsid w:val="00622EA6"/>
    <w:rPr>
      <w:sz w:val="20"/>
      <w:szCs w:val="20"/>
      <w:lang w:val="es-ES"/>
    </w:rPr>
  </w:style>
  <w:style w:type="character" w:styleId="FootnoteReference">
    <w:name w:val="footnote reference"/>
    <w:basedOn w:val="DefaultParagraphFont"/>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lang w:val="es-ES" w:eastAsia="es-ES"/>
    </w:rPr>
  </w:style>
  <w:style w:type="character" w:styleId="PlaceholderText">
    <w:name w:val="Placeholder Text"/>
    <w:basedOn w:val="DefaultParagraphFont"/>
    <w:uiPriority w:val="99"/>
    <w:semiHidden/>
    <w:rsid w:val="0031767C"/>
    <w:rPr>
      <w:color w:val="808080"/>
    </w:rPr>
  </w:style>
  <w:style w:type="paragraph" w:styleId="Footer">
    <w:name w:val="footer"/>
    <w:basedOn w:val="Normal"/>
    <w:link w:val="FooterChar"/>
    <w:uiPriority w:val="99"/>
    <w:unhideWhenUsed/>
    <w:rsid w:val="00541FA9"/>
    <w:pPr>
      <w:tabs>
        <w:tab w:val="center" w:pos="4680"/>
        <w:tab w:val="right" w:pos="9360"/>
      </w:tabs>
    </w:pPr>
    <w:rPr>
      <w:rFonts w:asciiTheme="minorHAnsi" w:eastAsiaTheme="minorHAnsi" w:hAnsiTheme="minorHAnsi" w:cstheme="minorBidi"/>
      <w:sz w:val="22"/>
      <w:szCs w:val="22"/>
      <w:lang w:val="es-ES"/>
    </w:rPr>
  </w:style>
  <w:style w:type="character" w:customStyle="1" w:styleId="FooterChar">
    <w:name w:val="Footer Char"/>
    <w:basedOn w:val="DefaultParagraphFont"/>
    <w:link w:val="Footer"/>
    <w:uiPriority w:val="99"/>
    <w:rsid w:val="00541FA9"/>
    <w:rPr>
      <w:sz w:val="22"/>
      <w:szCs w:val="22"/>
      <w:lang w:val="es-ES"/>
    </w:rPr>
  </w:style>
  <w:style w:type="character" w:styleId="PageNumber">
    <w:name w:val="page number"/>
    <w:basedOn w:val="DefaultParagraphFont"/>
    <w:uiPriority w:val="99"/>
    <w:semiHidden/>
    <w:unhideWhenUsed/>
    <w:rsid w:val="00541FA9"/>
  </w:style>
  <w:style w:type="character" w:styleId="Hyperlink">
    <w:name w:val="Hyperlink"/>
    <w:basedOn w:val="DefaultParagraphFont"/>
    <w:uiPriority w:val="99"/>
    <w:unhideWhenUsed/>
    <w:rsid w:val="00B27C69"/>
    <w:rPr>
      <w:color w:val="0563C1" w:themeColor="hyperlink"/>
      <w:u w:val="single"/>
    </w:rPr>
  </w:style>
  <w:style w:type="character" w:styleId="UnresolvedMention">
    <w:name w:val="Unresolved Mention"/>
    <w:basedOn w:val="DefaultParagraphFont"/>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79505">
      <w:bodyDiv w:val="1"/>
      <w:marLeft w:val="0"/>
      <w:marRight w:val="0"/>
      <w:marTop w:val="0"/>
      <w:marBottom w:val="0"/>
      <w:divBdr>
        <w:top w:val="none" w:sz="0" w:space="0" w:color="auto"/>
        <w:left w:val="none" w:sz="0" w:space="0" w:color="auto"/>
        <w:bottom w:val="none" w:sz="0" w:space="0" w:color="auto"/>
        <w:right w:val="none" w:sz="0" w:space="0" w:color="auto"/>
      </w:divBdr>
    </w:div>
    <w:div w:id="268781176">
      <w:bodyDiv w:val="1"/>
      <w:marLeft w:val="0"/>
      <w:marRight w:val="0"/>
      <w:marTop w:val="0"/>
      <w:marBottom w:val="0"/>
      <w:divBdr>
        <w:top w:val="none" w:sz="0" w:space="0" w:color="auto"/>
        <w:left w:val="none" w:sz="0" w:space="0" w:color="auto"/>
        <w:bottom w:val="none" w:sz="0" w:space="0" w:color="auto"/>
        <w:right w:val="none" w:sz="0" w:space="0" w:color="auto"/>
      </w:divBdr>
    </w:div>
    <w:div w:id="529801896">
      <w:bodyDiv w:val="1"/>
      <w:marLeft w:val="0"/>
      <w:marRight w:val="0"/>
      <w:marTop w:val="0"/>
      <w:marBottom w:val="0"/>
      <w:divBdr>
        <w:top w:val="none" w:sz="0" w:space="0" w:color="auto"/>
        <w:left w:val="none" w:sz="0" w:space="0" w:color="auto"/>
        <w:bottom w:val="none" w:sz="0" w:space="0" w:color="auto"/>
        <w:right w:val="none" w:sz="0" w:space="0" w:color="auto"/>
      </w:divBdr>
    </w:div>
    <w:div w:id="579212473">
      <w:bodyDiv w:val="1"/>
      <w:marLeft w:val="0"/>
      <w:marRight w:val="0"/>
      <w:marTop w:val="0"/>
      <w:marBottom w:val="0"/>
      <w:divBdr>
        <w:top w:val="none" w:sz="0" w:space="0" w:color="auto"/>
        <w:left w:val="none" w:sz="0" w:space="0" w:color="auto"/>
        <w:bottom w:val="none" w:sz="0" w:space="0" w:color="auto"/>
        <w:right w:val="none" w:sz="0" w:space="0" w:color="auto"/>
      </w:divBdr>
      <w:divsChild>
        <w:div w:id="785194439">
          <w:marLeft w:val="0"/>
          <w:marRight w:val="0"/>
          <w:marTop w:val="0"/>
          <w:marBottom w:val="0"/>
          <w:divBdr>
            <w:top w:val="none" w:sz="0" w:space="0" w:color="auto"/>
            <w:left w:val="none" w:sz="0" w:space="0" w:color="auto"/>
            <w:bottom w:val="none" w:sz="0" w:space="0" w:color="auto"/>
            <w:right w:val="none" w:sz="0" w:space="0" w:color="auto"/>
          </w:divBdr>
        </w:div>
        <w:div w:id="1893425811">
          <w:marLeft w:val="0"/>
          <w:marRight w:val="0"/>
          <w:marTop w:val="0"/>
          <w:marBottom w:val="0"/>
          <w:divBdr>
            <w:top w:val="none" w:sz="0" w:space="0" w:color="auto"/>
            <w:left w:val="none" w:sz="0" w:space="0" w:color="auto"/>
            <w:bottom w:val="none" w:sz="0" w:space="0" w:color="auto"/>
            <w:right w:val="none" w:sz="0" w:space="0" w:color="auto"/>
          </w:divBdr>
        </w:div>
        <w:div w:id="1248147961">
          <w:marLeft w:val="0"/>
          <w:marRight w:val="0"/>
          <w:marTop w:val="0"/>
          <w:marBottom w:val="0"/>
          <w:divBdr>
            <w:top w:val="none" w:sz="0" w:space="0" w:color="auto"/>
            <w:left w:val="none" w:sz="0" w:space="0" w:color="auto"/>
            <w:bottom w:val="none" w:sz="0" w:space="0" w:color="auto"/>
            <w:right w:val="none" w:sz="0" w:space="0" w:color="auto"/>
          </w:divBdr>
        </w:div>
        <w:div w:id="452333069">
          <w:marLeft w:val="0"/>
          <w:marRight w:val="0"/>
          <w:marTop w:val="0"/>
          <w:marBottom w:val="0"/>
          <w:divBdr>
            <w:top w:val="none" w:sz="0" w:space="0" w:color="auto"/>
            <w:left w:val="none" w:sz="0" w:space="0" w:color="auto"/>
            <w:bottom w:val="none" w:sz="0" w:space="0" w:color="auto"/>
            <w:right w:val="none" w:sz="0" w:space="0" w:color="auto"/>
          </w:divBdr>
        </w:div>
        <w:div w:id="68040430">
          <w:marLeft w:val="0"/>
          <w:marRight w:val="0"/>
          <w:marTop w:val="0"/>
          <w:marBottom w:val="0"/>
          <w:divBdr>
            <w:top w:val="none" w:sz="0" w:space="0" w:color="auto"/>
            <w:left w:val="none" w:sz="0" w:space="0" w:color="auto"/>
            <w:bottom w:val="none" w:sz="0" w:space="0" w:color="auto"/>
            <w:right w:val="none" w:sz="0" w:space="0" w:color="auto"/>
          </w:divBdr>
        </w:div>
        <w:div w:id="1688360510">
          <w:marLeft w:val="0"/>
          <w:marRight w:val="0"/>
          <w:marTop w:val="0"/>
          <w:marBottom w:val="0"/>
          <w:divBdr>
            <w:top w:val="none" w:sz="0" w:space="0" w:color="auto"/>
            <w:left w:val="none" w:sz="0" w:space="0" w:color="auto"/>
            <w:bottom w:val="none" w:sz="0" w:space="0" w:color="auto"/>
            <w:right w:val="none" w:sz="0" w:space="0" w:color="auto"/>
          </w:divBdr>
        </w:div>
        <w:div w:id="948968354">
          <w:marLeft w:val="0"/>
          <w:marRight w:val="0"/>
          <w:marTop w:val="0"/>
          <w:marBottom w:val="0"/>
          <w:divBdr>
            <w:top w:val="none" w:sz="0" w:space="0" w:color="auto"/>
            <w:left w:val="none" w:sz="0" w:space="0" w:color="auto"/>
            <w:bottom w:val="none" w:sz="0" w:space="0" w:color="auto"/>
            <w:right w:val="none" w:sz="0" w:space="0" w:color="auto"/>
          </w:divBdr>
        </w:div>
        <w:div w:id="452404559">
          <w:marLeft w:val="0"/>
          <w:marRight w:val="0"/>
          <w:marTop w:val="0"/>
          <w:marBottom w:val="0"/>
          <w:divBdr>
            <w:top w:val="none" w:sz="0" w:space="0" w:color="auto"/>
            <w:left w:val="none" w:sz="0" w:space="0" w:color="auto"/>
            <w:bottom w:val="none" w:sz="0" w:space="0" w:color="auto"/>
            <w:right w:val="none" w:sz="0" w:space="0" w:color="auto"/>
          </w:divBdr>
        </w:div>
        <w:div w:id="1739743029">
          <w:marLeft w:val="0"/>
          <w:marRight w:val="0"/>
          <w:marTop w:val="0"/>
          <w:marBottom w:val="0"/>
          <w:divBdr>
            <w:top w:val="none" w:sz="0" w:space="0" w:color="auto"/>
            <w:left w:val="none" w:sz="0" w:space="0" w:color="auto"/>
            <w:bottom w:val="none" w:sz="0" w:space="0" w:color="auto"/>
            <w:right w:val="none" w:sz="0" w:space="0" w:color="auto"/>
          </w:divBdr>
        </w:div>
      </w:divsChild>
    </w:div>
    <w:div w:id="732003162">
      <w:bodyDiv w:val="1"/>
      <w:marLeft w:val="0"/>
      <w:marRight w:val="0"/>
      <w:marTop w:val="0"/>
      <w:marBottom w:val="0"/>
      <w:divBdr>
        <w:top w:val="none" w:sz="0" w:space="0" w:color="auto"/>
        <w:left w:val="none" w:sz="0" w:space="0" w:color="auto"/>
        <w:bottom w:val="none" w:sz="0" w:space="0" w:color="auto"/>
        <w:right w:val="none" w:sz="0" w:space="0" w:color="auto"/>
      </w:divBdr>
    </w:div>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864749562">
      <w:bodyDiv w:val="1"/>
      <w:marLeft w:val="0"/>
      <w:marRight w:val="0"/>
      <w:marTop w:val="0"/>
      <w:marBottom w:val="0"/>
      <w:divBdr>
        <w:top w:val="none" w:sz="0" w:space="0" w:color="auto"/>
        <w:left w:val="none" w:sz="0" w:space="0" w:color="auto"/>
        <w:bottom w:val="none" w:sz="0" w:space="0" w:color="auto"/>
        <w:right w:val="none" w:sz="0" w:space="0" w:color="auto"/>
      </w:divBdr>
      <w:divsChild>
        <w:div w:id="114298454">
          <w:marLeft w:val="0"/>
          <w:marRight w:val="0"/>
          <w:marTop w:val="0"/>
          <w:marBottom w:val="0"/>
          <w:divBdr>
            <w:top w:val="none" w:sz="0" w:space="0" w:color="auto"/>
            <w:left w:val="none" w:sz="0" w:space="0" w:color="auto"/>
            <w:bottom w:val="none" w:sz="0" w:space="0" w:color="auto"/>
            <w:right w:val="none" w:sz="0" w:space="0" w:color="auto"/>
          </w:divBdr>
        </w:div>
        <w:div w:id="1952741754">
          <w:marLeft w:val="0"/>
          <w:marRight w:val="0"/>
          <w:marTop w:val="0"/>
          <w:marBottom w:val="0"/>
          <w:divBdr>
            <w:top w:val="none" w:sz="0" w:space="0" w:color="auto"/>
            <w:left w:val="none" w:sz="0" w:space="0" w:color="auto"/>
            <w:bottom w:val="none" w:sz="0" w:space="0" w:color="auto"/>
            <w:right w:val="none" w:sz="0" w:space="0" w:color="auto"/>
          </w:divBdr>
        </w:div>
        <w:div w:id="2060283658">
          <w:marLeft w:val="0"/>
          <w:marRight w:val="0"/>
          <w:marTop w:val="0"/>
          <w:marBottom w:val="0"/>
          <w:divBdr>
            <w:top w:val="none" w:sz="0" w:space="0" w:color="auto"/>
            <w:left w:val="none" w:sz="0" w:space="0" w:color="auto"/>
            <w:bottom w:val="none" w:sz="0" w:space="0" w:color="auto"/>
            <w:right w:val="none" w:sz="0" w:space="0" w:color="auto"/>
          </w:divBdr>
        </w:div>
        <w:div w:id="1764765243">
          <w:marLeft w:val="0"/>
          <w:marRight w:val="0"/>
          <w:marTop w:val="0"/>
          <w:marBottom w:val="0"/>
          <w:divBdr>
            <w:top w:val="none" w:sz="0" w:space="0" w:color="auto"/>
            <w:left w:val="none" w:sz="0" w:space="0" w:color="auto"/>
            <w:bottom w:val="none" w:sz="0" w:space="0" w:color="auto"/>
            <w:right w:val="none" w:sz="0" w:space="0" w:color="auto"/>
          </w:divBdr>
        </w:div>
        <w:div w:id="679813146">
          <w:marLeft w:val="0"/>
          <w:marRight w:val="0"/>
          <w:marTop w:val="0"/>
          <w:marBottom w:val="0"/>
          <w:divBdr>
            <w:top w:val="none" w:sz="0" w:space="0" w:color="auto"/>
            <w:left w:val="none" w:sz="0" w:space="0" w:color="auto"/>
            <w:bottom w:val="none" w:sz="0" w:space="0" w:color="auto"/>
            <w:right w:val="none" w:sz="0" w:space="0" w:color="auto"/>
          </w:divBdr>
        </w:div>
        <w:div w:id="571547998">
          <w:marLeft w:val="0"/>
          <w:marRight w:val="0"/>
          <w:marTop w:val="0"/>
          <w:marBottom w:val="0"/>
          <w:divBdr>
            <w:top w:val="none" w:sz="0" w:space="0" w:color="auto"/>
            <w:left w:val="none" w:sz="0" w:space="0" w:color="auto"/>
            <w:bottom w:val="none" w:sz="0" w:space="0" w:color="auto"/>
            <w:right w:val="none" w:sz="0" w:space="0" w:color="auto"/>
          </w:divBdr>
        </w:div>
        <w:div w:id="576675299">
          <w:marLeft w:val="0"/>
          <w:marRight w:val="0"/>
          <w:marTop w:val="0"/>
          <w:marBottom w:val="0"/>
          <w:divBdr>
            <w:top w:val="none" w:sz="0" w:space="0" w:color="auto"/>
            <w:left w:val="none" w:sz="0" w:space="0" w:color="auto"/>
            <w:bottom w:val="none" w:sz="0" w:space="0" w:color="auto"/>
            <w:right w:val="none" w:sz="0" w:space="0" w:color="auto"/>
          </w:divBdr>
        </w:div>
        <w:div w:id="1790464568">
          <w:marLeft w:val="0"/>
          <w:marRight w:val="0"/>
          <w:marTop w:val="0"/>
          <w:marBottom w:val="0"/>
          <w:divBdr>
            <w:top w:val="none" w:sz="0" w:space="0" w:color="auto"/>
            <w:left w:val="none" w:sz="0" w:space="0" w:color="auto"/>
            <w:bottom w:val="none" w:sz="0" w:space="0" w:color="auto"/>
            <w:right w:val="none" w:sz="0" w:space="0" w:color="auto"/>
          </w:divBdr>
        </w:div>
        <w:div w:id="1541629573">
          <w:marLeft w:val="0"/>
          <w:marRight w:val="0"/>
          <w:marTop w:val="0"/>
          <w:marBottom w:val="0"/>
          <w:divBdr>
            <w:top w:val="none" w:sz="0" w:space="0" w:color="auto"/>
            <w:left w:val="none" w:sz="0" w:space="0" w:color="auto"/>
            <w:bottom w:val="none" w:sz="0" w:space="0" w:color="auto"/>
            <w:right w:val="none" w:sz="0" w:space="0" w:color="auto"/>
          </w:divBdr>
        </w:div>
        <w:div w:id="299581589">
          <w:marLeft w:val="0"/>
          <w:marRight w:val="0"/>
          <w:marTop w:val="0"/>
          <w:marBottom w:val="0"/>
          <w:divBdr>
            <w:top w:val="none" w:sz="0" w:space="0" w:color="auto"/>
            <w:left w:val="none" w:sz="0" w:space="0" w:color="auto"/>
            <w:bottom w:val="none" w:sz="0" w:space="0" w:color="auto"/>
            <w:right w:val="none" w:sz="0" w:space="0" w:color="auto"/>
          </w:divBdr>
        </w:div>
        <w:div w:id="543057229">
          <w:marLeft w:val="0"/>
          <w:marRight w:val="0"/>
          <w:marTop w:val="0"/>
          <w:marBottom w:val="0"/>
          <w:divBdr>
            <w:top w:val="none" w:sz="0" w:space="0" w:color="auto"/>
            <w:left w:val="none" w:sz="0" w:space="0" w:color="auto"/>
            <w:bottom w:val="none" w:sz="0" w:space="0" w:color="auto"/>
            <w:right w:val="none" w:sz="0" w:space="0" w:color="auto"/>
          </w:divBdr>
        </w:div>
        <w:div w:id="1319459303">
          <w:marLeft w:val="0"/>
          <w:marRight w:val="0"/>
          <w:marTop w:val="0"/>
          <w:marBottom w:val="0"/>
          <w:divBdr>
            <w:top w:val="none" w:sz="0" w:space="0" w:color="auto"/>
            <w:left w:val="none" w:sz="0" w:space="0" w:color="auto"/>
            <w:bottom w:val="none" w:sz="0" w:space="0" w:color="auto"/>
            <w:right w:val="none" w:sz="0" w:space="0" w:color="auto"/>
          </w:divBdr>
        </w:div>
        <w:div w:id="94403010">
          <w:marLeft w:val="0"/>
          <w:marRight w:val="0"/>
          <w:marTop w:val="0"/>
          <w:marBottom w:val="0"/>
          <w:divBdr>
            <w:top w:val="none" w:sz="0" w:space="0" w:color="auto"/>
            <w:left w:val="none" w:sz="0" w:space="0" w:color="auto"/>
            <w:bottom w:val="none" w:sz="0" w:space="0" w:color="auto"/>
            <w:right w:val="none" w:sz="0" w:space="0" w:color="auto"/>
          </w:divBdr>
        </w:div>
        <w:div w:id="632562775">
          <w:marLeft w:val="0"/>
          <w:marRight w:val="0"/>
          <w:marTop w:val="0"/>
          <w:marBottom w:val="0"/>
          <w:divBdr>
            <w:top w:val="none" w:sz="0" w:space="0" w:color="auto"/>
            <w:left w:val="none" w:sz="0" w:space="0" w:color="auto"/>
            <w:bottom w:val="none" w:sz="0" w:space="0" w:color="auto"/>
            <w:right w:val="none" w:sz="0" w:space="0" w:color="auto"/>
          </w:divBdr>
        </w:div>
        <w:div w:id="540941348">
          <w:marLeft w:val="0"/>
          <w:marRight w:val="0"/>
          <w:marTop w:val="0"/>
          <w:marBottom w:val="0"/>
          <w:divBdr>
            <w:top w:val="none" w:sz="0" w:space="0" w:color="auto"/>
            <w:left w:val="none" w:sz="0" w:space="0" w:color="auto"/>
            <w:bottom w:val="none" w:sz="0" w:space="0" w:color="auto"/>
            <w:right w:val="none" w:sz="0" w:space="0" w:color="auto"/>
          </w:divBdr>
        </w:div>
      </w:divsChild>
    </w:div>
    <w:div w:id="949050192">
      <w:bodyDiv w:val="1"/>
      <w:marLeft w:val="0"/>
      <w:marRight w:val="0"/>
      <w:marTop w:val="0"/>
      <w:marBottom w:val="0"/>
      <w:divBdr>
        <w:top w:val="none" w:sz="0" w:space="0" w:color="auto"/>
        <w:left w:val="none" w:sz="0" w:space="0" w:color="auto"/>
        <w:bottom w:val="none" w:sz="0" w:space="0" w:color="auto"/>
        <w:right w:val="none" w:sz="0" w:space="0" w:color="auto"/>
      </w:divBdr>
    </w:div>
    <w:div w:id="98169042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
    <w:div w:id="1078868734">
      <w:bodyDiv w:val="1"/>
      <w:marLeft w:val="0"/>
      <w:marRight w:val="0"/>
      <w:marTop w:val="0"/>
      <w:marBottom w:val="0"/>
      <w:divBdr>
        <w:top w:val="none" w:sz="0" w:space="0" w:color="auto"/>
        <w:left w:val="none" w:sz="0" w:space="0" w:color="auto"/>
        <w:bottom w:val="none" w:sz="0" w:space="0" w:color="auto"/>
        <w:right w:val="none" w:sz="0" w:space="0" w:color="auto"/>
      </w:divBdr>
    </w:div>
    <w:div w:id="1136754266">
      <w:bodyDiv w:val="1"/>
      <w:marLeft w:val="0"/>
      <w:marRight w:val="0"/>
      <w:marTop w:val="0"/>
      <w:marBottom w:val="0"/>
      <w:divBdr>
        <w:top w:val="none" w:sz="0" w:space="0" w:color="auto"/>
        <w:left w:val="none" w:sz="0" w:space="0" w:color="auto"/>
        <w:bottom w:val="none" w:sz="0" w:space="0" w:color="auto"/>
        <w:right w:val="none" w:sz="0" w:space="0" w:color="auto"/>
      </w:divBdr>
    </w:div>
    <w:div w:id="1143504717">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1472595103">
      <w:bodyDiv w:val="1"/>
      <w:marLeft w:val="0"/>
      <w:marRight w:val="0"/>
      <w:marTop w:val="0"/>
      <w:marBottom w:val="0"/>
      <w:divBdr>
        <w:top w:val="none" w:sz="0" w:space="0" w:color="auto"/>
        <w:left w:val="none" w:sz="0" w:space="0" w:color="auto"/>
        <w:bottom w:val="none" w:sz="0" w:space="0" w:color="auto"/>
        <w:right w:val="none" w:sz="0" w:space="0" w:color="auto"/>
      </w:divBdr>
      <w:divsChild>
        <w:div w:id="662245016">
          <w:marLeft w:val="0"/>
          <w:marRight w:val="0"/>
          <w:marTop w:val="0"/>
          <w:marBottom w:val="0"/>
          <w:divBdr>
            <w:top w:val="none" w:sz="0" w:space="0" w:color="auto"/>
            <w:left w:val="none" w:sz="0" w:space="0" w:color="auto"/>
            <w:bottom w:val="none" w:sz="0" w:space="0" w:color="auto"/>
            <w:right w:val="none" w:sz="0" w:space="0" w:color="auto"/>
          </w:divBdr>
        </w:div>
        <w:div w:id="1771199307">
          <w:marLeft w:val="0"/>
          <w:marRight w:val="0"/>
          <w:marTop w:val="0"/>
          <w:marBottom w:val="0"/>
          <w:divBdr>
            <w:top w:val="none" w:sz="0" w:space="0" w:color="auto"/>
            <w:left w:val="none" w:sz="0" w:space="0" w:color="auto"/>
            <w:bottom w:val="none" w:sz="0" w:space="0" w:color="auto"/>
            <w:right w:val="none" w:sz="0" w:space="0" w:color="auto"/>
          </w:divBdr>
        </w:div>
        <w:div w:id="13267974">
          <w:marLeft w:val="0"/>
          <w:marRight w:val="0"/>
          <w:marTop w:val="0"/>
          <w:marBottom w:val="0"/>
          <w:divBdr>
            <w:top w:val="none" w:sz="0" w:space="0" w:color="auto"/>
            <w:left w:val="none" w:sz="0" w:space="0" w:color="auto"/>
            <w:bottom w:val="none" w:sz="0" w:space="0" w:color="auto"/>
            <w:right w:val="none" w:sz="0" w:space="0" w:color="auto"/>
          </w:divBdr>
        </w:div>
        <w:div w:id="873006734">
          <w:marLeft w:val="0"/>
          <w:marRight w:val="0"/>
          <w:marTop w:val="0"/>
          <w:marBottom w:val="0"/>
          <w:divBdr>
            <w:top w:val="none" w:sz="0" w:space="0" w:color="auto"/>
            <w:left w:val="none" w:sz="0" w:space="0" w:color="auto"/>
            <w:bottom w:val="none" w:sz="0" w:space="0" w:color="auto"/>
            <w:right w:val="none" w:sz="0" w:space="0" w:color="auto"/>
          </w:divBdr>
        </w:div>
        <w:div w:id="1979874468">
          <w:marLeft w:val="0"/>
          <w:marRight w:val="0"/>
          <w:marTop w:val="0"/>
          <w:marBottom w:val="0"/>
          <w:divBdr>
            <w:top w:val="none" w:sz="0" w:space="0" w:color="auto"/>
            <w:left w:val="none" w:sz="0" w:space="0" w:color="auto"/>
            <w:bottom w:val="none" w:sz="0" w:space="0" w:color="auto"/>
            <w:right w:val="none" w:sz="0" w:space="0" w:color="auto"/>
          </w:divBdr>
        </w:div>
        <w:div w:id="1227909287">
          <w:marLeft w:val="0"/>
          <w:marRight w:val="0"/>
          <w:marTop w:val="0"/>
          <w:marBottom w:val="0"/>
          <w:divBdr>
            <w:top w:val="none" w:sz="0" w:space="0" w:color="auto"/>
            <w:left w:val="none" w:sz="0" w:space="0" w:color="auto"/>
            <w:bottom w:val="none" w:sz="0" w:space="0" w:color="auto"/>
            <w:right w:val="none" w:sz="0" w:space="0" w:color="auto"/>
          </w:divBdr>
        </w:div>
        <w:div w:id="2118794344">
          <w:marLeft w:val="0"/>
          <w:marRight w:val="0"/>
          <w:marTop w:val="0"/>
          <w:marBottom w:val="0"/>
          <w:divBdr>
            <w:top w:val="none" w:sz="0" w:space="0" w:color="auto"/>
            <w:left w:val="none" w:sz="0" w:space="0" w:color="auto"/>
            <w:bottom w:val="none" w:sz="0" w:space="0" w:color="auto"/>
            <w:right w:val="none" w:sz="0" w:space="0" w:color="auto"/>
          </w:divBdr>
        </w:div>
        <w:div w:id="150171908">
          <w:marLeft w:val="0"/>
          <w:marRight w:val="0"/>
          <w:marTop w:val="0"/>
          <w:marBottom w:val="0"/>
          <w:divBdr>
            <w:top w:val="none" w:sz="0" w:space="0" w:color="auto"/>
            <w:left w:val="none" w:sz="0" w:space="0" w:color="auto"/>
            <w:bottom w:val="none" w:sz="0" w:space="0" w:color="auto"/>
            <w:right w:val="none" w:sz="0" w:space="0" w:color="auto"/>
          </w:divBdr>
        </w:div>
        <w:div w:id="1040738618">
          <w:marLeft w:val="0"/>
          <w:marRight w:val="0"/>
          <w:marTop w:val="0"/>
          <w:marBottom w:val="0"/>
          <w:divBdr>
            <w:top w:val="none" w:sz="0" w:space="0" w:color="auto"/>
            <w:left w:val="none" w:sz="0" w:space="0" w:color="auto"/>
            <w:bottom w:val="none" w:sz="0" w:space="0" w:color="auto"/>
            <w:right w:val="none" w:sz="0" w:space="0" w:color="auto"/>
          </w:divBdr>
        </w:div>
        <w:div w:id="2101177402">
          <w:marLeft w:val="0"/>
          <w:marRight w:val="0"/>
          <w:marTop w:val="0"/>
          <w:marBottom w:val="0"/>
          <w:divBdr>
            <w:top w:val="none" w:sz="0" w:space="0" w:color="auto"/>
            <w:left w:val="none" w:sz="0" w:space="0" w:color="auto"/>
            <w:bottom w:val="none" w:sz="0" w:space="0" w:color="auto"/>
            <w:right w:val="none" w:sz="0" w:space="0" w:color="auto"/>
          </w:divBdr>
        </w:div>
        <w:div w:id="65686910">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1898201027">
          <w:marLeft w:val="0"/>
          <w:marRight w:val="0"/>
          <w:marTop w:val="0"/>
          <w:marBottom w:val="0"/>
          <w:divBdr>
            <w:top w:val="none" w:sz="0" w:space="0" w:color="auto"/>
            <w:left w:val="none" w:sz="0" w:space="0" w:color="auto"/>
            <w:bottom w:val="none" w:sz="0" w:space="0" w:color="auto"/>
            <w:right w:val="none" w:sz="0" w:space="0" w:color="auto"/>
          </w:divBdr>
        </w:div>
        <w:div w:id="1005598542">
          <w:marLeft w:val="0"/>
          <w:marRight w:val="0"/>
          <w:marTop w:val="0"/>
          <w:marBottom w:val="0"/>
          <w:divBdr>
            <w:top w:val="none" w:sz="0" w:space="0" w:color="auto"/>
            <w:left w:val="none" w:sz="0" w:space="0" w:color="auto"/>
            <w:bottom w:val="none" w:sz="0" w:space="0" w:color="auto"/>
            <w:right w:val="none" w:sz="0" w:space="0" w:color="auto"/>
          </w:divBdr>
        </w:div>
        <w:div w:id="984237086">
          <w:marLeft w:val="0"/>
          <w:marRight w:val="0"/>
          <w:marTop w:val="0"/>
          <w:marBottom w:val="0"/>
          <w:divBdr>
            <w:top w:val="none" w:sz="0" w:space="0" w:color="auto"/>
            <w:left w:val="none" w:sz="0" w:space="0" w:color="auto"/>
            <w:bottom w:val="none" w:sz="0" w:space="0" w:color="auto"/>
            <w:right w:val="none" w:sz="0" w:space="0" w:color="auto"/>
          </w:divBdr>
        </w:div>
      </w:divsChild>
    </w:div>
    <w:div w:id="2073767529">
      <w:bodyDiv w:val="1"/>
      <w:marLeft w:val="0"/>
      <w:marRight w:val="0"/>
      <w:marTop w:val="0"/>
      <w:marBottom w:val="0"/>
      <w:divBdr>
        <w:top w:val="none" w:sz="0" w:space="0" w:color="auto"/>
        <w:left w:val="none" w:sz="0" w:space="0" w:color="auto"/>
        <w:bottom w:val="none" w:sz="0" w:space="0" w:color="auto"/>
        <w:right w:val="none" w:sz="0" w:space="0" w:color="auto"/>
      </w:divBdr>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9BB83-40D0-468E-AEED-230AAAF3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42</Pages>
  <Words>15686</Words>
  <Characters>89415</Characters>
  <Application>Microsoft Office Word</Application>
  <DocSecurity>0</DocSecurity>
  <Lines>745</Lines>
  <Paragraphs>209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17</cp:revision>
  <dcterms:created xsi:type="dcterms:W3CDTF">2023-01-31T03:45:00Z</dcterms:created>
  <dcterms:modified xsi:type="dcterms:W3CDTF">2023-03-18T00:10:00Z</dcterms:modified>
</cp:coreProperties>
</file>