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933"/>
        <w:gridCol w:w="4933"/>
      </w:tblGrid>
      <w:tr>
        <w:tc>
          <w:tcPr>
            <w:tcW w:type="dxa" w:w="7087"/>
            <w:tcMar>
              <w:top w:w="20" w:type="dxa"/>
              <w:bottom w:w="20" w:type="dxa"/>
              <w:left w:w="0" w:type="dxa"/>
              <w:right w:w="60" w:type="dxa"/>
            </w:tcMar>
          </w:tcPr>
          <w:p>
            <w:pPr>
              <w:spacing w:before="0" w:after="20"/>
            </w:pPr>
            <w:r>
              <w:rPr>
                <w:b/>
                <w:color w:val="1E40AF"/>
                <w:sz w:val="19"/>
              </w:rPr>
              <w:t>CIFP AVILÉS · DEPARTAMENTO DE INFORMÁTICA</w:t>
              <w:br/>
            </w:r>
            <w:r>
              <w:rPr>
                <w:b/>
                <w:color w:val="059669"/>
                <w:sz w:val="17"/>
              </w:rPr>
              <w:t>REDES LOCALES (1º SMR) · UT1.2 · SOLUCIONARIO DOCENTE · GUÍA DE AULA</w:t>
              <w:br/>
            </w:r>
            <w:r>
              <w:rPr>
                <w:i/>
                <w:color w:val="64748B"/>
                <w:sz w:val="16"/>
              </w:rPr>
              <w:t>Tema: Caracterización, Topologías y Magnitudes de Red (Presentación RL-UT1.2)</w:t>
            </w:r>
          </w:p>
        </w:tc>
        <w:tc>
          <w:tcPr>
            <w:tcW w:type="dxa" w:w="2778"/>
            <w:tcMar>
              <w:top w:w="20" w:type="dxa"/>
              <w:bottom w:w="20" w:type="dxa"/>
              <w:left w:w="60" w:type="dxa"/>
              <w:right w:w="0" w:type="dxa"/>
            </w:tcMar>
          </w:tcPr>
          <w:p>
            <w:pPr>
              <w:spacing w:before="0" w:after="0"/>
              <w:jc w:val="right"/>
            </w:pPr>
            <w:r>
              <w:rPr>
                <w:b/>
                <w:color w:val="059669"/>
                <w:sz w:val="17"/>
              </w:rPr>
              <w:t>EDICIÓN DOCENTE</w:t>
              <w:br/>
              <w:t>Prof. Sergio Capdevila</w:t>
              <w:br/>
              <w:t>Curso 2026-2027</w:t>
            </w:r>
          </w:p>
        </w:tc>
      </w:tr>
    </w:tbl>
    <w:p>
      <w:pPr>
        <w:spacing w:before="60" w:after="80"/>
      </w:pPr>
      <w:r>
        <w:rPr>
          <w:color w:val="CBD5E1"/>
          <w:sz w:val="15"/>
        </w:rPr>
        <w:t>—————————————————————————————————————————————————————————————————</w:t>
      </w:r>
    </w:p>
    <w:tbl>
      <w:tblPr>
        <w:tblW w:type="auto" w:w="0"/>
        <w:jc w:val="center"/>
        <w:tblLayout w:type="fixed"/>
        <w:tblLook w:firstColumn="1" w:firstRow="1" w:lastColumn="0" w:lastRow="0" w:noHBand="0" w:noVBand="1" w:val="04A0"/>
        <w:tblBorders>
          <w:top w:val="single" w:sz="4" w:space="0" w:color="10B981"/>
          <w:bottom w:val="single" w:sz="4" w:space="0" w:color="10B981"/>
          <w:left w:val="single" w:sz="4" w:space="0" w:color="10B981"/>
          <w:right w:val="single" w:sz="4" w:space="0" w:color="10B981"/>
          <w:insideH w:val="single" w:sz="4" w:space="0" w:color="10B981"/>
          <w:insideV w:val="single" w:sz="4" w:space="0" w:color="10B981"/>
        </w:tblBorders>
      </w:tblPr>
      <w:tblGrid>
        <w:gridCol w:w="9866"/>
      </w:tblGrid>
      <w:tr>
        <w:tc>
          <w:tcPr>
            <w:tcW w:type="dxa" w:w="9865"/>
            <w:shd w:fill="ECFDF5"/>
            <w:tcMar>
              <w:top w:w="50" w:type="dxa"/>
              <w:bottom w:w="50" w:type="dxa"/>
              <w:left w:w="100" w:type="dxa"/>
              <w:right w:w="100" w:type="dxa"/>
            </w:tcMar>
          </w:tcPr>
          <w:p>
            <w:pPr>
              <w:spacing w:before="0" w:after="0"/>
            </w:pPr>
            <w:r>
              <w:rPr>
                <w:b/>
                <w:color w:val="065F46"/>
                <w:sz w:val="17"/>
              </w:rPr>
              <w:t>GUÍA DOCENTE DE RESOLUCIÓN Y DINAMIZACIÓN EN AULA:</w:t>
              <w:br/>
            </w:r>
            <w:r>
              <w:rPr>
                <w:color w:val="047857"/>
                <w:sz w:val="16"/>
              </w:rPr>
              <w:t>Este documento contiene las soluciones comentadas, pasos matemáticos detallados y advertencias sobre los fallos habituales del alumnado de 1º SMR. Se recomienda proyectar cada reto al finalizar las diapositivas indicadas, otorgar 3 minutos de reflexión individual o por parejas y resolverlo conjuntamente en pizarra interactiva.</w:t>
            </w:r>
          </w:p>
        </w:tc>
      </w:tr>
    </w:tbl>
    <w:p>
      <w:pPr>
        <w:spacing w:before="140" w:after="40"/>
      </w:pPr>
      <w:r>
        <w:rPr>
          <w:b/>
          <w:color w:val="1E40AF"/>
          <w:sz w:val="20"/>
        </w:rPr>
        <w:t xml:space="preserve">RETO 1 </w:t>
      </w:r>
      <w:r>
        <w:rPr>
          <w:b/>
          <w:color w:val="0F172A"/>
          <w:sz w:val="20"/>
        </w:rPr>
        <w:t xml:space="preserve">| Clasificación de Redes según Cobertura Geográfica </w:t>
      </w:r>
      <w:r>
        <w:rPr>
          <w:i/>
          <w:color w:val="64748B"/>
          <w:sz w:val="16"/>
        </w:rPr>
        <w:t>(Diapositivas 4 a 6 · ⏱️ 3-5 min)</w:t>
      </w:r>
    </w:p>
    <w:p>
      <w:pPr>
        <w:spacing w:before="20" w:after="40"/>
      </w:pPr>
      <w:r>
        <w:rPr>
          <w:color w:val="1E293B"/>
          <w:sz w:val="18"/>
        </w:rPr>
        <w:t>Asocia cada uno de los 4 escenarios reales con su acrónimo de alcance geográfico (PAN, LAN, CAN, MAN, WAN) y justifica tu elección: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89"/>
        <w:gridCol w:w="3289"/>
        <w:gridCol w:w="3289"/>
      </w:tblGrid>
      <w:tr>
        <w:tc>
          <w:tcPr>
            <w:tcW w:type="dxa" w:w="4535"/>
            <w:shd w:fill="E2E8F0"/>
            <w:tcMar>
              <w:top w:w="40" w:type="dxa"/>
              <w:bottom w:w="40" w:type="dxa"/>
              <w:left w:w="60" w:type="dxa"/>
              <w:right w:w="60" w:type="dxa"/>
            </w:tcMar>
          </w:tcPr>
          <w:p>
            <w:r>
              <w:rPr>
                <w:b/>
                <w:sz w:val="17"/>
              </w:rPr>
              <w:t>Escenario de conectividad real</w:t>
            </w:r>
          </w:p>
        </w:tc>
        <w:tc>
          <w:tcPr>
            <w:tcW w:type="dxa" w:w="1587"/>
            <w:shd w:fill="E2E8F0"/>
            <w:tcMar>
              <w:top w:w="40" w:type="dxa"/>
              <w:bottom w:w="40" w:type="dxa"/>
              <w:left w:w="60" w:type="dxa"/>
              <w:right w:w="60" w:type="dxa"/>
            </w:tcMar>
          </w:tcPr>
          <w:p>
            <w:r>
              <w:rPr>
                <w:b/>
                <w:sz w:val="17"/>
              </w:rPr>
              <w:t>Tipo de Red</w:t>
            </w:r>
          </w:p>
        </w:tc>
        <w:tc>
          <w:tcPr>
            <w:tcW w:type="dxa" w:w="3742"/>
            <w:shd w:fill="E2E8F0"/>
            <w:tcMar>
              <w:top w:w="40" w:type="dxa"/>
              <w:bottom w:w="40" w:type="dxa"/>
              <w:left w:w="60" w:type="dxa"/>
              <w:right w:w="60" w:type="dxa"/>
            </w:tcMar>
          </w:tcPr>
          <w:p>
            <w:r>
              <w:rPr>
                <w:b/>
                <w:sz w:val="17"/>
              </w:rPr>
              <w:t>Justificación</w:t>
            </w:r>
          </w:p>
        </w:tc>
      </w:tr>
      <w:tr>
        <w:tc>
          <w:tcPr>
            <w:tcW w:type="dxa" w:w="4535"/>
            <w:tcMar>
              <w:top w:w="30" w:type="dxa"/>
              <w:bottom w:w="30" w:type="dxa"/>
              <w:left w:w="50" w:type="dxa"/>
              <w:right w:w="50" w:type="dxa"/>
            </w:tcMar>
          </w:tcPr>
          <w:p>
            <w:r>
              <w:rPr>
                <w:sz w:val="16"/>
              </w:rPr>
              <w:t>Smartwatch conectado por Bluetooth al smartphone de una persona</w:t>
            </w:r>
          </w:p>
        </w:tc>
        <w:tc>
          <w:tcPr>
            <w:tcW w:type="dxa" w:w="1587"/>
            <w:tcMar>
              <w:top w:w="30" w:type="dxa"/>
              <w:bottom w:w="30" w:type="dxa"/>
              <w:left w:w="50" w:type="dxa"/>
              <w:right w:w="50" w:type="dxa"/>
            </w:tcMar>
            <w:shd w:fill="EFF6FF"/>
          </w:tcPr>
          <w:p>
            <w:r>
              <w:rPr>
                <w:b/>
                <w:color w:val="1E40AF"/>
                <w:sz w:val="16"/>
              </w:rPr>
              <w:t>PAN (WPAN)</w:t>
            </w:r>
          </w:p>
        </w:tc>
        <w:tc>
          <w:tcPr>
            <w:tcW w:type="dxa" w:w="3742"/>
            <w:tcMar>
              <w:top w:w="30" w:type="dxa"/>
              <w:bottom w:w="30" w:type="dxa"/>
              <w:left w:w="50" w:type="dxa"/>
              <w:right w:w="50" w:type="dxa"/>
            </w:tcMar>
          </w:tcPr>
          <w:p>
            <w:r>
              <w:rPr>
                <w:i/>
                <w:sz w:val="16"/>
              </w:rPr>
              <w:t>Alcance personal inferior a 10 metros en torno al usuario.</w:t>
            </w:r>
          </w:p>
        </w:tc>
      </w:tr>
      <w:tr>
        <w:tc>
          <w:tcPr>
            <w:tcW w:type="dxa" w:w="4535"/>
            <w:tcMar>
              <w:top w:w="30" w:type="dxa"/>
              <w:bottom w:w="30" w:type="dxa"/>
              <w:left w:w="50" w:type="dxa"/>
              <w:right w:w="50" w:type="dxa"/>
            </w:tcMar>
          </w:tcPr>
          <w:p>
            <w:r>
              <w:rPr>
                <w:sz w:val="16"/>
              </w:rPr>
              <w:t>Red cableada de los 24 ordenadores del aula 105 del CIFP Avilés</w:t>
            </w:r>
          </w:p>
        </w:tc>
        <w:tc>
          <w:tcPr>
            <w:tcW w:type="dxa" w:w="1587"/>
            <w:tcMar>
              <w:top w:w="30" w:type="dxa"/>
              <w:bottom w:w="30" w:type="dxa"/>
              <w:left w:w="50" w:type="dxa"/>
              <w:right w:w="50" w:type="dxa"/>
            </w:tcMar>
            <w:shd w:fill="EFF6FF"/>
          </w:tcPr>
          <w:p>
            <w:r>
              <w:rPr>
                <w:b/>
                <w:color w:val="1E40AF"/>
                <w:sz w:val="16"/>
              </w:rPr>
              <w:t>LAN</w:t>
            </w:r>
          </w:p>
        </w:tc>
        <w:tc>
          <w:tcPr>
            <w:tcW w:type="dxa" w:w="3742"/>
            <w:tcMar>
              <w:top w:w="30" w:type="dxa"/>
              <w:bottom w:w="30" w:type="dxa"/>
              <w:left w:w="50" w:type="dxa"/>
              <w:right w:w="50" w:type="dxa"/>
            </w:tcMar>
          </w:tcPr>
          <w:p>
            <w:r>
              <w:rPr>
                <w:i/>
                <w:sz w:val="16"/>
              </w:rPr>
              <w:t>Red de área local confinada a una única sala o planta de un edificio.</w:t>
            </w:r>
          </w:p>
        </w:tc>
      </w:tr>
      <w:tr>
        <w:tc>
          <w:tcPr>
            <w:tcW w:type="dxa" w:w="4535"/>
            <w:tcMar>
              <w:top w:w="30" w:type="dxa"/>
              <w:bottom w:w="30" w:type="dxa"/>
              <w:left w:w="50" w:type="dxa"/>
              <w:right w:w="50" w:type="dxa"/>
            </w:tcMar>
          </w:tcPr>
          <w:p>
            <w:r>
              <w:rPr>
                <w:sz w:val="16"/>
              </w:rPr>
              <w:t>Red que enlaza 5 facultades y rectorado repartidos en un campus de 2 km²</w:t>
            </w:r>
          </w:p>
        </w:tc>
        <w:tc>
          <w:tcPr>
            <w:tcW w:type="dxa" w:w="1587"/>
            <w:tcMar>
              <w:top w:w="30" w:type="dxa"/>
              <w:bottom w:w="30" w:type="dxa"/>
              <w:left w:w="50" w:type="dxa"/>
              <w:right w:w="50" w:type="dxa"/>
            </w:tcMar>
            <w:shd w:fill="EFF6FF"/>
          </w:tcPr>
          <w:p>
            <w:r>
              <w:rPr>
                <w:b/>
                <w:color w:val="1E40AF"/>
                <w:sz w:val="16"/>
              </w:rPr>
              <w:t>CAN</w:t>
            </w:r>
          </w:p>
        </w:tc>
        <w:tc>
          <w:tcPr>
            <w:tcW w:type="dxa" w:w="3742"/>
            <w:tcMar>
              <w:top w:w="30" w:type="dxa"/>
              <w:bottom w:w="30" w:type="dxa"/>
              <w:left w:w="50" w:type="dxa"/>
              <w:right w:w="50" w:type="dxa"/>
            </w:tcMar>
          </w:tcPr>
          <w:p>
            <w:r>
              <w:rPr>
                <w:i/>
                <w:sz w:val="16"/>
              </w:rPr>
              <w:t>Campus Area Network: interconecta múltiples edificios cercanos dentro de un recinto privado.</w:t>
            </w:r>
          </w:p>
        </w:tc>
      </w:tr>
      <w:tr>
        <w:tc>
          <w:tcPr>
            <w:tcW w:type="dxa" w:w="4535"/>
            <w:tcMar>
              <w:top w:w="30" w:type="dxa"/>
              <w:bottom w:w="30" w:type="dxa"/>
              <w:left w:w="50" w:type="dxa"/>
              <w:right w:w="50" w:type="dxa"/>
            </w:tcMar>
          </w:tcPr>
          <w:p>
            <w:r>
              <w:rPr>
                <w:sz w:val="16"/>
              </w:rPr>
              <w:t>Red bancaria que interconecta sucursales en Gijón, Madrid, París y Tokio</w:t>
            </w:r>
          </w:p>
        </w:tc>
        <w:tc>
          <w:tcPr>
            <w:tcW w:type="dxa" w:w="1587"/>
            <w:tcMar>
              <w:top w:w="30" w:type="dxa"/>
              <w:bottom w:w="30" w:type="dxa"/>
              <w:left w:w="50" w:type="dxa"/>
              <w:right w:w="50" w:type="dxa"/>
            </w:tcMar>
            <w:shd w:fill="EFF6FF"/>
          </w:tcPr>
          <w:p>
            <w:r>
              <w:rPr>
                <w:b/>
                <w:color w:val="1E40AF"/>
                <w:sz w:val="16"/>
              </w:rPr>
              <w:t>WAN</w:t>
            </w:r>
          </w:p>
        </w:tc>
        <w:tc>
          <w:tcPr>
            <w:tcW w:type="dxa" w:w="3742"/>
            <w:tcMar>
              <w:top w:w="30" w:type="dxa"/>
              <w:bottom w:w="30" w:type="dxa"/>
              <w:left w:w="50" w:type="dxa"/>
              <w:right w:w="50" w:type="dxa"/>
            </w:tcMar>
          </w:tcPr>
          <w:p>
            <w:r>
              <w:rPr>
                <w:i/>
                <w:sz w:val="16"/>
              </w:rPr>
              <w:t>Wide Area Network: alcance global que cruza fronteras y utiliza infraestructuras públicas/ISP.</w:t>
            </w:r>
          </w:p>
        </w:tc>
      </w:tr>
    </w:tbl>
    <w:p>
      <w:pPr>
        <w:spacing w:before="140" w:after="40"/>
      </w:pPr>
      <w:r>
        <w:rPr>
          <w:b/>
          <w:color w:val="1E40AF"/>
          <w:sz w:val="20"/>
        </w:rPr>
        <w:t xml:space="preserve">RETO 2 </w:t>
      </w:r>
      <w:r>
        <w:rPr>
          <w:b/>
          <w:color w:val="0F172A"/>
          <w:sz w:val="20"/>
        </w:rPr>
        <w:t xml:space="preserve">| Arquitectura Funcional: Cliente/Servidor vs Peer-to-Peer </w:t>
      </w:r>
      <w:r>
        <w:rPr>
          <w:i/>
          <w:color w:val="64748B"/>
          <w:sz w:val="16"/>
        </w:rPr>
        <w:t>(Diapositivas 7 y 8 · ⏱️ 3-5 min)</w:t>
      </w:r>
    </w:p>
    <w:p>
      <w:pPr>
        <w:spacing w:before="20" w:after="40"/>
      </w:pPr>
      <w:r>
        <w:rPr>
          <w:color w:val="1E293B"/>
          <w:sz w:val="18"/>
        </w:rPr>
        <w:t>Compara ambas filosofías funcionales rellenando los aspectos clave en la tabla: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289"/>
        <w:gridCol w:w="3289"/>
        <w:gridCol w:w="3289"/>
      </w:tblGrid>
      <w:tr>
        <w:tc>
          <w:tcPr>
            <w:tcW w:type="dxa" w:w="2551"/>
            <w:shd w:fill="E2E8F0"/>
            <w:tcMar>
              <w:top w:w="40" w:type="dxa"/>
              <w:bottom w:w="40" w:type="dxa"/>
              <w:left w:w="50" w:type="dxa"/>
              <w:right w:w="50" w:type="dxa"/>
            </w:tcMar>
          </w:tcPr>
          <w:p>
            <w:r>
              <w:rPr>
                <w:b/>
                <w:sz w:val="17"/>
              </w:rPr>
              <w:t>Criterio comparativo</w:t>
            </w:r>
          </w:p>
        </w:tc>
        <w:tc>
          <w:tcPr>
            <w:tcW w:type="dxa" w:w="3628"/>
            <w:shd w:fill="E2E8F0"/>
            <w:tcMar>
              <w:top w:w="40" w:type="dxa"/>
              <w:bottom w:w="40" w:type="dxa"/>
              <w:left w:w="50" w:type="dxa"/>
              <w:right w:w="50" w:type="dxa"/>
            </w:tcMar>
          </w:tcPr>
          <w:p>
            <w:r>
              <w:rPr>
                <w:b/>
                <w:sz w:val="17"/>
              </w:rPr>
              <w:t>Modelo Cliente / Servidor</w:t>
            </w:r>
          </w:p>
        </w:tc>
        <w:tc>
          <w:tcPr>
            <w:tcW w:type="dxa" w:w="3685"/>
            <w:shd w:fill="E2E8F0"/>
            <w:tcMar>
              <w:top w:w="40" w:type="dxa"/>
              <w:bottom w:w="40" w:type="dxa"/>
              <w:left w:w="50" w:type="dxa"/>
              <w:right w:w="50" w:type="dxa"/>
            </w:tcMar>
          </w:tcPr>
          <w:p>
            <w:r>
              <w:rPr>
                <w:b/>
                <w:sz w:val="17"/>
              </w:rPr>
              <w:t>Modelo Punto a Punto (P2P)</w:t>
            </w:r>
          </w:p>
        </w:tc>
      </w:tr>
      <w:tr>
        <w:tc>
          <w:tcPr>
            <w:tcW w:type="dxa" w:w="2551"/>
            <w:tcMar>
              <w:top w:w="30" w:type="dxa"/>
              <w:bottom w:w="30" w:type="dxa"/>
              <w:left w:w="40" w:type="dxa"/>
              <w:right w:w="40" w:type="dxa"/>
            </w:tcMar>
          </w:tcPr>
          <w:p>
            <w:r>
              <w:rPr>
                <w:b/>
                <w:sz w:val="16"/>
              </w:rPr>
              <w:t>Ubicación y control de los datos</w:t>
            </w:r>
          </w:p>
        </w:tc>
        <w:tc>
          <w:tcPr>
            <w:tcW w:type="dxa" w:w="3628"/>
            <w:tcMar>
              <w:top w:w="30" w:type="dxa"/>
              <w:bottom w:w="30" w:type="dxa"/>
              <w:left w:w="40" w:type="dxa"/>
              <w:right w:w="40" w:type="dxa"/>
            </w:tcMar>
            <w:shd w:fill="EFF6FF"/>
          </w:tcPr>
          <w:p>
            <w:r>
              <w:rPr>
                <w:sz w:val="16"/>
              </w:rPr>
              <w:t>Centralizado en servidores dedicados (alta seguridad y control).</w:t>
            </w:r>
          </w:p>
        </w:tc>
        <w:tc>
          <w:tcPr>
            <w:tcW w:type="dxa" w:w="3685"/>
            <w:tcMar>
              <w:top w:w="30" w:type="dxa"/>
              <w:bottom w:w="30" w:type="dxa"/>
              <w:left w:w="40" w:type="dxa"/>
              <w:right w:w="40" w:type="dxa"/>
            </w:tcMar>
            <w:shd w:fill="F0FDF4"/>
          </w:tcPr>
          <w:p>
            <w:r>
              <w:rPr>
                <w:sz w:val="16"/>
              </w:rPr>
              <w:t>Descentralizado: cada nodo almacena y comparte sus propios archivos.</w:t>
            </w:r>
          </w:p>
        </w:tc>
      </w:tr>
      <w:tr>
        <w:tc>
          <w:tcPr>
            <w:tcW w:type="dxa" w:w="2551"/>
            <w:tcMar>
              <w:top w:w="30" w:type="dxa"/>
              <w:bottom w:w="30" w:type="dxa"/>
              <w:left w:w="40" w:type="dxa"/>
              <w:right w:w="40" w:type="dxa"/>
            </w:tcMar>
          </w:tcPr>
          <w:p>
            <w:r>
              <w:rPr>
                <w:b/>
                <w:sz w:val="16"/>
              </w:rPr>
              <w:t>Gestión de usuarios y seguridad</w:t>
            </w:r>
          </w:p>
        </w:tc>
        <w:tc>
          <w:tcPr>
            <w:tcW w:type="dxa" w:w="3628"/>
            <w:tcMar>
              <w:top w:w="30" w:type="dxa"/>
              <w:bottom w:w="30" w:type="dxa"/>
              <w:left w:w="40" w:type="dxa"/>
              <w:right w:w="40" w:type="dxa"/>
            </w:tcMar>
            <w:shd w:fill="EFF6FF"/>
          </w:tcPr>
          <w:p>
            <w:r>
              <w:rPr>
                <w:sz w:val="16"/>
              </w:rPr>
              <w:t>Centralizada (Directorio Activo / LDAP). Un único inicio de sesión.</w:t>
            </w:r>
          </w:p>
        </w:tc>
        <w:tc>
          <w:tcPr>
            <w:tcW w:type="dxa" w:w="3685"/>
            <w:tcMar>
              <w:top w:w="30" w:type="dxa"/>
              <w:bottom w:w="30" w:type="dxa"/>
              <w:left w:w="40" w:type="dxa"/>
              <w:right w:w="40" w:type="dxa"/>
            </w:tcMar>
            <w:shd w:fill="F0FDF4"/>
          </w:tcPr>
          <w:p>
            <w:r>
              <w:rPr>
                <w:sz w:val="16"/>
              </w:rPr>
              <w:t>Distribuida: cada usuario debe administrar permisos en su equipo local.</w:t>
            </w:r>
          </w:p>
        </w:tc>
      </w:tr>
      <w:tr>
        <w:tc>
          <w:tcPr>
            <w:tcW w:type="dxa" w:w="2551"/>
            <w:tcMar>
              <w:top w:w="30" w:type="dxa"/>
              <w:bottom w:w="30" w:type="dxa"/>
              <w:left w:w="40" w:type="dxa"/>
              <w:right w:w="40" w:type="dxa"/>
            </w:tcMar>
          </w:tcPr>
          <w:p>
            <w:r>
              <w:rPr>
                <w:b/>
                <w:sz w:val="16"/>
              </w:rPr>
              <w:t>Escalabilidad y coste de implantación</w:t>
            </w:r>
          </w:p>
        </w:tc>
        <w:tc>
          <w:tcPr>
            <w:tcW w:type="dxa" w:w="3628"/>
            <w:tcMar>
              <w:top w:w="30" w:type="dxa"/>
              <w:bottom w:w="30" w:type="dxa"/>
              <w:left w:w="40" w:type="dxa"/>
              <w:right w:w="40" w:type="dxa"/>
            </w:tcMar>
            <w:shd w:fill="EFF6FF"/>
          </w:tcPr>
          <w:p>
            <w:r>
              <w:rPr>
                <w:sz w:val="16"/>
              </w:rPr>
              <w:t>Excelente escalabilidad para cientos de puestos; coste inicial alto (hardware y licencias servidor).</w:t>
            </w:r>
          </w:p>
        </w:tc>
        <w:tc>
          <w:tcPr>
            <w:tcW w:type="dxa" w:w="3685"/>
            <w:tcMar>
              <w:top w:w="30" w:type="dxa"/>
              <w:bottom w:w="30" w:type="dxa"/>
              <w:left w:w="40" w:type="dxa"/>
              <w:right w:w="40" w:type="dxa"/>
            </w:tcMar>
            <w:shd w:fill="F0FDF4"/>
          </w:tcPr>
          <w:p>
            <w:r>
              <w:rPr>
                <w:sz w:val="16"/>
              </w:rPr>
              <w:t>Muy económico para menos de 10 equipos; difícil de gestionar al crecer la red.</w:t>
            </w:r>
          </w:p>
        </w:tc>
      </w:tr>
    </w:tbl>
    <w:p>
      <w:pPr>
        <w:spacing w:before="140" w:after="40"/>
      </w:pPr>
      <w:r>
        <w:rPr>
          <w:b/>
          <w:color w:val="1E40AF"/>
          <w:sz w:val="20"/>
        </w:rPr>
        <w:t xml:space="preserve">RETO 3 </w:t>
      </w:r>
      <w:r>
        <w:rPr>
          <w:b/>
          <w:color w:val="0F172A"/>
          <w:sz w:val="20"/>
        </w:rPr>
        <w:t xml:space="preserve">| Topologías Físicas y Resiliencia ante Fallos </w:t>
      </w:r>
      <w:r>
        <w:rPr>
          <w:i/>
          <w:color w:val="64748B"/>
          <w:sz w:val="16"/>
        </w:rPr>
        <w:t>(Diapositivas 9 a 12 · ⏱️ 3-5 min)</w:t>
      </w:r>
    </w:p>
    <w:p>
      <w:pPr>
        <w:spacing w:before="20" w:after="40"/>
      </w:pPr>
      <w:r>
        <w:rPr>
          <w:color w:val="1E293B"/>
          <w:sz w:val="18"/>
        </w:rPr>
        <w:t>Responde a las siguientes 3 situaciones sobre la distribución geométrica del cableado:</w:t>
        <w:br/>
        <w:t>a) ¿Qué le ocurre a la comunicación en una topología en BUS si se rompe el cable principal en el centro?</w:t>
        <w:br/>
        <w:t>b) En una topología en ESTRELLA, ¿qué ocurre si se daña el cable de un puesto de trabajo y qué ocurre si se avería el switch central?</w:t>
        <w:br/>
        <w:t>c) ¿Por qué no se utiliza una topología en MALLA COMPLETA para interconectar 40 ordenadores de oficina?</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(Topologías Físicas):</w:t>
              <w:br/>
            </w:r>
          </w:p>
          <w:p>
            <w:pPr>
              <w:spacing w:before="20" w:after="20"/>
            </w:pPr>
            <w:r>
              <w:rPr>
                <w:color w:val="0F172A"/>
                <w:sz w:val="17"/>
              </w:rPr>
              <w:t>a) En topología en BUS:</w:t>
            </w:r>
          </w:p>
          <w:p>
            <w:pPr>
              <w:spacing w:before="20" w:after="20"/>
            </w:pPr>
            <w:r>
              <w:rPr>
                <w:color w:val="0F172A"/>
                <w:sz w:val="17"/>
              </w:rPr>
              <w:t xml:space="preserve">   - Al cortarse el cable principal, la red queda dividida en dos segmentos sin terminador en el corte.</w:t>
            </w:r>
          </w:p>
          <w:p>
            <w:pPr>
              <w:spacing w:before="20" w:after="20"/>
            </w:pPr>
            <w:r>
              <w:rPr>
                <w:color w:val="0F172A"/>
                <w:sz w:val="17"/>
              </w:rPr>
              <w:t xml:space="preserve">   - La señal eléctrica rebota en los extremos abiertos, produciendo reflexiones continuas que colapsan la comunicación de TODOS los ordenadores de la red (caída del 100%).</w:t>
            </w:r>
          </w:p>
          <w:p>
            <w:pPr>
              <w:spacing w:before="20" w:after="20"/>
            </w:pPr>
            <w:r>
              <w:rPr>
                <w:color w:val="0F172A"/>
                <w:sz w:val="17"/>
              </w:rPr>
              <w:t>b) En topología en ESTRELLA:</w:t>
            </w:r>
          </w:p>
          <w:p>
            <w:pPr>
              <w:spacing w:before="20" w:after="20"/>
            </w:pPr>
            <w:r>
              <w:rPr>
                <w:color w:val="0F172A"/>
                <w:sz w:val="17"/>
              </w:rPr>
              <w:t xml:space="preserve">   - Si falla un cable hacia un ordenador, solo ese equipo queda aislado. El resto de la red sigue comunicando perfectamente.</w:t>
            </w:r>
          </w:p>
          <w:p>
            <w:pPr>
              <w:spacing w:before="20" w:after="20"/>
            </w:pPr>
            <w:r>
              <w:rPr>
                <w:color w:val="0F172A"/>
                <w:sz w:val="17"/>
              </w:rPr>
              <w:t xml:space="preserve">   - Si falla el nodo central (Switch), toda la red se cae (punto único de fallo). De ahí la importancia de switches fiables y redundados.</w:t>
            </w:r>
          </w:p>
          <w:p>
            <w:pPr>
              <w:spacing w:before="20" w:after="20"/>
            </w:pPr>
            <w:r>
              <w:rPr>
                <w:color w:val="0F172A"/>
                <w:sz w:val="17"/>
              </w:rPr>
              <w:t>c) En MALLA COMPLETA para 40 ordenadores:</w:t>
            </w:r>
          </w:p>
          <w:p>
            <w:pPr>
              <w:spacing w:before="20" w:after="20"/>
            </w:pPr>
            <w:r>
              <w:rPr>
                <w:color w:val="0F172A"/>
                <w:sz w:val="17"/>
              </w:rPr>
              <w:t xml:space="preserve">   - Fórmula de enlaces: N*(N-1)/2 = 40 * 39 / 2 = 780 cables.</w:t>
            </w:r>
          </w:p>
          <w:p>
            <w:pPr>
              <w:spacing w:before="20" w:after="20"/>
            </w:pPr>
            <w:r>
              <w:rPr>
                <w:color w:val="0F172A"/>
                <w:sz w:val="17"/>
              </w:rPr>
              <w:t xml:space="preserve">   - Cada PC necesitaría 39 tarjetas de red instaladas. Resulta técnica y económicamente disparatado para un aula u oficina; la malla se reserva para nodos críticos o backbones de Internet.</w:t>
            </w:r>
          </w:p>
          <w:p>
            <w:pPr>
              <w:spacing w:before="60" w:after="0"/>
            </w:pPr>
            <w:r>
              <w:rPr>
                <w:b/>
                <w:color w:val="B45309"/>
                <w:sz w:val="16"/>
              </w:rPr>
              <w:t xml:space="preserve">💡 Consejo pedagógico / Error típico de aula: </w:t>
            </w:r>
            <w:r>
              <w:rPr>
                <w:i/>
                <w:color w:val="92400E"/>
                <w:sz w:val="16"/>
              </w:rPr>
              <w:t>Hacer que el alumnado aplique la fórmula matemática de la malla completa en pizarra para que 'sientan' el crecimiento exponencial.</w:t>
            </w:r>
          </w:p>
        </w:tc>
      </w:tr>
    </w:tbl>
    <w:p>
      <w:pPr>
        <w:spacing w:before="140" w:after="40"/>
      </w:pPr>
      <w:r>
        <w:rPr>
          <w:b/>
          <w:color w:val="1E40AF"/>
          <w:sz w:val="20"/>
        </w:rPr>
        <w:t xml:space="preserve">RETO 4 </w:t>
      </w:r>
      <w:r>
        <w:rPr>
          <w:b/>
          <w:color w:val="0F172A"/>
          <w:sz w:val="20"/>
        </w:rPr>
        <w:t xml:space="preserve">| Topología Física vs Topología Lógica </w:t>
      </w:r>
      <w:r>
        <w:rPr>
          <w:i/>
          <w:color w:val="64748B"/>
          <w:sz w:val="16"/>
        </w:rPr>
        <w:t>(Diapositiva 13 · ⏱️ 3-5 min)</w:t>
      </w:r>
    </w:p>
    <w:p>
      <w:pPr>
        <w:spacing w:before="20" w:after="40"/>
      </w:pPr>
      <w:r>
        <w:rPr>
          <w:color w:val="1E293B"/>
          <w:sz w:val="18"/>
        </w:rPr>
        <w:t>Explica con tus palabras la diferencia entre topología física y topología lógica. Ilustra tu explicación con el caso clásico de una red cableada físicamente en ESTRELLA conectada a un concentrador (HUB).</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(Física vs Lógica):</w:t>
              <w:br/>
            </w:r>
          </w:p>
          <w:p>
            <w:pPr>
              <w:spacing w:before="20" w:after="20"/>
            </w:pPr>
            <w:r>
              <w:rPr>
                <w:color w:val="0F172A"/>
                <w:sz w:val="17"/>
              </w:rPr>
              <w:t>• Topología Física: Es la disposición y trazado real del cableado y los equipos en el espacio físico (forma visible geométrica).</w:t>
            </w:r>
          </w:p>
          <w:p>
            <w:pPr>
              <w:spacing w:before="20" w:after="20"/>
            </w:pPr>
            <w:r>
              <w:rPr>
                <w:color w:val="0F172A"/>
                <w:sz w:val="17"/>
              </w:rPr>
              <w:t>• Topología Lógica: Es la forma en que los datos viajan internamente y el método que usan los nodos para acceder al medio.</w:t>
            </w:r>
          </w:p>
          <w:p>
            <w:pPr>
              <w:spacing w:before="20" w:after="20"/>
            </w:pPr>
            <w:r>
              <w:rPr>
                <w:color w:val="0F172A"/>
                <w:sz w:val="17"/>
              </w:rPr>
              <w:t>• El caso de la Estrella Física con HUB:</w:t>
            </w:r>
          </w:p>
          <w:p>
            <w:pPr>
              <w:spacing w:before="20" w:after="20"/>
            </w:pPr>
            <w:r>
              <w:rPr>
                <w:color w:val="0F172A"/>
                <w:sz w:val="17"/>
              </w:rPr>
              <w:t xml:space="preserve">  - Físicamente: Todos los cables convergen desde cada PC hacia un punto central (apariencia de estrella).</w:t>
            </w:r>
          </w:p>
          <w:p>
            <w:pPr>
              <w:spacing w:before="20" w:after="20"/>
            </w:pPr>
            <w:r>
              <w:rPr>
                <w:color w:val="0F172A"/>
                <w:sz w:val="17"/>
              </w:rPr>
              <w:t xml:space="preserve">  - Lógicamente: Como el HUB es un repetidor eléctrico ciego (Capa 1), cuando un PC emite, el HUB repite la señal por todos los puertos a la vez. Por tanto, el medio se comparte entre todos simultáneamente como si fuera un BUS.</w:t>
            </w:r>
          </w:p>
          <w:p>
            <w:pPr>
              <w:spacing w:before="20" w:after="20"/>
            </w:pPr>
            <w:r>
              <w:rPr>
                <w:color w:val="0F172A"/>
                <w:sz w:val="17"/>
              </w:rPr>
              <w:t xml:space="preserve">  - Conclusión: 'Topología física en estrella, pero topología lógica en bus'.</w:t>
            </w:r>
          </w:p>
          <w:p>
            <w:pPr>
              <w:spacing w:before="60" w:after="0"/>
            </w:pPr>
            <w:r>
              <w:rPr>
                <w:b/>
                <w:color w:val="B45309"/>
                <w:sz w:val="16"/>
              </w:rPr>
              <w:t xml:space="preserve">💡 Consejo pedagógico / Error típico de aula: </w:t>
            </w:r>
            <w:r>
              <w:rPr>
                <w:i/>
                <w:color w:val="92400E"/>
                <w:sz w:val="16"/>
              </w:rPr>
              <w:t>Esta distinción suele ser una de las preguntas estrella en oposiciones y exámenes de certificación.</w:t>
            </w:r>
          </w:p>
        </w:tc>
      </w:tr>
    </w:tbl>
    <w:p>
      <w:pPr>
        <w:spacing w:before="140" w:after="40"/>
      </w:pPr>
      <w:r>
        <w:rPr>
          <w:b/>
          <w:color w:val="1E40AF"/>
          <w:sz w:val="20"/>
        </w:rPr>
        <w:t xml:space="preserve">RETO 5 </w:t>
      </w:r>
      <w:r>
        <w:rPr>
          <w:b/>
          <w:color w:val="0F172A"/>
          <w:sz w:val="20"/>
        </w:rPr>
        <w:t xml:space="preserve">| Ancho de Banda vs Throughput vs Latencia </w:t>
      </w:r>
      <w:r>
        <w:rPr>
          <w:i/>
          <w:color w:val="64748B"/>
          <w:sz w:val="16"/>
        </w:rPr>
        <w:t>(Diapositivas 14 y 15 · ⏱️ 3-5 min)</w:t>
      </w:r>
    </w:p>
    <w:p>
      <w:pPr>
        <w:spacing w:before="20" w:after="40"/>
      </w:pPr>
      <w:r>
        <w:rPr>
          <w:color w:val="1E293B"/>
          <w:sz w:val="18"/>
        </w:rPr>
        <w:t>Un usuario contrata un acceso de fibra óptica de 600 Mbps simétricos. Sin embargo, al descargar una imagen ISO desde un servidor extranjero, el navegador marca una velocidad estable de 55 MegaBytes por segundo (55 MB/s) y una latencia (ping) de 60 ms.</w:t>
        <w:br/>
        <w:t>a) ¿Cuál es el ancho de banda nominal contratado y cuál es el throughput real medido en Mbps?</w:t>
        <w:br/>
        <w:t>b) Cita dos motivos técnicos que explican por qué el throughput real casi nunca alcanza el ancho de banda nominal.</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(Magnitudes de Red):</w:t>
              <w:br/>
            </w:r>
          </w:p>
          <w:p>
            <w:pPr>
              <w:spacing w:before="20" w:after="20"/>
            </w:pPr>
            <w:r>
              <w:rPr>
                <w:color w:val="0F172A"/>
                <w:sz w:val="17"/>
              </w:rPr>
              <w:t>a) Magnitudes numéricas:</w:t>
            </w:r>
          </w:p>
          <w:p>
            <w:pPr>
              <w:spacing w:before="20" w:after="20"/>
            </w:pPr>
            <w:r>
              <w:rPr>
                <w:color w:val="0F172A"/>
                <w:sz w:val="17"/>
              </w:rPr>
              <w:t xml:space="preserve">   - Ancho de banda nominal: 600 Mbps (megabits por segundo).</w:t>
            </w:r>
          </w:p>
          <w:p>
            <w:pPr>
              <w:spacing w:before="20" w:after="20"/>
            </w:pPr>
            <w:r>
              <w:rPr>
                <w:color w:val="0F172A"/>
                <w:sz w:val="17"/>
              </w:rPr>
              <w:t xml:space="preserve">   - Throughput real: 55 MB/s * 8 bits/Byte = 440 Mbps.</w:t>
            </w:r>
          </w:p>
          <w:p>
            <w:pPr>
              <w:spacing w:before="20" w:after="20"/>
            </w:pPr>
            <w:r>
              <w:rPr>
                <w:color w:val="0F172A"/>
                <w:sz w:val="17"/>
              </w:rPr>
              <w:t xml:space="preserve">   - Latencia: 60 ms (tiempo que tarda un paquete en viajar de ida y vuelta, RTT).</w:t>
            </w:r>
          </w:p>
          <w:p>
            <w:pPr>
              <w:spacing w:before="20" w:after="20"/>
            </w:pPr>
            <w:r>
              <w:rPr>
                <w:color w:val="0F172A"/>
                <w:sz w:val="17"/>
              </w:rPr>
              <w:t>b) Motivos por los que el throughput real es menor que el nominal:</w:t>
            </w:r>
          </w:p>
          <w:p>
            <w:pPr>
              <w:spacing w:before="20" w:after="20"/>
            </w:pPr>
            <w:r>
              <w:rPr>
                <w:color w:val="0F172A"/>
                <w:sz w:val="17"/>
              </w:rPr>
              <w:t xml:space="preserve">   1. Sobrecarga de protocolos (Overhead): Cada paquete añade cabeceras Ethernet, IP y TCP que consumen ancho de banda útil.</w:t>
            </w:r>
          </w:p>
          <w:p>
            <w:pPr>
              <w:spacing w:before="20" w:after="20"/>
            </w:pPr>
            <w:r>
              <w:rPr>
                <w:color w:val="0F172A"/>
                <w:sz w:val="17"/>
              </w:rPr>
              <w:t xml:space="preserve">   2. Congestión en routers intermedios de Internet o limitaciones de ancho de banda del servidor de descarga remoto.</w:t>
            </w:r>
          </w:p>
          <w:p>
            <w:pPr>
              <w:spacing w:before="20" w:after="20"/>
            </w:pPr>
            <w:r>
              <w:rPr>
                <w:color w:val="0F172A"/>
                <w:sz w:val="17"/>
              </w:rPr>
              <w:t xml:space="preserve">   3. Retransmisiones TCP por pérdida puntual de paquetes o mecanismos de control de flujo (ventana deslizante).</w:t>
            </w:r>
          </w:p>
          <w:p>
            <w:pPr>
              <w:spacing w:before="60" w:after="0"/>
            </w:pPr>
            <w:r>
              <w:rPr>
                <w:b/>
                <w:color w:val="B45309"/>
                <w:sz w:val="16"/>
              </w:rPr>
              <w:t xml:space="preserve">💡 Consejo pedagógico / Error típico de aula: </w:t>
            </w:r>
            <w:r>
              <w:rPr>
                <w:i/>
                <w:color w:val="92400E"/>
                <w:sz w:val="16"/>
              </w:rPr>
              <w:t>Asegurar que los alumnos aprenden a multiplicar por 8 para comparar MB/s (MegaBytes por segundo) con Mbps (Megabits por segundo).</w:t>
            </w:r>
          </w:p>
        </w:tc>
      </w:tr>
    </w:tbl>
    <w:p>
      <w:pPr>
        <w:spacing w:before="140" w:after="40"/>
      </w:pPr>
      <w:r>
        <w:rPr>
          <w:b/>
          <w:color w:val="1E40AF"/>
          <w:sz w:val="20"/>
        </w:rPr>
        <w:t xml:space="preserve">RETO 6 </w:t>
      </w:r>
      <w:r>
        <w:rPr>
          <w:b/>
          <w:color w:val="0F172A"/>
          <w:sz w:val="20"/>
        </w:rPr>
        <w:t xml:space="preserve">| Cálculo Práctico Exprés: Tiempo de Transmisión </w:t>
      </w:r>
      <w:r>
        <w:rPr>
          <w:i/>
          <w:color w:val="64748B"/>
          <w:sz w:val="16"/>
        </w:rPr>
        <w:t>(Diapositivas 16 y 17 · ⏱️ 3-5 min)</w:t>
      </w:r>
    </w:p>
    <w:p>
      <w:pPr>
        <w:spacing w:before="20" w:after="40"/>
      </w:pPr>
      <w:r>
        <w:rPr>
          <w:color w:val="1E293B"/>
          <w:sz w:val="18"/>
        </w:rPr>
        <w:t>Un técnico de sistemas necesita transferir una copia de seguridad que ocupa 150 MegaBytes (150 MB) a través de un enlace de red local cuya velocidad de transmisión efectiva es de 100 Mbps (Fast Ethernet).</w:t>
        <w:br/>
        <w:t>¿Cuánto tiempo tardará en completarse la transferencia? Muestra la fórmula utilizada, la conversión de unidades obligatoria y el resultado en segundos.</w:t>
      </w:r>
    </w:p>
    <w:tbl>
      <w:tblPr>
        <w:tblW w:type="auto" w:w="0"/>
        <w:jc w:val="center"/>
        <w:tblLayout w:type="fixed"/>
        <w:tblLook w:firstColumn="1" w:firstRow="1" w:lastColumn="0" w:lastRow="0" w:noHBand="0" w:noVBand="1" w:val="04A0"/>
        <w:tblBorders>
          <w:top w:val="single" w:sz="5" w:space="0" w:color="93C5FD"/>
          <w:bottom w:val="single" w:sz="5" w:space="0" w:color="93C5FD"/>
          <w:left w:val="single" w:sz="5" w:space="0" w:color="93C5FD"/>
          <w:right w:val="single" w:sz="5" w:space="0" w:color="93C5FD"/>
          <w:insideH w:val="single" w:sz="5" w:space="0" w:color="93C5FD"/>
          <w:insideV w:val="single" w:sz="5" w:space="0" w:color="93C5FD"/>
        </w:tblBorders>
      </w:tblPr>
      <w:tblGrid>
        <w:gridCol w:w="9866"/>
      </w:tblGrid>
      <w:tr>
        <w:tc>
          <w:tcPr>
            <w:tcW w:type="dxa" w:w="9865"/>
            <w:shd w:fill="EFF6FF"/>
            <w:tcMar>
              <w:top w:w="60" w:type="dxa"/>
              <w:bottom w:w="60" w:type="dxa"/>
              <w:left w:w="100" w:type="dxa"/>
              <w:right w:w="100" w:type="dxa"/>
            </w:tcMar>
          </w:tcPr>
          <w:p>
            <w:pPr>
              <w:spacing w:before="0" w:after="40"/>
            </w:pPr>
            <w:r>
              <w:rPr>
                <w:b/>
                <w:color w:val="1E40AF"/>
                <w:sz w:val="17"/>
              </w:rPr>
              <w:t>🔑 SOLUCIÓN MODELO (Cálculo de Transmisión):</w:t>
              <w:br/>
            </w:r>
          </w:p>
          <w:p>
            <w:pPr>
              <w:spacing w:before="20" w:after="20"/>
            </w:pPr>
            <w:r>
              <w:rPr>
                <w:color w:val="0F172A"/>
                <w:sz w:val="17"/>
              </w:rPr>
              <w:t>• Paso 1: Identificar las unidades:</w:t>
            </w:r>
          </w:p>
          <w:p>
            <w:pPr>
              <w:spacing w:before="20" w:after="20"/>
            </w:pPr>
            <w:r>
              <w:rPr>
                <w:color w:val="0F172A"/>
                <w:sz w:val="17"/>
              </w:rPr>
              <w:t xml:space="preserve">  - Tamaño archivo: 150 MegaBytes (MB).</w:t>
            </w:r>
          </w:p>
          <w:p>
            <w:pPr>
              <w:spacing w:before="20" w:after="20"/>
            </w:pPr>
            <w:r>
              <w:rPr>
                <w:color w:val="0F172A"/>
                <w:sz w:val="17"/>
              </w:rPr>
              <w:t xml:space="preserve">  - Velocidad del canal: 100 Megabits por segundo (Mbps).</w:t>
            </w:r>
          </w:p>
          <w:p>
            <w:pPr>
              <w:spacing w:before="20" w:after="20"/>
            </w:pPr>
            <w:r>
              <w:rPr>
                <w:color w:val="0F172A"/>
                <w:sz w:val="17"/>
              </w:rPr>
              <w:t>• Paso 2: Conversión a unidades homogéneas (pasar Bytes a bits):</w:t>
            </w:r>
          </w:p>
          <w:p>
            <w:pPr>
              <w:spacing w:before="20" w:after="20"/>
            </w:pPr>
            <w:r>
              <w:rPr>
                <w:color w:val="0F172A"/>
                <w:sz w:val="17"/>
              </w:rPr>
              <w:t xml:space="preserve">  - Tamaño en bits = 150 MB * 8 bits/Byte = 1.200 Megabits (Mb).</w:t>
            </w:r>
          </w:p>
          <w:p>
            <w:pPr>
              <w:spacing w:before="20" w:after="20"/>
            </w:pPr>
            <w:r>
              <w:rPr>
                <w:color w:val="0F172A"/>
                <w:sz w:val="17"/>
              </w:rPr>
              <w:t>• Paso 3: Aplicación de la fórmula física (T = Tamaño / Velocidad):</w:t>
            </w:r>
          </w:p>
          <w:p>
            <w:pPr>
              <w:spacing w:before="20" w:after="20"/>
            </w:pPr>
            <w:r>
              <w:rPr>
                <w:color w:val="0F172A"/>
                <w:sz w:val="17"/>
              </w:rPr>
              <w:t xml:space="preserve">  - Tiempo (T) = 1.200 Mb / 100 Mbps = 12 segundos.</w:t>
            </w:r>
          </w:p>
          <w:p>
            <w:pPr>
              <w:spacing w:before="20" w:after="20"/>
            </w:pPr>
            <w:r>
              <w:rPr>
                <w:color w:val="0F172A"/>
                <w:sz w:val="17"/>
              </w:rPr>
              <w:t>• Resultado final: Tardará exactamente 12 segundos.</w:t>
            </w:r>
          </w:p>
          <w:p>
            <w:pPr>
              <w:spacing w:before="60" w:after="0"/>
            </w:pPr>
            <w:r>
              <w:rPr>
                <w:b/>
                <w:color w:val="B45309"/>
                <w:sz w:val="16"/>
              </w:rPr>
              <w:t xml:space="preserve">💡 Consejo pedagógico / Error típico de aula: </w:t>
            </w:r>
            <w:r>
              <w:rPr>
                <w:i/>
                <w:color w:val="92400E"/>
                <w:sz w:val="16"/>
              </w:rPr>
              <w:t>¡Alerta didáctica! El error típico del 80% del alumnado es dividir directamente 150 / 100 = 1,5 segundos porque confunden Bytes (B mayúscula) con bits (b minúscula). Recalcar que 1 Byte = 8 bits.</w:t>
            </w:r>
          </w:p>
        </w:tc>
      </w:tr>
    </w:tbl>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