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text" w:horzAnchor="margin" w:tblpY="807"/>
        <w:tblW w:w="0" w:type="dxa"/>
        <w:tblBorders>
          <w:top w:val="nil"/>
          <w:left w:val="nil"/>
          <w:bottom w:val="nil"/>
          <w:right w:val="nil"/>
        </w:tblBorders>
        <w:tblLayout w:type="fixed"/>
        <w:tblLook w:val="0000"/>
      </w:tblPr>
      <w:tblGrid>
        <w:gridCol w:w="2650"/>
        <w:gridCol w:w="2650"/>
        <w:gridCol w:w="2650"/>
      </w:tblGrid>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b/>
                <w:bCs/>
                <w:sz w:val="18"/>
                <w:szCs w:val="18"/>
              </w:rPr>
              <w:t xml:space="preserve">Constant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b/>
                <w:bCs/>
                <w:sz w:val="18"/>
                <w:szCs w:val="18"/>
              </w:rPr>
              <w:t xml:space="preserve">Description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b/>
                <w:bCs/>
                <w:sz w:val="18"/>
                <w:szCs w:val="18"/>
              </w:rPr>
              <w:t xml:space="preserve">Value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aBaseSlotDuration</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number of symbols forming a </w:t>
            </w:r>
            <w:proofErr w:type="spellStart"/>
            <w:r w:rsidRPr="00896778">
              <w:rPr>
                <w:sz w:val="18"/>
                <w:szCs w:val="18"/>
              </w:rPr>
              <w:t>superframe</w:t>
            </w:r>
            <w:proofErr w:type="spellEnd"/>
            <w:r w:rsidRPr="00896778">
              <w:rPr>
                <w:sz w:val="18"/>
                <w:szCs w:val="18"/>
              </w:rPr>
              <w:t xml:space="preserve"> slot when the </w:t>
            </w:r>
            <w:proofErr w:type="spellStart"/>
            <w:r w:rsidRPr="00896778">
              <w:rPr>
                <w:sz w:val="18"/>
                <w:szCs w:val="18"/>
              </w:rPr>
              <w:t>superframe</w:t>
            </w:r>
            <w:proofErr w:type="spellEnd"/>
            <w:r w:rsidRPr="00896778">
              <w:rPr>
                <w:sz w:val="18"/>
                <w:szCs w:val="18"/>
              </w:rPr>
              <w:t xml:space="preserve"> order is equal to 0 (see 7.5.1.1).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60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aBaseSuperframeDuration</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number of symbols forming a </w:t>
            </w:r>
            <w:proofErr w:type="spellStart"/>
            <w:r w:rsidRPr="00896778">
              <w:rPr>
                <w:sz w:val="18"/>
                <w:szCs w:val="18"/>
              </w:rPr>
              <w:t>superframe</w:t>
            </w:r>
            <w:proofErr w:type="spellEnd"/>
            <w:r w:rsidRPr="00896778">
              <w:rPr>
                <w:sz w:val="18"/>
                <w:szCs w:val="18"/>
              </w:rPr>
              <w:t xml:space="preserve"> when the </w:t>
            </w:r>
            <w:proofErr w:type="spellStart"/>
            <w:r w:rsidRPr="00896778">
              <w:rPr>
                <w:sz w:val="18"/>
                <w:szCs w:val="18"/>
              </w:rPr>
              <w:t>superframe</w:t>
            </w:r>
            <w:proofErr w:type="spellEnd"/>
            <w:r w:rsidRPr="00896778">
              <w:rPr>
                <w:sz w:val="18"/>
                <w:szCs w:val="18"/>
              </w:rPr>
              <w:t xml:space="preserve"> order is equal to 0.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aBaseSlotDuration</w:t>
            </w:r>
            <w:proofErr w:type="spellEnd"/>
            <w:r w:rsidRPr="00896778">
              <w:rPr>
                <w:i/>
                <w:iCs/>
                <w:sz w:val="18"/>
                <w:szCs w:val="18"/>
              </w:rPr>
              <w:t xml:space="preserve"> * </w:t>
            </w:r>
            <w:proofErr w:type="spellStart"/>
            <w:r w:rsidRPr="00896778">
              <w:rPr>
                <w:i/>
                <w:iCs/>
                <w:sz w:val="18"/>
                <w:szCs w:val="18"/>
              </w:rPr>
              <w:t>aNumSuperframeSlots</w:t>
            </w:r>
            <w:proofErr w:type="spellEnd"/>
            <w:r w:rsidRPr="00896778">
              <w:rPr>
                <w:i/>
                <w:iCs/>
                <w:sz w:val="18"/>
                <w:szCs w:val="18"/>
              </w:rPr>
              <w:t xml:space="preserve">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aExtendedAddress</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64-bit (IEEE) address assigned to the device.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Device specific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aGTSDescPersistenceTime</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number of </w:t>
            </w:r>
            <w:proofErr w:type="spellStart"/>
            <w:r w:rsidRPr="00896778">
              <w:rPr>
                <w:sz w:val="18"/>
                <w:szCs w:val="18"/>
              </w:rPr>
              <w:t>superframes</w:t>
            </w:r>
            <w:proofErr w:type="spellEnd"/>
            <w:r w:rsidRPr="00896778">
              <w:rPr>
                <w:sz w:val="18"/>
                <w:szCs w:val="18"/>
              </w:rPr>
              <w:t xml:space="preserve"> in which a GTS descriptor exists in the beacon frame of the PAN coordinator.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4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aMaxBeaconOverhead</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maximum number of octets added by the MAC </w:t>
            </w:r>
            <w:proofErr w:type="spellStart"/>
            <w:r w:rsidRPr="00896778">
              <w:rPr>
                <w:sz w:val="18"/>
                <w:szCs w:val="18"/>
              </w:rPr>
              <w:t>sublayer</w:t>
            </w:r>
            <w:proofErr w:type="spellEnd"/>
            <w:r w:rsidRPr="00896778">
              <w:rPr>
                <w:sz w:val="18"/>
                <w:szCs w:val="18"/>
              </w:rPr>
              <w:t xml:space="preserve"> to the MAC payload of a beacon frame.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75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aMaxBeaconPayloadLength</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maximum size, in octets, of a beacon payload.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aMaxPHYPacketSize</w:t>
            </w:r>
            <w:proofErr w:type="spellEnd"/>
            <w:r w:rsidRPr="00896778">
              <w:rPr>
                <w:sz w:val="18"/>
                <w:szCs w:val="18"/>
              </w:rPr>
              <w:t xml:space="preserve"> – </w:t>
            </w:r>
            <w:proofErr w:type="spellStart"/>
            <w:r w:rsidRPr="00896778">
              <w:rPr>
                <w:i/>
                <w:iCs/>
                <w:sz w:val="18"/>
                <w:szCs w:val="18"/>
              </w:rPr>
              <w:t>aMaxBeaconOverhead</w:t>
            </w:r>
            <w:proofErr w:type="spellEnd"/>
            <w:r w:rsidRPr="00896778">
              <w:rPr>
                <w:i/>
                <w:iCs/>
                <w:sz w:val="18"/>
                <w:szCs w:val="18"/>
              </w:rPr>
              <w:t xml:space="preserve">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aMaxLostBeacons</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w:t>
            </w:r>
            <w:proofErr w:type="gramStart"/>
            <w:r w:rsidRPr="00896778">
              <w:rPr>
                <w:sz w:val="18"/>
                <w:szCs w:val="18"/>
              </w:rPr>
              <w:t>number</w:t>
            </w:r>
            <w:proofErr w:type="gramEnd"/>
            <w:r w:rsidRPr="00896778">
              <w:rPr>
                <w:sz w:val="18"/>
                <w:szCs w:val="18"/>
              </w:rPr>
              <w:t xml:space="preserve"> of consecutive lost beacons that will cause the MAC </w:t>
            </w:r>
            <w:proofErr w:type="spellStart"/>
            <w:r w:rsidRPr="00896778">
              <w:rPr>
                <w:sz w:val="18"/>
                <w:szCs w:val="18"/>
              </w:rPr>
              <w:t>sublayer</w:t>
            </w:r>
            <w:proofErr w:type="spellEnd"/>
            <w:r w:rsidRPr="00896778">
              <w:rPr>
                <w:sz w:val="18"/>
                <w:szCs w:val="18"/>
              </w:rPr>
              <w:t xml:space="preserve"> of a receiving device to declare a loss of synchronization.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4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aMaxMACSafePayloadSize</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maximum number of octets that can be transmitted in the MAC Payload field of an unsecured MAC frame that will be guaranteed not to exceed </w:t>
            </w:r>
            <w:proofErr w:type="spellStart"/>
            <w:r w:rsidRPr="00896778">
              <w:rPr>
                <w:i/>
                <w:iCs/>
                <w:sz w:val="18"/>
                <w:szCs w:val="18"/>
              </w:rPr>
              <w:t>aMaxPHYPacketSize</w:t>
            </w:r>
            <w:proofErr w:type="spellEnd"/>
            <w:r w:rsidRPr="00896778">
              <w:rPr>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aMaxPHYPacketSize</w:t>
            </w:r>
            <w:proofErr w:type="spellEnd"/>
            <w:r w:rsidRPr="00896778">
              <w:rPr>
                <w:sz w:val="18"/>
                <w:szCs w:val="18"/>
              </w:rPr>
              <w:t xml:space="preserve"> – </w:t>
            </w:r>
            <w:proofErr w:type="spellStart"/>
            <w:r w:rsidRPr="00896778">
              <w:rPr>
                <w:i/>
                <w:iCs/>
                <w:sz w:val="18"/>
                <w:szCs w:val="18"/>
              </w:rPr>
              <w:t>aMaxMPDUUnsecure</w:t>
            </w:r>
            <w:proofErr w:type="spellEnd"/>
            <w:r w:rsidRPr="00896778">
              <w:rPr>
                <w:i/>
                <w:iCs/>
                <w:sz w:val="18"/>
                <w:szCs w:val="18"/>
              </w:rPr>
              <w:t xml:space="preserve"> </w:t>
            </w:r>
            <w:proofErr w:type="spellStart"/>
            <w:r w:rsidRPr="00896778">
              <w:rPr>
                <w:i/>
                <w:iCs/>
                <w:sz w:val="18"/>
                <w:szCs w:val="18"/>
              </w:rPr>
              <w:t>dOverhead</w:t>
            </w:r>
            <w:proofErr w:type="spellEnd"/>
            <w:r w:rsidRPr="00896778">
              <w:rPr>
                <w:i/>
                <w:iCs/>
                <w:sz w:val="18"/>
                <w:szCs w:val="18"/>
              </w:rPr>
              <w:t xml:space="preserve">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aMaxMACPayloadSize</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maximum number of octets that can be transmitted in the MAC Payload field.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aMaxPHYPacketSize</w:t>
            </w:r>
            <w:proofErr w:type="spellEnd"/>
            <w:r w:rsidRPr="00896778">
              <w:rPr>
                <w:sz w:val="18"/>
                <w:szCs w:val="18"/>
              </w:rPr>
              <w:t xml:space="preserve"> – </w:t>
            </w:r>
            <w:proofErr w:type="spellStart"/>
            <w:r w:rsidRPr="00896778">
              <w:rPr>
                <w:i/>
                <w:iCs/>
                <w:sz w:val="18"/>
                <w:szCs w:val="18"/>
              </w:rPr>
              <w:t>aMinMPDUOverhead</w:t>
            </w:r>
            <w:proofErr w:type="spellEnd"/>
            <w:r w:rsidRPr="00896778">
              <w:rPr>
                <w:i/>
                <w:iCs/>
                <w:sz w:val="18"/>
                <w:szCs w:val="18"/>
              </w:rPr>
              <w:t xml:space="preserve">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aMaxMPDUUnsecuredOverhead</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maximum number of octets added by the MAC </w:t>
            </w:r>
            <w:proofErr w:type="spellStart"/>
            <w:r w:rsidRPr="00896778">
              <w:rPr>
                <w:sz w:val="18"/>
                <w:szCs w:val="18"/>
              </w:rPr>
              <w:t>sublayer</w:t>
            </w:r>
            <w:proofErr w:type="spellEnd"/>
            <w:r w:rsidRPr="00896778">
              <w:rPr>
                <w:sz w:val="18"/>
                <w:szCs w:val="18"/>
              </w:rPr>
              <w:t xml:space="preserve"> to the PSDU without security.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25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aMaxSIFSFrameSize</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maximum size of an MPDU, in octets, that can be followed by a SIFS period.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18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aMinCAPLength</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minimum number of symbols forming the CAP. This ensures that MAC commands can still be transferred to devices when GTSs are being used. An exception to this minimum shall be allowed for the accommodation of the temporary increase in the beacon frame length needed to perform GTS maintenance (see 7.2.2.1.3).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440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aMinMPDUOverhead</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minimum number of octets added by the MAC </w:t>
            </w:r>
            <w:proofErr w:type="spellStart"/>
            <w:r w:rsidRPr="00896778">
              <w:rPr>
                <w:sz w:val="18"/>
                <w:szCs w:val="18"/>
              </w:rPr>
              <w:t>sublayer</w:t>
            </w:r>
            <w:proofErr w:type="spellEnd"/>
            <w:r w:rsidRPr="00896778">
              <w:rPr>
                <w:sz w:val="18"/>
                <w:szCs w:val="18"/>
              </w:rPr>
              <w:t xml:space="preserve"> to the PSDU.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9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t>aNumSuperframeSlots</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number of slots contained in any </w:t>
            </w:r>
            <w:proofErr w:type="spellStart"/>
            <w:r w:rsidRPr="00896778">
              <w:rPr>
                <w:sz w:val="18"/>
                <w:szCs w:val="18"/>
              </w:rPr>
              <w:t>superframe</w:t>
            </w:r>
            <w:proofErr w:type="spellEnd"/>
            <w:r w:rsidRPr="00896778">
              <w:rPr>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16 </w:t>
            </w:r>
          </w:p>
        </w:tc>
      </w:tr>
      <w:tr w:rsidR="00896778" w:rsidRPr="00896778" w:rsidTr="00896778">
        <w:trPr>
          <w:cantSplit/>
        </w:trPr>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proofErr w:type="spellStart"/>
            <w:r w:rsidRPr="00896778">
              <w:rPr>
                <w:i/>
                <w:iCs/>
                <w:sz w:val="18"/>
                <w:szCs w:val="18"/>
              </w:rPr>
              <w:lastRenderedPageBreak/>
              <w:t>aUnitBackoffPeriod</w:t>
            </w:r>
            <w:proofErr w:type="spellEnd"/>
            <w:r w:rsidRPr="00896778">
              <w:rPr>
                <w:i/>
                <w:iCs/>
                <w:sz w:val="18"/>
                <w:szCs w:val="18"/>
              </w:rPr>
              <w:t xml:space="preserve">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The number of symbols forming the basic time period used by the CSMA-CA algorithm. </w:t>
            </w:r>
          </w:p>
        </w:tc>
        <w:tc>
          <w:tcPr>
            <w:tcW w:w="2650" w:type="dxa"/>
            <w:tcBorders>
              <w:top w:val="single" w:sz="4" w:space="0" w:color="auto"/>
              <w:left w:val="single" w:sz="4" w:space="0" w:color="auto"/>
              <w:bottom w:val="single" w:sz="4" w:space="0" w:color="auto"/>
              <w:right w:val="single" w:sz="4" w:space="0" w:color="auto"/>
            </w:tcBorders>
          </w:tcPr>
          <w:p w:rsidR="00896778" w:rsidRPr="00896778" w:rsidRDefault="00896778" w:rsidP="00896778">
            <w:pPr>
              <w:pStyle w:val="Default"/>
              <w:rPr>
                <w:sz w:val="18"/>
                <w:szCs w:val="18"/>
              </w:rPr>
            </w:pPr>
            <w:r w:rsidRPr="00896778">
              <w:rPr>
                <w:sz w:val="18"/>
                <w:szCs w:val="18"/>
              </w:rPr>
              <w:t xml:space="preserve">20 </w:t>
            </w:r>
          </w:p>
        </w:tc>
      </w:tr>
    </w:tbl>
    <w:p w:rsidR="00896778" w:rsidRDefault="00896778" w:rsidP="00896778"/>
    <w:p w:rsidR="00896778" w:rsidRDefault="00896778" w:rsidP="00896778"/>
    <w:p w:rsidR="00896778" w:rsidRDefault="00896778" w:rsidP="00896778"/>
    <w:tbl>
      <w:tblPr>
        <w:tblStyle w:val="TableGrid"/>
        <w:tblW w:w="0" w:type="auto"/>
        <w:tblLook w:val="04A0"/>
      </w:tblPr>
      <w:tblGrid>
        <w:gridCol w:w="3192"/>
        <w:gridCol w:w="3192"/>
        <w:gridCol w:w="3192"/>
      </w:tblGrid>
      <w:tr w:rsidR="00896778" w:rsidTr="00896778">
        <w:tc>
          <w:tcPr>
            <w:tcW w:w="3192" w:type="dxa"/>
          </w:tcPr>
          <w:p w:rsidR="00896778" w:rsidRDefault="00896778" w:rsidP="00896778">
            <w:r>
              <w:t>Constant</w:t>
            </w:r>
          </w:p>
        </w:tc>
        <w:tc>
          <w:tcPr>
            <w:tcW w:w="3192" w:type="dxa"/>
          </w:tcPr>
          <w:p w:rsidR="00896778" w:rsidRDefault="00896778" w:rsidP="00896778">
            <w:r>
              <w:t>Description</w:t>
            </w:r>
          </w:p>
        </w:tc>
        <w:tc>
          <w:tcPr>
            <w:tcW w:w="3192" w:type="dxa"/>
          </w:tcPr>
          <w:p w:rsidR="00896778" w:rsidRDefault="00896778" w:rsidP="00896778">
            <w:r>
              <w:t>Value</w:t>
            </w:r>
          </w:p>
        </w:tc>
      </w:tr>
      <w:tr w:rsidR="00896778" w:rsidRPr="00896778" w:rsidTr="00896778">
        <w:tc>
          <w:tcPr>
            <w:tcW w:w="3192" w:type="dxa"/>
          </w:tcPr>
          <w:p w:rsidR="00896778" w:rsidRPr="00896778" w:rsidRDefault="00896778" w:rsidP="00896778">
            <w:pPr>
              <w:rPr>
                <w:rFonts w:ascii="Times New Roman" w:hAnsi="Times New Roman" w:cs="Times New Roman"/>
                <w:i/>
                <w:sz w:val="18"/>
                <w:szCs w:val="18"/>
              </w:rPr>
            </w:pPr>
            <w:proofErr w:type="spellStart"/>
            <w:r w:rsidRPr="00896778">
              <w:rPr>
                <w:rFonts w:ascii="Times New Roman" w:hAnsi="Times New Roman" w:cs="Times New Roman"/>
                <w:i/>
                <w:sz w:val="18"/>
                <w:szCs w:val="18"/>
              </w:rPr>
              <w:t>aSymbolTime</w:t>
            </w:r>
            <w:proofErr w:type="spellEnd"/>
          </w:p>
        </w:tc>
        <w:tc>
          <w:tcPr>
            <w:tcW w:w="3192" w:type="dxa"/>
          </w:tcPr>
          <w:p w:rsidR="00896778" w:rsidRPr="00896778" w:rsidRDefault="00896778" w:rsidP="00896778">
            <w:pPr>
              <w:rPr>
                <w:rFonts w:ascii="Times New Roman" w:hAnsi="Times New Roman" w:cs="Times New Roman"/>
              </w:rPr>
            </w:pPr>
          </w:p>
        </w:tc>
        <w:tc>
          <w:tcPr>
            <w:tcW w:w="3192" w:type="dxa"/>
          </w:tcPr>
          <w:p w:rsidR="00896778" w:rsidRPr="00896778" w:rsidRDefault="00896778" w:rsidP="00896778">
            <w:pPr>
              <w:rPr>
                <w:rFonts w:ascii="Times New Roman" w:hAnsi="Times New Roman" w:cs="Times New Roman"/>
              </w:rPr>
            </w:pPr>
            <w:r w:rsidRPr="00896778">
              <w:rPr>
                <w:rFonts w:ascii="Times New Roman" w:hAnsi="Times New Roman" w:cs="Times New Roman"/>
              </w:rPr>
              <w:t>16 microseconds</w:t>
            </w:r>
          </w:p>
        </w:tc>
      </w:tr>
      <w:tr w:rsidR="00896778" w:rsidTr="00896778">
        <w:tc>
          <w:tcPr>
            <w:tcW w:w="3192" w:type="dxa"/>
          </w:tcPr>
          <w:p w:rsidR="00896778" w:rsidRDefault="00896778" w:rsidP="00896778"/>
        </w:tc>
        <w:tc>
          <w:tcPr>
            <w:tcW w:w="3192" w:type="dxa"/>
          </w:tcPr>
          <w:p w:rsidR="00896778" w:rsidRDefault="00896778" w:rsidP="00896778"/>
        </w:tc>
        <w:tc>
          <w:tcPr>
            <w:tcW w:w="3192" w:type="dxa"/>
          </w:tcPr>
          <w:p w:rsidR="00896778" w:rsidRDefault="00896778" w:rsidP="00896778"/>
        </w:tc>
      </w:tr>
      <w:tr w:rsidR="00896778" w:rsidTr="00896778">
        <w:tc>
          <w:tcPr>
            <w:tcW w:w="3192" w:type="dxa"/>
          </w:tcPr>
          <w:p w:rsidR="00896778" w:rsidRDefault="00896778" w:rsidP="00896778"/>
        </w:tc>
        <w:tc>
          <w:tcPr>
            <w:tcW w:w="3192" w:type="dxa"/>
          </w:tcPr>
          <w:p w:rsidR="00896778" w:rsidRDefault="00896778" w:rsidP="00896778"/>
        </w:tc>
        <w:tc>
          <w:tcPr>
            <w:tcW w:w="3192" w:type="dxa"/>
          </w:tcPr>
          <w:p w:rsidR="00896778" w:rsidRDefault="00896778" w:rsidP="00896778"/>
        </w:tc>
      </w:tr>
    </w:tbl>
    <w:p w:rsidR="00E87914" w:rsidRDefault="00E87914" w:rsidP="00E87914"/>
    <w:p w:rsidR="00E87914" w:rsidRDefault="00E87914" w:rsidP="00E87914"/>
    <w:p w:rsidR="00094E64" w:rsidRDefault="00094E64" w:rsidP="00E87914"/>
    <w:p w:rsidR="00094E64" w:rsidRDefault="00094E64" w:rsidP="00E87914"/>
    <w:p w:rsidR="00094E64" w:rsidRDefault="00094E64" w:rsidP="00094E64">
      <w:pPr>
        <w:pStyle w:val="Default"/>
      </w:pPr>
    </w:p>
    <w:p w:rsidR="00094E64" w:rsidRDefault="00094E64" w:rsidP="00094E64"/>
    <w:p w:rsidR="00094E64" w:rsidRDefault="00094E64" w:rsidP="00094E64"/>
    <w:p w:rsidR="00094E64" w:rsidRDefault="00094E64" w:rsidP="00094E64"/>
    <w:p w:rsidR="00094E64" w:rsidRDefault="00094E64" w:rsidP="00094E64"/>
    <w:p w:rsidR="00094E64" w:rsidRDefault="00094E64" w:rsidP="00094E64"/>
    <w:p w:rsidR="00094E64" w:rsidRDefault="00094E64" w:rsidP="00094E64"/>
    <w:p w:rsidR="00094E64" w:rsidRDefault="00094E64" w:rsidP="00094E64">
      <w:pPr>
        <w:pStyle w:val="Default"/>
      </w:pPr>
    </w:p>
    <w:p w:rsidR="009D178F" w:rsidRDefault="009D178F" w:rsidP="00094E64"/>
    <w:p w:rsidR="009D178F" w:rsidRDefault="009D178F" w:rsidP="00094E64"/>
    <w:p w:rsidR="009D178F" w:rsidRDefault="009D178F" w:rsidP="00094E64"/>
    <w:p w:rsidR="009D178F" w:rsidRDefault="009D178F" w:rsidP="00094E64"/>
    <w:p w:rsidR="009D178F" w:rsidRDefault="009D178F" w:rsidP="00094E64"/>
    <w:p w:rsidR="009D178F" w:rsidRDefault="009D178F">
      <w:r>
        <w:br w:type="page"/>
      </w:r>
    </w:p>
    <w:p w:rsidR="009D178F" w:rsidRPr="009D178F" w:rsidRDefault="009D178F" w:rsidP="009D178F"/>
    <w:tbl>
      <w:tblPr>
        <w:tblW w:w="94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2"/>
        <w:gridCol w:w="787"/>
        <w:gridCol w:w="695"/>
        <w:gridCol w:w="1399"/>
        <w:gridCol w:w="2624"/>
        <w:gridCol w:w="2624"/>
      </w:tblGrid>
      <w:tr w:rsidR="007A70D3" w:rsidRPr="009D178F" w:rsidTr="007A70D3">
        <w:trPr>
          <w:trHeight w:val="300"/>
        </w:trPr>
        <w:tc>
          <w:tcPr>
            <w:tcW w:w="1362"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Attribute </w:t>
            </w:r>
          </w:p>
        </w:tc>
        <w:tc>
          <w:tcPr>
            <w:tcW w:w="787"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Identifier </w:t>
            </w:r>
          </w:p>
        </w:tc>
        <w:tc>
          <w:tcPr>
            <w:tcW w:w="695" w:type="dxa"/>
            <w:shd w:val="clear" w:color="auto" w:fill="auto"/>
            <w:noWrap/>
            <w:tcMar>
              <w:left w:w="115" w:type="dxa"/>
              <w:right w:w="115" w:type="dxa"/>
            </w:tcMar>
            <w:hideMark/>
          </w:tcPr>
          <w:p w:rsidR="009D178F" w:rsidRPr="009D178F" w:rsidRDefault="009D178F" w:rsidP="007A70D3">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Type </w:t>
            </w:r>
          </w:p>
        </w:tc>
        <w:tc>
          <w:tcPr>
            <w:tcW w:w="1399"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Range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Description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Default </w:t>
            </w:r>
          </w:p>
        </w:tc>
      </w:tr>
      <w:tr w:rsidR="007A70D3" w:rsidRPr="009D178F" w:rsidTr="007A70D3">
        <w:trPr>
          <w:trHeight w:val="300"/>
        </w:trPr>
        <w:tc>
          <w:tcPr>
            <w:tcW w:w="1362"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roofErr w:type="spellStart"/>
            <w:r w:rsidRPr="009D178F">
              <w:rPr>
                <w:rFonts w:ascii="Calibri" w:eastAsia="Times New Roman" w:hAnsi="Calibri" w:cs="Calibri"/>
                <w:color w:val="000000"/>
              </w:rPr>
              <w:t>macMaxFrameRetries</w:t>
            </w:r>
            <w:proofErr w:type="spellEnd"/>
            <w:r w:rsidRPr="009D178F">
              <w:rPr>
                <w:rFonts w:ascii="Calibri" w:eastAsia="Times New Roman" w:hAnsi="Calibri" w:cs="Calibri"/>
                <w:color w:val="000000"/>
              </w:rPr>
              <w:t xml:space="preserve"> </w:t>
            </w:r>
          </w:p>
        </w:tc>
        <w:tc>
          <w:tcPr>
            <w:tcW w:w="787"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0x59 </w:t>
            </w:r>
          </w:p>
        </w:tc>
        <w:tc>
          <w:tcPr>
            <w:tcW w:w="695" w:type="dxa"/>
            <w:shd w:val="clear" w:color="auto" w:fill="auto"/>
            <w:noWrap/>
            <w:tcMar>
              <w:left w:w="115" w:type="dxa"/>
              <w:right w:w="115" w:type="dxa"/>
            </w:tcMar>
            <w:hideMark/>
          </w:tcPr>
          <w:p w:rsidR="009D178F" w:rsidRPr="009D178F" w:rsidRDefault="009D178F" w:rsidP="007A70D3">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Integer </w:t>
            </w:r>
          </w:p>
        </w:tc>
        <w:tc>
          <w:tcPr>
            <w:tcW w:w="1399"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0–7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The maximum number of retries allowed after a transmission failure.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jc w:val="right"/>
              <w:rPr>
                <w:rFonts w:ascii="Calibri" w:eastAsia="Times New Roman" w:hAnsi="Calibri" w:cs="Calibri"/>
                <w:color w:val="000000"/>
              </w:rPr>
            </w:pPr>
            <w:r w:rsidRPr="009D178F">
              <w:rPr>
                <w:rFonts w:ascii="Calibri" w:eastAsia="Times New Roman" w:hAnsi="Calibri" w:cs="Calibri"/>
                <w:color w:val="000000"/>
              </w:rPr>
              <w:t>3</w:t>
            </w:r>
          </w:p>
        </w:tc>
      </w:tr>
      <w:tr w:rsidR="007A70D3" w:rsidRPr="009D178F" w:rsidTr="007A70D3">
        <w:trPr>
          <w:trHeight w:val="300"/>
        </w:trPr>
        <w:tc>
          <w:tcPr>
            <w:tcW w:w="1362"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roofErr w:type="spellStart"/>
            <w:r w:rsidRPr="009D178F">
              <w:rPr>
                <w:rFonts w:ascii="Calibri" w:eastAsia="Times New Roman" w:hAnsi="Calibri" w:cs="Calibri"/>
                <w:color w:val="000000"/>
              </w:rPr>
              <w:t>macMinBE</w:t>
            </w:r>
            <w:proofErr w:type="spellEnd"/>
            <w:r w:rsidRPr="009D178F">
              <w:rPr>
                <w:rFonts w:ascii="Calibri" w:eastAsia="Times New Roman" w:hAnsi="Calibri" w:cs="Calibri"/>
                <w:color w:val="000000"/>
              </w:rPr>
              <w:t xml:space="preserve"> </w:t>
            </w:r>
          </w:p>
        </w:tc>
        <w:tc>
          <w:tcPr>
            <w:tcW w:w="787"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0x4f </w:t>
            </w:r>
          </w:p>
        </w:tc>
        <w:tc>
          <w:tcPr>
            <w:tcW w:w="695" w:type="dxa"/>
            <w:shd w:val="clear" w:color="auto" w:fill="auto"/>
            <w:noWrap/>
            <w:tcMar>
              <w:left w:w="115" w:type="dxa"/>
              <w:right w:w="115" w:type="dxa"/>
            </w:tcMar>
            <w:hideMark/>
          </w:tcPr>
          <w:p w:rsidR="009D178F" w:rsidRPr="009D178F" w:rsidRDefault="009D178F" w:rsidP="007A70D3">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Integer </w:t>
            </w:r>
          </w:p>
        </w:tc>
        <w:tc>
          <w:tcPr>
            <w:tcW w:w="1399"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0–macMaxBE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The minimum value of the </w:t>
            </w:r>
            <w:proofErr w:type="spellStart"/>
            <w:r w:rsidRPr="009D178F">
              <w:rPr>
                <w:rFonts w:ascii="Calibri" w:eastAsia="Times New Roman" w:hAnsi="Calibri" w:cs="Calibri"/>
                <w:color w:val="000000"/>
              </w:rPr>
              <w:t>backoff</w:t>
            </w:r>
            <w:proofErr w:type="spellEnd"/>
            <w:r w:rsidRPr="009D178F">
              <w:rPr>
                <w:rFonts w:ascii="Calibri" w:eastAsia="Times New Roman" w:hAnsi="Calibri" w:cs="Calibri"/>
                <w:color w:val="000000"/>
              </w:rPr>
              <w:t xml:space="preserve"> exponent (BE) in the CSMA-CA algorithm. See 7.5.1.4 for a detailed explanation of the </w:t>
            </w:r>
            <w:proofErr w:type="spellStart"/>
            <w:r w:rsidRPr="009D178F">
              <w:rPr>
                <w:rFonts w:ascii="Calibri" w:eastAsia="Times New Roman" w:hAnsi="Calibri" w:cs="Calibri"/>
                <w:color w:val="000000"/>
              </w:rPr>
              <w:t>backoff</w:t>
            </w:r>
            <w:proofErr w:type="spellEnd"/>
            <w:r w:rsidRPr="009D178F">
              <w:rPr>
                <w:rFonts w:ascii="Calibri" w:eastAsia="Times New Roman" w:hAnsi="Calibri" w:cs="Calibri"/>
                <w:color w:val="000000"/>
              </w:rPr>
              <w:t xml:space="preserve"> exponent.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jc w:val="right"/>
              <w:rPr>
                <w:rFonts w:ascii="Calibri" w:eastAsia="Times New Roman" w:hAnsi="Calibri" w:cs="Calibri"/>
                <w:color w:val="000000"/>
              </w:rPr>
            </w:pPr>
            <w:r w:rsidRPr="009D178F">
              <w:rPr>
                <w:rFonts w:ascii="Calibri" w:eastAsia="Times New Roman" w:hAnsi="Calibri" w:cs="Calibri"/>
                <w:color w:val="000000"/>
              </w:rPr>
              <w:t>3</w:t>
            </w:r>
          </w:p>
        </w:tc>
      </w:tr>
      <w:tr w:rsidR="007A70D3" w:rsidRPr="009D178F" w:rsidTr="007A70D3">
        <w:trPr>
          <w:trHeight w:val="300"/>
        </w:trPr>
        <w:tc>
          <w:tcPr>
            <w:tcW w:w="1362"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roofErr w:type="spellStart"/>
            <w:r w:rsidRPr="009D178F">
              <w:rPr>
                <w:rFonts w:ascii="Calibri" w:eastAsia="Times New Roman" w:hAnsi="Calibri" w:cs="Calibri"/>
                <w:color w:val="000000"/>
              </w:rPr>
              <w:t>macMinLIFSPeriod</w:t>
            </w:r>
            <w:proofErr w:type="spellEnd"/>
            <w:r w:rsidRPr="009D178F">
              <w:rPr>
                <w:rFonts w:ascii="Calibri" w:eastAsia="Times New Roman" w:hAnsi="Calibri" w:cs="Calibri"/>
                <w:color w:val="000000"/>
              </w:rPr>
              <w:t xml:space="preserve">† </w:t>
            </w:r>
          </w:p>
        </w:tc>
        <w:tc>
          <w:tcPr>
            <w:tcW w:w="787"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
        </w:tc>
        <w:tc>
          <w:tcPr>
            <w:tcW w:w="695" w:type="dxa"/>
            <w:shd w:val="clear" w:color="auto" w:fill="auto"/>
            <w:noWrap/>
            <w:tcMar>
              <w:left w:w="115" w:type="dxa"/>
              <w:right w:w="115" w:type="dxa"/>
            </w:tcMar>
            <w:hideMark/>
          </w:tcPr>
          <w:p w:rsidR="009D178F" w:rsidRPr="009D178F" w:rsidRDefault="009D178F" w:rsidP="007A70D3">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Integer </w:t>
            </w:r>
          </w:p>
        </w:tc>
        <w:tc>
          <w:tcPr>
            <w:tcW w:w="1399"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See Table 3 in Clause 6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The minimum number of symbols forming a LIFS period.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Dependent on currently selected PHY, indicated by </w:t>
            </w:r>
            <w:proofErr w:type="spellStart"/>
            <w:r w:rsidRPr="009D178F">
              <w:rPr>
                <w:rFonts w:ascii="Calibri" w:eastAsia="Times New Roman" w:hAnsi="Calibri" w:cs="Calibri"/>
                <w:color w:val="000000"/>
              </w:rPr>
              <w:t>phy</w:t>
            </w:r>
            <w:proofErr w:type="spellEnd"/>
            <w:r w:rsidRPr="009D178F">
              <w:rPr>
                <w:rFonts w:ascii="Calibri" w:eastAsia="Times New Roman" w:hAnsi="Calibri" w:cs="Calibri"/>
                <w:color w:val="000000"/>
              </w:rPr>
              <w:t xml:space="preserve">-Current-Page </w:t>
            </w:r>
          </w:p>
        </w:tc>
      </w:tr>
      <w:tr w:rsidR="007A70D3" w:rsidRPr="009D178F" w:rsidTr="007A70D3">
        <w:trPr>
          <w:trHeight w:val="300"/>
        </w:trPr>
        <w:tc>
          <w:tcPr>
            <w:tcW w:w="1362"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roofErr w:type="spellStart"/>
            <w:r w:rsidRPr="009D178F">
              <w:rPr>
                <w:rFonts w:ascii="Calibri" w:eastAsia="Times New Roman" w:hAnsi="Calibri" w:cs="Calibri"/>
                <w:color w:val="000000"/>
              </w:rPr>
              <w:t>macMinSIFSPeriod</w:t>
            </w:r>
            <w:proofErr w:type="spellEnd"/>
            <w:r w:rsidRPr="009D178F">
              <w:rPr>
                <w:rFonts w:ascii="Calibri" w:eastAsia="Times New Roman" w:hAnsi="Calibri" w:cs="Calibri"/>
                <w:color w:val="000000"/>
              </w:rPr>
              <w:t xml:space="preserve">† </w:t>
            </w:r>
          </w:p>
        </w:tc>
        <w:tc>
          <w:tcPr>
            <w:tcW w:w="787"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
        </w:tc>
        <w:tc>
          <w:tcPr>
            <w:tcW w:w="695" w:type="dxa"/>
            <w:shd w:val="clear" w:color="auto" w:fill="auto"/>
            <w:noWrap/>
            <w:tcMar>
              <w:left w:w="115" w:type="dxa"/>
              <w:right w:w="115" w:type="dxa"/>
            </w:tcMar>
            <w:hideMark/>
          </w:tcPr>
          <w:p w:rsidR="009D178F" w:rsidRPr="009D178F" w:rsidRDefault="009D178F" w:rsidP="007A70D3">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Integer </w:t>
            </w:r>
          </w:p>
        </w:tc>
        <w:tc>
          <w:tcPr>
            <w:tcW w:w="1399"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See Table 3 in Clause 6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The minimum number of symbols forming a SIFS period.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Dependent on currently selected PHY, indicated by </w:t>
            </w:r>
            <w:proofErr w:type="spellStart"/>
            <w:r w:rsidRPr="009D178F">
              <w:rPr>
                <w:rFonts w:ascii="Calibri" w:eastAsia="Times New Roman" w:hAnsi="Calibri" w:cs="Calibri"/>
                <w:color w:val="000000"/>
              </w:rPr>
              <w:t>phy</w:t>
            </w:r>
            <w:proofErr w:type="spellEnd"/>
            <w:r w:rsidRPr="009D178F">
              <w:rPr>
                <w:rFonts w:ascii="Calibri" w:eastAsia="Times New Roman" w:hAnsi="Calibri" w:cs="Calibri"/>
                <w:color w:val="000000"/>
              </w:rPr>
              <w:t xml:space="preserve">-Current-Page </w:t>
            </w:r>
          </w:p>
        </w:tc>
      </w:tr>
      <w:tr w:rsidR="007A70D3" w:rsidRPr="009D178F" w:rsidTr="007A70D3">
        <w:trPr>
          <w:trHeight w:val="300"/>
        </w:trPr>
        <w:tc>
          <w:tcPr>
            <w:tcW w:w="1362"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roofErr w:type="spellStart"/>
            <w:r w:rsidRPr="009D178F">
              <w:rPr>
                <w:rFonts w:ascii="Calibri" w:eastAsia="Times New Roman" w:hAnsi="Calibri" w:cs="Calibri"/>
                <w:color w:val="000000"/>
              </w:rPr>
              <w:t>macPANId</w:t>
            </w:r>
            <w:proofErr w:type="spellEnd"/>
            <w:r w:rsidRPr="009D178F">
              <w:rPr>
                <w:rFonts w:ascii="Calibri" w:eastAsia="Times New Roman" w:hAnsi="Calibri" w:cs="Calibri"/>
                <w:color w:val="000000"/>
              </w:rPr>
              <w:t xml:space="preserve"> </w:t>
            </w:r>
          </w:p>
        </w:tc>
        <w:tc>
          <w:tcPr>
            <w:tcW w:w="787"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0x50 </w:t>
            </w:r>
          </w:p>
        </w:tc>
        <w:tc>
          <w:tcPr>
            <w:tcW w:w="695" w:type="dxa"/>
            <w:shd w:val="clear" w:color="auto" w:fill="auto"/>
            <w:noWrap/>
            <w:tcMar>
              <w:left w:w="115" w:type="dxa"/>
              <w:right w:w="115" w:type="dxa"/>
            </w:tcMar>
            <w:hideMark/>
          </w:tcPr>
          <w:p w:rsidR="009D178F" w:rsidRPr="009D178F" w:rsidRDefault="009D178F" w:rsidP="007A70D3">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Integer </w:t>
            </w:r>
          </w:p>
        </w:tc>
        <w:tc>
          <w:tcPr>
            <w:tcW w:w="1399"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0x0000–0xffff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The 16-bit identifier of the PAN on which the device is operating. If this value is 0xffff, the device is not associated. </w:t>
            </w: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r w:rsidRPr="009D178F">
              <w:rPr>
                <w:rFonts w:ascii="Calibri" w:eastAsia="Times New Roman" w:hAnsi="Calibri" w:cs="Calibri"/>
                <w:color w:val="000000"/>
              </w:rPr>
              <w:t xml:space="preserve">0xffff </w:t>
            </w:r>
          </w:p>
        </w:tc>
      </w:tr>
      <w:tr w:rsidR="007A70D3" w:rsidRPr="009D178F" w:rsidTr="007A70D3">
        <w:trPr>
          <w:trHeight w:val="300"/>
        </w:trPr>
        <w:tc>
          <w:tcPr>
            <w:tcW w:w="1362"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
        </w:tc>
        <w:tc>
          <w:tcPr>
            <w:tcW w:w="787"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
        </w:tc>
        <w:tc>
          <w:tcPr>
            <w:tcW w:w="695" w:type="dxa"/>
            <w:shd w:val="clear" w:color="auto" w:fill="auto"/>
            <w:noWrap/>
            <w:tcMar>
              <w:left w:w="115" w:type="dxa"/>
              <w:right w:w="115" w:type="dxa"/>
            </w:tcMar>
            <w:hideMark/>
          </w:tcPr>
          <w:p w:rsidR="009D178F" w:rsidRPr="009D178F" w:rsidRDefault="009D178F" w:rsidP="007A70D3">
            <w:pPr>
              <w:spacing w:after="0" w:line="240" w:lineRule="auto"/>
              <w:rPr>
                <w:rFonts w:ascii="Calibri" w:eastAsia="Times New Roman" w:hAnsi="Calibri" w:cs="Calibri"/>
                <w:color w:val="000000"/>
              </w:rPr>
            </w:pPr>
          </w:p>
        </w:tc>
        <w:tc>
          <w:tcPr>
            <w:tcW w:w="1399"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
        </w:tc>
        <w:tc>
          <w:tcPr>
            <w:tcW w:w="2624" w:type="dxa"/>
            <w:shd w:val="clear" w:color="auto" w:fill="auto"/>
            <w:noWrap/>
            <w:tcMar>
              <w:left w:w="115" w:type="dxa"/>
              <w:right w:w="115" w:type="dxa"/>
            </w:tcMar>
            <w:hideMark/>
          </w:tcPr>
          <w:p w:rsidR="009D178F" w:rsidRPr="009D178F" w:rsidRDefault="009D178F" w:rsidP="009D178F">
            <w:pPr>
              <w:spacing w:after="0" w:line="240" w:lineRule="auto"/>
              <w:rPr>
                <w:rFonts w:ascii="Calibri" w:eastAsia="Times New Roman" w:hAnsi="Calibri" w:cs="Calibri"/>
                <w:color w:val="000000"/>
              </w:rPr>
            </w:pPr>
          </w:p>
        </w:tc>
      </w:tr>
    </w:tbl>
    <w:p w:rsidR="009D178F" w:rsidRDefault="009D178F" w:rsidP="009D178F">
      <w:r>
        <w:br w:type="page"/>
      </w:r>
    </w:p>
    <w:p w:rsidR="00094E64" w:rsidRDefault="00094E64" w:rsidP="00094E64">
      <w:r>
        <w:rPr>
          <w:noProof/>
        </w:rPr>
        <w:lastRenderedPageBreak/>
        <w:pict>
          <v:shapetype id="_x0000_t202" coordsize="21600,21600" o:spt="202" path="m,l,21600r21600,l21600,xe">
            <v:stroke joinstyle="miter"/>
            <v:path gradientshapeok="t" o:connecttype="rect"/>
          </v:shapetype>
          <v:shape id="_x0000_s1030" type="#_x0000_t202" style="position:absolute;margin-left:86.25pt;margin-top:83.75pt;width:469.9pt;height:514.75pt;z-index:251660288;mso-position-horizontal-relative:page;mso-position-vertical-relative:page" wrapcoords="0 0" o:allowincell="f" filled="f" stroked="f">
            <v:textbox>
              <w:txbxContent>
                <w:tbl>
                  <w:tblPr>
                    <w:tblW w:w="0" w:type="nil"/>
                    <w:tblBorders>
                      <w:top w:val="nil"/>
                      <w:left w:val="nil"/>
                      <w:bottom w:val="nil"/>
                      <w:right w:val="nil"/>
                    </w:tblBorders>
                    <w:tblLayout w:type="fixed"/>
                    <w:tblLook w:val="0000"/>
                  </w:tblPr>
                  <w:tblGrid>
                    <w:gridCol w:w="2137"/>
                    <w:gridCol w:w="1044"/>
                    <w:gridCol w:w="909"/>
                    <w:gridCol w:w="1489"/>
                    <w:gridCol w:w="2578"/>
                    <w:gridCol w:w="1076"/>
                  </w:tblGrid>
                  <w:tr w:rsidR="00094E64" w:rsidTr="00E97CFE">
                    <w:tblPrEx>
                      <w:tblCellMar>
                        <w:top w:w="0" w:type="dxa"/>
                        <w:bottom w:w="0" w:type="dxa"/>
                      </w:tblCellMar>
                    </w:tblPrEx>
                    <w:trPr>
                      <w:divId w:val="65558"/>
                      <w:trHeight w:val="206"/>
                    </w:trPr>
                    <w:tc>
                      <w:tcPr>
                        <w:tcW w:w="2137" w:type="dxa"/>
                        <w:tcBorders>
                          <w:top w:val="single" w:sz="4" w:space="0" w:color="auto"/>
                          <w:left w:val="single" w:sz="4" w:space="0" w:color="auto"/>
                          <w:bottom w:val="single" w:sz="4" w:space="0" w:color="auto"/>
                          <w:right w:val="single" w:sz="4" w:space="0" w:color="auto"/>
                        </w:tcBorders>
                        <w:vAlign w:val="center"/>
                      </w:tcPr>
                      <w:p w:rsidR="00094E64" w:rsidRDefault="00094E64">
                        <w:pPr>
                          <w:pStyle w:val="Default"/>
                          <w:rPr>
                            <w:sz w:val="18"/>
                            <w:szCs w:val="18"/>
                          </w:rPr>
                        </w:pPr>
                        <w:r>
                          <w:rPr>
                            <w:b/>
                            <w:bCs/>
                            <w:sz w:val="18"/>
                            <w:szCs w:val="18"/>
                          </w:rPr>
                          <w:t xml:space="preserve">Attribute </w:t>
                        </w:r>
                      </w:p>
                    </w:tc>
                    <w:tc>
                      <w:tcPr>
                        <w:tcW w:w="1044" w:type="dxa"/>
                        <w:tcBorders>
                          <w:top w:val="single" w:sz="4" w:space="0" w:color="auto"/>
                          <w:left w:val="single" w:sz="4" w:space="0" w:color="auto"/>
                          <w:bottom w:val="single" w:sz="4" w:space="0" w:color="auto"/>
                          <w:right w:val="single" w:sz="4" w:space="0" w:color="auto"/>
                        </w:tcBorders>
                        <w:vAlign w:val="center"/>
                      </w:tcPr>
                      <w:p w:rsidR="00094E64" w:rsidRDefault="00094E64">
                        <w:pPr>
                          <w:pStyle w:val="Default"/>
                          <w:jc w:val="center"/>
                          <w:rPr>
                            <w:sz w:val="18"/>
                            <w:szCs w:val="18"/>
                          </w:rPr>
                        </w:pPr>
                        <w:r>
                          <w:rPr>
                            <w:b/>
                            <w:bCs/>
                            <w:sz w:val="18"/>
                            <w:szCs w:val="18"/>
                          </w:rPr>
                          <w:t xml:space="preserve">Identifier </w:t>
                        </w:r>
                      </w:p>
                    </w:tc>
                    <w:tc>
                      <w:tcPr>
                        <w:tcW w:w="909" w:type="dxa"/>
                        <w:tcBorders>
                          <w:top w:val="single" w:sz="4" w:space="0" w:color="auto"/>
                          <w:left w:val="single" w:sz="4" w:space="0" w:color="auto"/>
                          <w:bottom w:val="single" w:sz="4" w:space="0" w:color="auto"/>
                          <w:right w:val="single" w:sz="4" w:space="0" w:color="auto"/>
                        </w:tcBorders>
                        <w:vAlign w:val="center"/>
                      </w:tcPr>
                      <w:p w:rsidR="00094E64" w:rsidRDefault="00094E64">
                        <w:pPr>
                          <w:pStyle w:val="Default"/>
                          <w:jc w:val="center"/>
                          <w:rPr>
                            <w:sz w:val="18"/>
                            <w:szCs w:val="18"/>
                          </w:rPr>
                        </w:pPr>
                        <w:r>
                          <w:rPr>
                            <w:b/>
                            <w:bCs/>
                            <w:sz w:val="18"/>
                            <w:szCs w:val="18"/>
                          </w:rPr>
                          <w:t xml:space="preserve">Type </w:t>
                        </w:r>
                      </w:p>
                    </w:tc>
                    <w:tc>
                      <w:tcPr>
                        <w:tcW w:w="1489" w:type="dxa"/>
                        <w:tcBorders>
                          <w:top w:val="single" w:sz="4" w:space="0" w:color="auto"/>
                          <w:left w:val="single" w:sz="4" w:space="0" w:color="auto"/>
                          <w:bottom w:val="single" w:sz="4" w:space="0" w:color="auto"/>
                          <w:right w:val="single" w:sz="4" w:space="0" w:color="auto"/>
                        </w:tcBorders>
                        <w:vAlign w:val="center"/>
                      </w:tcPr>
                      <w:p w:rsidR="00094E64" w:rsidRDefault="00094E64">
                        <w:pPr>
                          <w:pStyle w:val="Default"/>
                          <w:rPr>
                            <w:sz w:val="18"/>
                            <w:szCs w:val="18"/>
                          </w:rPr>
                        </w:pPr>
                        <w:r>
                          <w:rPr>
                            <w:b/>
                            <w:bCs/>
                            <w:sz w:val="18"/>
                            <w:szCs w:val="18"/>
                          </w:rPr>
                          <w:t xml:space="preserve">Range </w:t>
                        </w:r>
                      </w:p>
                    </w:tc>
                    <w:tc>
                      <w:tcPr>
                        <w:tcW w:w="2578" w:type="dxa"/>
                        <w:tcBorders>
                          <w:top w:val="single" w:sz="4" w:space="0" w:color="auto"/>
                          <w:left w:val="single" w:sz="4" w:space="0" w:color="auto"/>
                          <w:bottom w:val="single" w:sz="4" w:space="0" w:color="auto"/>
                          <w:right w:val="single" w:sz="4" w:space="0" w:color="auto"/>
                        </w:tcBorders>
                        <w:vAlign w:val="center"/>
                      </w:tcPr>
                      <w:p w:rsidR="00094E64" w:rsidRDefault="00094E64">
                        <w:pPr>
                          <w:pStyle w:val="Default"/>
                          <w:rPr>
                            <w:sz w:val="18"/>
                            <w:szCs w:val="18"/>
                          </w:rPr>
                        </w:pPr>
                        <w:r>
                          <w:rPr>
                            <w:b/>
                            <w:bCs/>
                            <w:sz w:val="18"/>
                            <w:szCs w:val="18"/>
                          </w:rPr>
                          <w:t xml:space="preserve">Description </w:t>
                        </w:r>
                      </w:p>
                    </w:tc>
                    <w:tc>
                      <w:tcPr>
                        <w:tcW w:w="1076" w:type="dxa"/>
                        <w:tcBorders>
                          <w:top w:val="single" w:sz="4" w:space="0" w:color="auto"/>
                          <w:left w:val="single" w:sz="4" w:space="0" w:color="auto"/>
                          <w:bottom w:val="single" w:sz="4" w:space="0" w:color="auto"/>
                          <w:right w:val="single" w:sz="4" w:space="0" w:color="auto"/>
                        </w:tcBorders>
                        <w:vAlign w:val="center"/>
                      </w:tcPr>
                      <w:p w:rsidR="00094E64" w:rsidRDefault="00094E64">
                        <w:pPr>
                          <w:pStyle w:val="Default"/>
                          <w:rPr>
                            <w:sz w:val="18"/>
                            <w:szCs w:val="18"/>
                          </w:rPr>
                        </w:pPr>
                        <w:r>
                          <w:rPr>
                            <w:b/>
                            <w:bCs/>
                            <w:sz w:val="18"/>
                            <w:szCs w:val="18"/>
                          </w:rPr>
                          <w:t xml:space="preserve">Default </w:t>
                        </w:r>
                      </w:p>
                    </w:tc>
                  </w:tr>
                  <w:tr w:rsidR="00094E64" w:rsidTr="00E97CFE">
                    <w:tblPrEx>
                      <w:tblCellMar>
                        <w:top w:w="0" w:type="dxa"/>
                        <w:bottom w:w="0" w:type="dxa"/>
                      </w:tblCellMar>
                    </w:tblPrEx>
                    <w:trPr>
                      <w:divId w:val="65558"/>
                      <w:trHeight w:val="1573"/>
                    </w:trPr>
                    <w:tc>
                      <w:tcPr>
                        <w:tcW w:w="2137" w:type="dxa"/>
                        <w:tcBorders>
                          <w:top w:val="single" w:sz="4" w:space="0" w:color="auto"/>
                          <w:left w:val="single" w:sz="4" w:space="0" w:color="auto"/>
                          <w:bottom w:val="single" w:sz="4" w:space="0" w:color="auto"/>
                          <w:right w:val="single" w:sz="4" w:space="0" w:color="auto"/>
                        </w:tcBorders>
                      </w:tcPr>
                      <w:p w:rsidR="00094E64" w:rsidRDefault="00094E64">
                        <w:pPr>
                          <w:pStyle w:val="Default"/>
                          <w:rPr>
                            <w:rFonts w:ascii="Wingdings" w:hAnsi="Wingdings" w:cs="Wingdings"/>
                            <w:sz w:val="14"/>
                            <w:szCs w:val="14"/>
                          </w:rPr>
                        </w:pPr>
                        <w:proofErr w:type="spellStart"/>
                        <w:r>
                          <w:rPr>
                            <w:i/>
                            <w:iCs/>
                            <w:sz w:val="18"/>
                            <w:szCs w:val="18"/>
                          </w:rPr>
                          <w:t>macBeaconTxTime</w:t>
                        </w:r>
                        <w:proofErr w:type="spellEnd"/>
                        <w:r>
                          <w:rPr>
                            <w:sz w:val="14"/>
                            <w:szCs w:val="14"/>
                          </w:rPr>
                          <w:t>†</w:t>
                        </w:r>
                        <w:r>
                          <w:rPr>
                            <w:rFonts w:ascii="Wingdings" w:hAnsi="Wingdings" w:cs="Wingdings"/>
                            <w:sz w:val="14"/>
                            <w:szCs w:val="14"/>
                          </w:rPr>
                          <w:t></w:t>
                        </w:r>
                        <w:r>
                          <w:rPr>
                            <w:rFonts w:ascii="Wingdings" w:hAnsi="Wingdings" w:cs="Wingdings"/>
                            <w:sz w:val="14"/>
                            <w:szCs w:val="14"/>
                          </w:rPr>
                          <w:t></w:t>
                        </w:r>
                      </w:p>
                    </w:tc>
                    <w:tc>
                      <w:tcPr>
                        <w:tcW w:w="1044"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0x48 </w:t>
                        </w:r>
                      </w:p>
                    </w:tc>
                    <w:tc>
                      <w:tcPr>
                        <w:tcW w:w="909"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Integer </w:t>
                        </w:r>
                      </w:p>
                    </w:tc>
                    <w:tc>
                      <w:tcPr>
                        <w:tcW w:w="1489"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0x000000– 0xffffff </w:t>
                        </w:r>
                      </w:p>
                    </w:tc>
                    <w:tc>
                      <w:tcPr>
                        <w:tcW w:w="2578"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The time that the device transmitted its last beacon frame, in symbol periods. The measurement shall be taken at the same symbol boundary within every transmitted beacon frame, the location of which is implementation specific. This is a 24-bit value, and the precision of this value shall be a minimum of 20 bits, with the lowest four bits being the least significant. </w:t>
                        </w:r>
                      </w:p>
                    </w:tc>
                    <w:tc>
                      <w:tcPr>
                        <w:tcW w:w="1076"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7"/>
                            <w:szCs w:val="17"/>
                          </w:rPr>
                        </w:pPr>
                        <w:r>
                          <w:rPr>
                            <w:sz w:val="17"/>
                            <w:szCs w:val="17"/>
                          </w:rPr>
                          <w:t xml:space="preserve">0x000000 </w:t>
                        </w:r>
                      </w:p>
                    </w:tc>
                  </w:tr>
                  <w:tr w:rsidR="00094E64" w:rsidTr="00E97CFE">
                    <w:tblPrEx>
                      <w:tblCellMar>
                        <w:top w:w="0" w:type="dxa"/>
                        <w:bottom w:w="0" w:type="dxa"/>
                      </w:tblCellMar>
                    </w:tblPrEx>
                    <w:trPr>
                      <w:divId w:val="65558"/>
                      <w:trHeight w:val="450"/>
                    </w:trPr>
                    <w:tc>
                      <w:tcPr>
                        <w:tcW w:w="2137" w:type="dxa"/>
                        <w:tcBorders>
                          <w:top w:val="single" w:sz="4" w:space="0" w:color="auto"/>
                          <w:left w:val="single" w:sz="4" w:space="0" w:color="auto"/>
                          <w:bottom w:val="single" w:sz="4" w:space="0" w:color="auto"/>
                          <w:right w:val="single" w:sz="4" w:space="0" w:color="auto"/>
                        </w:tcBorders>
                      </w:tcPr>
                      <w:p w:rsidR="00094E64" w:rsidRDefault="00094E64">
                        <w:pPr>
                          <w:pStyle w:val="Default"/>
                          <w:rPr>
                            <w:rFonts w:ascii="Wingdings" w:hAnsi="Wingdings" w:cs="Wingdings"/>
                            <w:sz w:val="14"/>
                            <w:szCs w:val="14"/>
                          </w:rPr>
                        </w:pPr>
                        <w:proofErr w:type="spellStart"/>
                        <w:r>
                          <w:rPr>
                            <w:i/>
                            <w:iCs/>
                            <w:sz w:val="18"/>
                            <w:szCs w:val="18"/>
                          </w:rPr>
                          <w:t>macBSN</w:t>
                        </w:r>
                        <w:proofErr w:type="spellEnd"/>
                        <w:r>
                          <w:rPr>
                            <w:rFonts w:ascii="Wingdings" w:hAnsi="Wingdings" w:cs="Wingdings"/>
                            <w:sz w:val="14"/>
                            <w:szCs w:val="14"/>
                          </w:rPr>
                          <w:t></w:t>
                        </w:r>
                        <w:r>
                          <w:rPr>
                            <w:rFonts w:ascii="Wingdings" w:hAnsi="Wingdings" w:cs="Wingdings"/>
                            <w:sz w:val="14"/>
                            <w:szCs w:val="14"/>
                          </w:rPr>
                          <w:t></w:t>
                        </w:r>
                      </w:p>
                    </w:tc>
                    <w:tc>
                      <w:tcPr>
                        <w:tcW w:w="1044"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0x49 </w:t>
                        </w:r>
                      </w:p>
                    </w:tc>
                    <w:tc>
                      <w:tcPr>
                        <w:tcW w:w="909"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Integer </w:t>
                        </w:r>
                      </w:p>
                    </w:tc>
                    <w:tc>
                      <w:tcPr>
                        <w:tcW w:w="1489"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0x00–0xff </w:t>
                        </w:r>
                      </w:p>
                    </w:tc>
                    <w:tc>
                      <w:tcPr>
                        <w:tcW w:w="2578"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The sequence number added to the transmitted beacon frame. </w:t>
                        </w:r>
                      </w:p>
                    </w:tc>
                    <w:tc>
                      <w:tcPr>
                        <w:tcW w:w="1076"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Random value from within the range </w:t>
                        </w:r>
                      </w:p>
                    </w:tc>
                  </w:tr>
                  <w:tr w:rsidR="00094E64" w:rsidTr="00E97CFE">
                    <w:tblPrEx>
                      <w:tblCellMar>
                        <w:top w:w="0" w:type="dxa"/>
                        <w:bottom w:w="0" w:type="dxa"/>
                      </w:tblCellMar>
                    </w:tblPrEx>
                    <w:trPr>
                      <w:divId w:val="65558"/>
                      <w:trHeight w:val="380"/>
                    </w:trPr>
                    <w:tc>
                      <w:tcPr>
                        <w:tcW w:w="2137"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proofErr w:type="spellStart"/>
                        <w:r>
                          <w:rPr>
                            <w:i/>
                            <w:iCs/>
                            <w:sz w:val="18"/>
                            <w:szCs w:val="18"/>
                          </w:rPr>
                          <w:t>macCoordExtended</w:t>
                        </w:r>
                        <w:proofErr w:type="spellEnd"/>
                        <w:r>
                          <w:rPr>
                            <w:i/>
                            <w:iCs/>
                            <w:sz w:val="18"/>
                            <w:szCs w:val="18"/>
                          </w:rPr>
                          <w:t xml:space="preserve">-Address </w:t>
                        </w:r>
                      </w:p>
                    </w:tc>
                    <w:tc>
                      <w:tcPr>
                        <w:tcW w:w="1044"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0x4a </w:t>
                        </w:r>
                      </w:p>
                    </w:tc>
                    <w:tc>
                      <w:tcPr>
                        <w:tcW w:w="909"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IEEE address </w:t>
                        </w:r>
                      </w:p>
                    </w:tc>
                    <w:tc>
                      <w:tcPr>
                        <w:tcW w:w="1489" w:type="dxa"/>
                        <w:tcBorders>
                          <w:top w:val="single" w:sz="4" w:space="0" w:color="auto"/>
                          <w:left w:val="single" w:sz="4" w:space="0" w:color="auto"/>
                          <w:bottom w:val="single" w:sz="4" w:space="0" w:color="auto"/>
                          <w:right w:val="single" w:sz="4" w:space="0" w:color="auto"/>
                        </w:tcBorders>
                        <w:vAlign w:val="center"/>
                      </w:tcPr>
                      <w:p w:rsidR="00094E64" w:rsidRDefault="00094E64">
                        <w:pPr>
                          <w:pStyle w:val="Default"/>
                          <w:rPr>
                            <w:sz w:val="18"/>
                            <w:szCs w:val="18"/>
                          </w:rPr>
                        </w:pPr>
                        <w:r>
                          <w:rPr>
                            <w:sz w:val="18"/>
                            <w:szCs w:val="18"/>
                          </w:rPr>
                          <w:t xml:space="preserve">An extended 64-bit IEEE address </w:t>
                        </w:r>
                      </w:p>
                    </w:tc>
                    <w:tc>
                      <w:tcPr>
                        <w:tcW w:w="2578" w:type="dxa"/>
                        <w:tcBorders>
                          <w:top w:val="single" w:sz="4" w:space="0" w:color="auto"/>
                          <w:left w:val="single" w:sz="4" w:space="0" w:color="auto"/>
                          <w:bottom w:val="single" w:sz="4" w:space="0" w:color="auto"/>
                          <w:right w:val="single" w:sz="4" w:space="0" w:color="auto"/>
                        </w:tcBorders>
                        <w:vAlign w:val="center"/>
                      </w:tcPr>
                      <w:p w:rsidR="00094E64" w:rsidRDefault="00094E64">
                        <w:pPr>
                          <w:pStyle w:val="Default"/>
                          <w:rPr>
                            <w:sz w:val="18"/>
                            <w:szCs w:val="18"/>
                          </w:rPr>
                        </w:pPr>
                        <w:r>
                          <w:rPr>
                            <w:sz w:val="18"/>
                            <w:szCs w:val="18"/>
                          </w:rPr>
                          <w:t xml:space="preserve">The 64-bit address of the coordinator through which the device is associated. </w:t>
                        </w:r>
                      </w:p>
                    </w:tc>
                    <w:tc>
                      <w:tcPr>
                        <w:tcW w:w="1076"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 </w:t>
                        </w:r>
                      </w:p>
                    </w:tc>
                  </w:tr>
                  <w:tr w:rsidR="00094E64" w:rsidTr="00E97CFE">
                    <w:tblPrEx>
                      <w:tblCellMar>
                        <w:top w:w="0" w:type="dxa"/>
                        <w:bottom w:w="0" w:type="dxa"/>
                      </w:tblCellMar>
                    </w:tblPrEx>
                    <w:trPr>
                      <w:divId w:val="65558"/>
                      <w:trHeight w:val="978"/>
                    </w:trPr>
                    <w:tc>
                      <w:tcPr>
                        <w:tcW w:w="2137"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proofErr w:type="spellStart"/>
                        <w:r>
                          <w:rPr>
                            <w:i/>
                            <w:iCs/>
                            <w:sz w:val="18"/>
                            <w:szCs w:val="18"/>
                          </w:rPr>
                          <w:t>macCoordShort</w:t>
                        </w:r>
                        <w:proofErr w:type="spellEnd"/>
                        <w:r>
                          <w:rPr>
                            <w:i/>
                            <w:iCs/>
                            <w:sz w:val="18"/>
                            <w:szCs w:val="18"/>
                          </w:rPr>
                          <w:t xml:space="preserve">-Address </w:t>
                        </w:r>
                      </w:p>
                    </w:tc>
                    <w:tc>
                      <w:tcPr>
                        <w:tcW w:w="1044"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0x4b </w:t>
                        </w:r>
                      </w:p>
                    </w:tc>
                    <w:tc>
                      <w:tcPr>
                        <w:tcW w:w="909"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Integer </w:t>
                        </w:r>
                      </w:p>
                    </w:tc>
                    <w:tc>
                      <w:tcPr>
                        <w:tcW w:w="1489"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0x0000–0xffff </w:t>
                        </w:r>
                      </w:p>
                    </w:tc>
                    <w:tc>
                      <w:tcPr>
                        <w:tcW w:w="2578"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The 16-bit short address assigned to the coordinator through which the device is associated. A value of 0xfffe indicates that the coordinator is only using its 64-bit extended address. A value of 0xffff indicates that this value is unknown. </w:t>
                        </w:r>
                      </w:p>
                    </w:tc>
                    <w:tc>
                      <w:tcPr>
                        <w:tcW w:w="1076"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0xffff </w:t>
                        </w:r>
                      </w:p>
                    </w:tc>
                  </w:tr>
                  <w:tr w:rsidR="00094E64" w:rsidTr="00E97CFE">
                    <w:tblPrEx>
                      <w:tblCellMar>
                        <w:top w:w="0" w:type="dxa"/>
                        <w:bottom w:w="0" w:type="dxa"/>
                      </w:tblCellMar>
                    </w:tblPrEx>
                    <w:trPr>
                      <w:divId w:val="65558"/>
                      <w:trHeight w:val="450"/>
                    </w:trPr>
                    <w:tc>
                      <w:tcPr>
                        <w:tcW w:w="2137"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proofErr w:type="spellStart"/>
                        <w:r>
                          <w:rPr>
                            <w:i/>
                            <w:iCs/>
                            <w:sz w:val="18"/>
                            <w:szCs w:val="18"/>
                          </w:rPr>
                          <w:t>macDSN</w:t>
                        </w:r>
                        <w:proofErr w:type="spellEnd"/>
                        <w:r>
                          <w:rPr>
                            <w:i/>
                            <w:iCs/>
                            <w:sz w:val="18"/>
                            <w:szCs w:val="18"/>
                          </w:rPr>
                          <w:t xml:space="preserve"> </w:t>
                        </w:r>
                      </w:p>
                    </w:tc>
                    <w:tc>
                      <w:tcPr>
                        <w:tcW w:w="1044"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0x4c </w:t>
                        </w:r>
                      </w:p>
                    </w:tc>
                    <w:tc>
                      <w:tcPr>
                        <w:tcW w:w="909"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Integer </w:t>
                        </w:r>
                      </w:p>
                    </w:tc>
                    <w:tc>
                      <w:tcPr>
                        <w:tcW w:w="1489"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0x00–0xff </w:t>
                        </w:r>
                      </w:p>
                    </w:tc>
                    <w:tc>
                      <w:tcPr>
                        <w:tcW w:w="2578"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The sequence number added to the transmitted data or MAC command frame. </w:t>
                        </w:r>
                      </w:p>
                    </w:tc>
                    <w:tc>
                      <w:tcPr>
                        <w:tcW w:w="1076"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Random value from within the range </w:t>
                        </w:r>
                      </w:p>
                    </w:tc>
                  </w:tr>
                  <w:tr w:rsidR="00094E64" w:rsidTr="00E97CFE">
                    <w:tblPrEx>
                      <w:tblCellMar>
                        <w:top w:w="0" w:type="dxa"/>
                        <w:bottom w:w="0" w:type="dxa"/>
                      </w:tblCellMar>
                    </w:tblPrEx>
                    <w:trPr>
                      <w:divId w:val="65558"/>
                      <w:trHeight w:val="380"/>
                    </w:trPr>
                    <w:tc>
                      <w:tcPr>
                        <w:tcW w:w="2137"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proofErr w:type="spellStart"/>
                        <w:r>
                          <w:rPr>
                            <w:i/>
                            <w:iCs/>
                            <w:sz w:val="18"/>
                            <w:szCs w:val="18"/>
                          </w:rPr>
                          <w:t>macGTSPermit</w:t>
                        </w:r>
                        <w:proofErr w:type="spellEnd"/>
                        <w:r>
                          <w:rPr>
                            <w:sz w:val="18"/>
                            <w:szCs w:val="18"/>
                          </w:rPr>
                          <w:t xml:space="preserve">* </w:t>
                        </w:r>
                      </w:p>
                    </w:tc>
                    <w:tc>
                      <w:tcPr>
                        <w:tcW w:w="1044"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0x4d </w:t>
                        </w:r>
                      </w:p>
                    </w:tc>
                    <w:tc>
                      <w:tcPr>
                        <w:tcW w:w="909"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Boolean </w:t>
                        </w:r>
                      </w:p>
                    </w:tc>
                    <w:tc>
                      <w:tcPr>
                        <w:tcW w:w="1489"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TRUE or FALSE </w:t>
                        </w:r>
                      </w:p>
                    </w:tc>
                    <w:tc>
                      <w:tcPr>
                        <w:tcW w:w="2578" w:type="dxa"/>
                        <w:tcBorders>
                          <w:top w:val="single" w:sz="4" w:space="0" w:color="auto"/>
                          <w:left w:val="single" w:sz="4" w:space="0" w:color="auto"/>
                          <w:bottom w:val="single" w:sz="4" w:space="0" w:color="auto"/>
                          <w:right w:val="single" w:sz="4" w:space="0" w:color="auto"/>
                        </w:tcBorders>
                        <w:vAlign w:val="center"/>
                      </w:tcPr>
                      <w:p w:rsidR="00094E64" w:rsidRDefault="00094E64">
                        <w:pPr>
                          <w:pStyle w:val="Default"/>
                          <w:rPr>
                            <w:sz w:val="18"/>
                            <w:szCs w:val="18"/>
                          </w:rPr>
                        </w:pPr>
                        <w:r>
                          <w:rPr>
                            <w:sz w:val="18"/>
                            <w:szCs w:val="18"/>
                          </w:rPr>
                          <w:t xml:space="preserve">TRUE if the PAN coordinator is to accept GTS requests. FALSE otherwise. </w:t>
                        </w:r>
                      </w:p>
                    </w:tc>
                    <w:tc>
                      <w:tcPr>
                        <w:tcW w:w="1076"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TRUE </w:t>
                        </w:r>
                      </w:p>
                    </w:tc>
                  </w:tr>
                  <w:tr w:rsidR="00094E64" w:rsidTr="00E97CFE">
                    <w:tblPrEx>
                      <w:tblCellMar>
                        <w:top w:w="0" w:type="dxa"/>
                        <w:bottom w:w="0" w:type="dxa"/>
                      </w:tblCellMar>
                    </w:tblPrEx>
                    <w:trPr>
                      <w:divId w:val="65558"/>
                      <w:trHeight w:val="680"/>
                    </w:trPr>
                    <w:tc>
                      <w:tcPr>
                        <w:tcW w:w="2137"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proofErr w:type="spellStart"/>
                        <w:r>
                          <w:rPr>
                            <w:i/>
                            <w:iCs/>
                            <w:sz w:val="18"/>
                            <w:szCs w:val="18"/>
                          </w:rPr>
                          <w:t>macMaxBE</w:t>
                        </w:r>
                        <w:proofErr w:type="spellEnd"/>
                        <w:r>
                          <w:rPr>
                            <w:i/>
                            <w:iCs/>
                            <w:sz w:val="18"/>
                            <w:szCs w:val="18"/>
                          </w:rPr>
                          <w:t xml:space="preserve"> </w:t>
                        </w:r>
                      </w:p>
                    </w:tc>
                    <w:tc>
                      <w:tcPr>
                        <w:tcW w:w="1044"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0x57 </w:t>
                        </w:r>
                      </w:p>
                    </w:tc>
                    <w:tc>
                      <w:tcPr>
                        <w:tcW w:w="909"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Integer </w:t>
                        </w:r>
                      </w:p>
                    </w:tc>
                    <w:tc>
                      <w:tcPr>
                        <w:tcW w:w="1489"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3–8 </w:t>
                        </w:r>
                      </w:p>
                    </w:tc>
                    <w:tc>
                      <w:tcPr>
                        <w:tcW w:w="2578"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The maximum value of the </w:t>
                        </w:r>
                        <w:proofErr w:type="spellStart"/>
                        <w:r>
                          <w:rPr>
                            <w:sz w:val="18"/>
                            <w:szCs w:val="18"/>
                          </w:rPr>
                          <w:t>backoff</w:t>
                        </w:r>
                        <w:proofErr w:type="spellEnd"/>
                        <w:r>
                          <w:rPr>
                            <w:sz w:val="18"/>
                            <w:szCs w:val="18"/>
                          </w:rPr>
                          <w:t xml:space="preserve"> </w:t>
                        </w:r>
                        <w:proofErr w:type="gramStart"/>
                        <w:r>
                          <w:rPr>
                            <w:sz w:val="18"/>
                            <w:szCs w:val="18"/>
                          </w:rPr>
                          <w:t>exponent,</w:t>
                        </w:r>
                        <w:proofErr w:type="gramEnd"/>
                        <w:r>
                          <w:rPr>
                            <w:sz w:val="18"/>
                            <w:szCs w:val="18"/>
                          </w:rPr>
                          <w:t xml:space="preserve"> BE, in the CSMA-CA algorithm. See 7.5.1.4 for a detailed explanation of the </w:t>
                        </w:r>
                        <w:proofErr w:type="spellStart"/>
                        <w:r>
                          <w:rPr>
                            <w:sz w:val="18"/>
                            <w:szCs w:val="18"/>
                          </w:rPr>
                          <w:t>backoff</w:t>
                        </w:r>
                        <w:proofErr w:type="spellEnd"/>
                        <w:r>
                          <w:rPr>
                            <w:sz w:val="18"/>
                            <w:szCs w:val="18"/>
                          </w:rPr>
                          <w:t xml:space="preserve"> exponent</w:t>
                        </w:r>
                        <w:r>
                          <w:rPr>
                            <w:i/>
                            <w:iCs/>
                            <w:sz w:val="18"/>
                            <w:szCs w:val="18"/>
                          </w:rPr>
                          <w:t xml:space="preserve">. </w:t>
                        </w:r>
                      </w:p>
                    </w:tc>
                    <w:tc>
                      <w:tcPr>
                        <w:tcW w:w="1076"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5 </w:t>
                        </w:r>
                      </w:p>
                    </w:tc>
                  </w:tr>
                  <w:tr w:rsidR="00094E64" w:rsidTr="00E97CFE">
                    <w:tblPrEx>
                      <w:tblCellMar>
                        <w:top w:w="0" w:type="dxa"/>
                        <w:bottom w:w="0" w:type="dxa"/>
                      </w:tblCellMar>
                    </w:tblPrEx>
                    <w:trPr>
                      <w:divId w:val="65558"/>
                      <w:trHeight w:val="580"/>
                    </w:trPr>
                    <w:tc>
                      <w:tcPr>
                        <w:tcW w:w="2137"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proofErr w:type="spellStart"/>
                        <w:r>
                          <w:rPr>
                            <w:i/>
                            <w:iCs/>
                            <w:sz w:val="18"/>
                            <w:szCs w:val="18"/>
                          </w:rPr>
                          <w:t>macMaxCSMABackoffs</w:t>
                        </w:r>
                        <w:proofErr w:type="spellEnd"/>
                        <w:r>
                          <w:rPr>
                            <w:i/>
                            <w:iCs/>
                            <w:sz w:val="18"/>
                            <w:szCs w:val="18"/>
                          </w:rPr>
                          <w:t xml:space="preserve"> </w:t>
                        </w:r>
                      </w:p>
                    </w:tc>
                    <w:tc>
                      <w:tcPr>
                        <w:tcW w:w="1044"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0x4e </w:t>
                        </w:r>
                      </w:p>
                    </w:tc>
                    <w:tc>
                      <w:tcPr>
                        <w:tcW w:w="909" w:type="dxa"/>
                        <w:tcBorders>
                          <w:top w:val="single" w:sz="4" w:space="0" w:color="auto"/>
                          <w:left w:val="single" w:sz="4" w:space="0" w:color="auto"/>
                          <w:bottom w:val="single" w:sz="4" w:space="0" w:color="auto"/>
                          <w:right w:val="single" w:sz="4" w:space="0" w:color="auto"/>
                        </w:tcBorders>
                      </w:tcPr>
                      <w:p w:rsidR="00094E64" w:rsidRDefault="00094E64">
                        <w:pPr>
                          <w:pStyle w:val="Default"/>
                          <w:jc w:val="center"/>
                          <w:rPr>
                            <w:sz w:val="18"/>
                            <w:szCs w:val="18"/>
                          </w:rPr>
                        </w:pPr>
                        <w:r>
                          <w:rPr>
                            <w:sz w:val="18"/>
                            <w:szCs w:val="18"/>
                          </w:rPr>
                          <w:t xml:space="preserve">Integer </w:t>
                        </w:r>
                      </w:p>
                    </w:tc>
                    <w:tc>
                      <w:tcPr>
                        <w:tcW w:w="1489"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0–5 </w:t>
                        </w:r>
                      </w:p>
                    </w:tc>
                    <w:tc>
                      <w:tcPr>
                        <w:tcW w:w="2578"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The maximum number of </w:t>
                        </w:r>
                        <w:proofErr w:type="spellStart"/>
                        <w:r>
                          <w:rPr>
                            <w:sz w:val="18"/>
                            <w:szCs w:val="18"/>
                          </w:rPr>
                          <w:t>backoffs</w:t>
                        </w:r>
                        <w:proofErr w:type="spellEnd"/>
                        <w:r>
                          <w:rPr>
                            <w:sz w:val="18"/>
                            <w:szCs w:val="18"/>
                          </w:rPr>
                          <w:t xml:space="preserve"> the CSMA-CA algorithm will attempt before declaring a channel access failure. </w:t>
                        </w:r>
                      </w:p>
                    </w:tc>
                    <w:tc>
                      <w:tcPr>
                        <w:tcW w:w="1076" w:type="dxa"/>
                        <w:tcBorders>
                          <w:top w:val="single" w:sz="4" w:space="0" w:color="auto"/>
                          <w:left w:val="single" w:sz="4" w:space="0" w:color="auto"/>
                          <w:bottom w:val="single" w:sz="4" w:space="0" w:color="auto"/>
                          <w:right w:val="single" w:sz="4" w:space="0" w:color="auto"/>
                        </w:tcBorders>
                      </w:tcPr>
                      <w:p w:rsidR="00094E64" w:rsidRDefault="00094E64">
                        <w:pPr>
                          <w:pStyle w:val="Default"/>
                          <w:rPr>
                            <w:sz w:val="18"/>
                            <w:szCs w:val="18"/>
                          </w:rPr>
                        </w:pPr>
                        <w:r>
                          <w:rPr>
                            <w:sz w:val="18"/>
                            <w:szCs w:val="18"/>
                          </w:rPr>
                          <w:t xml:space="preserve">4 </w:t>
                        </w:r>
                      </w:p>
                    </w:tc>
                  </w:tr>
                </w:tbl>
              </w:txbxContent>
            </v:textbox>
            <w10:wrap type="through" anchorx="page" anchory="page"/>
          </v:shape>
        </w:pict>
      </w:r>
    </w:p>
    <w:sectPr w:rsidR="00094E64" w:rsidSect="00E52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597A"/>
    <w:rsid w:val="00094E64"/>
    <w:rsid w:val="0012597A"/>
    <w:rsid w:val="005C6727"/>
    <w:rsid w:val="007A70D3"/>
    <w:rsid w:val="00896778"/>
    <w:rsid w:val="008E05A8"/>
    <w:rsid w:val="009D178F"/>
    <w:rsid w:val="00B24D8A"/>
    <w:rsid w:val="00DE10A2"/>
    <w:rsid w:val="00E523E2"/>
    <w:rsid w:val="00E87914"/>
    <w:rsid w:val="00E97CFE"/>
    <w:rsid w:val="00FF7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3E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97A"/>
    <w:rPr>
      <w:rFonts w:ascii="Tahoma" w:hAnsi="Tahoma" w:cs="Tahoma"/>
      <w:sz w:val="16"/>
      <w:szCs w:val="16"/>
    </w:rPr>
  </w:style>
  <w:style w:type="paragraph" w:customStyle="1" w:styleId="Default">
    <w:name w:val="Default"/>
    <w:rsid w:val="0089677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967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45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yozturk</dc:creator>
  <cp:keywords/>
  <dc:description/>
  <cp:lastModifiedBy>yozturk</cp:lastModifiedBy>
  <cp:revision>5</cp:revision>
  <dcterms:created xsi:type="dcterms:W3CDTF">2010-08-03T00:48:00Z</dcterms:created>
  <dcterms:modified xsi:type="dcterms:W3CDTF">2010-08-11T05:56:00Z</dcterms:modified>
</cp:coreProperties>
</file>