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Tipología y Ciclo de Vida de los Datos</w:t>
      </w:r>
    </w:p>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Máster de Ciencia de Datos de la UOC</w:t>
      </w:r>
    </w:p>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Práctica 1</w:t>
      </w:r>
    </w:p>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r>
    </w:p>
    <w:p>
      <w:pPr>
        <w:pStyle w:val="Normal"/>
        <w:shd w:val="clear" w:color="auto" w:fill="FFFFFF"/>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Enrique Javier Andrés Orera</w:t>
      </w:r>
    </w:p>
    <w:p>
      <w:pPr>
        <w:pStyle w:val="Normal"/>
        <w:shd w:val="clear" w:color="auto" w:fill="FFFFFF"/>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Sergio Fernández Bertolín</w:t>
      </w:r>
    </w:p>
    <w:p>
      <w:pPr>
        <w:pStyle w:val="Normal"/>
        <w:shd w:val="clear" w:color="auto" w:fill="FFFFFF"/>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numPr>
          <w:ilvl w:val="0"/>
          <w:numId w:val="1"/>
        </w:numPr>
        <w:shd w:val="clear" w:color="auto" w:fill="FFFFFF"/>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Contexto. Explicar en qué contexto se ha recolectado la información. Explique por qué el sitio web elegido proporciona dicha información.</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La finalidad del proyecto es educativa y de investigación, no comercial. </w:t>
      </w:r>
      <w:r>
        <w:rPr>
          <w:rFonts w:eastAsia="Times New Roman" w:cs="Segoe UI" w:ascii="Segoe UI" w:hAnsi="Segoe UI"/>
          <w:b/>
          <w:bCs/>
          <w:color w:val="24292E"/>
          <w:sz w:val="24"/>
          <w:szCs w:val="24"/>
          <w:lang w:eastAsia="es-ES"/>
        </w:rPr>
        <w:t>Idealista</w:t>
      </w:r>
      <w:r>
        <w:rPr>
          <w:rFonts w:eastAsia="Times New Roman" w:cs="Segoe UI" w:ascii="Segoe UI" w:hAnsi="Segoe UI"/>
          <w:color w:val="24292E"/>
          <w:sz w:val="24"/>
          <w:szCs w:val="24"/>
          <w:lang w:eastAsia="es-ES"/>
        </w:rPr>
        <w:t>, uno de los dos sitios web "raspados", es uno de los portales inmobiliarios de referencia en el contexto estatal y probablemente uno de los mayores portales de compra venta en España. Esta web pone al alcance del usuario multitud de información inmobiliaria para hacer más fácil al usuario su experiencia en la compraventa de inmuebles.</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También se extraen datos del portal de datos financiero </w:t>
      </w:r>
      <w:r>
        <w:rPr>
          <w:rFonts w:eastAsia="Times New Roman" w:cs="Segoe UI" w:ascii="Segoe UI" w:hAnsi="Segoe UI"/>
          <w:b/>
          <w:bCs/>
          <w:color w:val="24292E"/>
          <w:sz w:val="24"/>
          <w:szCs w:val="24"/>
          <w:lang w:eastAsia="es-ES"/>
        </w:rPr>
        <w:t>Infobolsa</w:t>
      </w:r>
      <w:r>
        <w:rPr>
          <w:rFonts w:eastAsia="Times New Roman" w:cs="Segoe UI" w:ascii="Segoe UI" w:hAnsi="Segoe UI"/>
          <w:color w:val="24292E"/>
          <w:sz w:val="24"/>
          <w:szCs w:val="24"/>
          <w:lang w:eastAsia="es-ES"/>
        </w:rPr>
        <w:t>, que aporta datos oficiales de  BME, Bolsas y Mercados Españoles. Seleccionamos este portal para descargar los datos financieros del IBEX35 porque la estructura de nombre de URL y su estructura HTML nos permite hacer peticiones efectivas anuales de datos de este índice.</w:t>
      </w:r>
    </w:p>
    <w:p>
      <w:pPr>
        <w:pStyle w:val="Normal"/>
        <w:numPr>
          <w:ilvl w:val="0"/>
          <w:numId w:val="2"/>
        </w:numPr>
        <w:shd w:val="clear" w:color="auto" w:fill="FFFFFF"/>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Definir un título para el dataset. Elegir un título que sea descriptivo.</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Llamaremos al dataset "Euribor, precios de la vivienda y cotizaciones Ibex35"</w:t>
      </w:r>
    </w:p>
    <w:p>
      <w:pPr>
        <w:pStyle w:val="Normal"/>
        <w:spacing w:lineRule="auto" w:line="240" w:before="0" w:after="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r>
        <w:br w:type="page"/>
      </w:r>
    </w:p>
    <w:p>
      <w:pPr>
        <w:pStyle w:val="Normal"/>
        <w:shd w:val="clear" w:color="auto" w:fill="FFFFFF"/>
        <w:spacing w:lineRule="auto" w:line="240" w:before="280" w:after="280"/>
        <w:ind w:left="720" w:hanging="0"/>
        <w:jc w:val="both"/>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numPr>
          <w:ilvl w:val="0"/>
          <w:numId w:val="3"/>
        </w:numPr>
        <w:shd w:val="clear" w:color="auto" w:fill="FFFFFF"/>
        <w:spacing w:lineRule="auto" w:line="240" w:before="280" w:after="280"/>
        <w:jc w:val="both"/>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Descripción del dataset. Desarrollar una descripción breve del conjunto de datos que se ha extraído (es necesario que esta descripción tenga sentido con el título elegido).</w:t>
      </w:r>
    </w:p>
    <w:p>
      <w:pPr>
        <w:pStyle w:val="Normal"/>
        <w:shd w:val="clear" w:color="auto" w:fill="FFFFFF"/>
        <w:spacing w:lineRule="auto" w:line="240" w:before="0" w:after="240"/>
        <w:jc w:val="both"/>
        <w:rPr/>
      </w:pPr>
      <w:bookmarkStart w:id="0" w:name="__DdeLink__2191_3127887186"/>
      <w:r>
        <w:rPr>
          <w:rFonts w:eastAsia="Times New Roman" w:cs="Segoe UI" w:ascii="Segoe UI" w:hAnsi="Segoe UI"/>
          <w:color w:val="24292E"/>
          <w:sz w:val="24"/>
          <w:szCs w:val="24"/>
          <w:lang w:eastAsia="es-ES"/>
        </w:rPr>
        <w:t>Creación de un dataset con los valores diarios del índice del Euribor y   los precios de venta medios de la vivienda/m</w:t>
      </w:r>
      <w:r>
        <w:rPr>
          <w:rFonts w:eastAsia="Times New Roman" w:cs="Segoe UI" w:ascii="Segoe UI" w:hAnsi="Segoe UI"/>
          <w:color w:val="24292E"/>
          <w:sz w:val="24"/>
          <w:szCs w:val="24"/>
          <w:vertAlign w:val="superscript"/>
          <w:lang w:eastAsia="es-ES"/>
        </w:rPr>
        <w:t>2</w:t>
      </w:r>
      <w:r>
        <w:rPr>
          <w:rFonts w:eastAsia="Times New Roman" w:cs="Segoe UI" w:ascii="Segoe UI" w:hAnsi="Segoe UI"/>
          <w:color w:val="24292E"/>
          <w:sz w:val="24"/>
          <w:szCs w:val="24"/>
          <w:lang w:eastAsia="es-ES"/>
        </w:rPr>
        <w:t xml:space="preserve"> desde 2006 hasta el día actual. Adjuntamos también las cotizaciones al cierre diario de mercado del Ibex35 desde 2016, con fines educativos</w:t>
      </w:r>
      <w:bookmarkEnd w:id="0"/>
    </w:p>
    <w:p>
      <w:pPr>
        <w:pStyle w:val="Normal"/>
        <w:shd w:val="clear" w:color="auto" w:fill="FFFFFF"/>
        <w:spacing w:lineRule="auto" w:line="240" w:before="0" w:after="240"/>
        <w:jc w:val="both"/>
        <w:rPr/>
      </w:pPr>
      <w:r>
        <w:rPr>
          <w:rFonts w:eastAsia="Times New Roman" w:cs="Segoe UI" w:ascii="Segoe UI" w:hAnsi="Segoe UI"/>
          <w:color w:val="24292E"/>
          <w:sz w:val="24"/>
          <w:szCs w:val="24"/>
          <w:lang w:eastAsia="es-ES"/>
        </w:rPr>
        <w:t xml:space="preserve">Se obtienen las cotizaciones del Euribor y los precios de venta medios de la vivienda con un programa en Python mediante técnicas de webscraping contra el portal inmobiliario </w:t>
      </w:r>
      <w:hyperlink r:id="rId2">
        <w:r>
          <w:rPr>
            <w:rStyle w:val="EnlacedeInternet"/>
          </w:rPr>
          <w:t>www.idealista.com</w:t>
        </w:r>
      </w:hyperlink>
      <w:r>
        <w:rPr>
          <w:rFonts w:eastAsia="Times New Roman" w:cs="Segoe UI" w:ascii="Segoe UI" w:hAnsi="Segoe UI"/>
          <w:color w:val="0000FF"/>
          <w:sz w:val="24"/>
          <w:szCs w:val="24"/>
          <w:u w:val="single"/>
          <w:lang w:eastAsia="es-ES"/>
        </w:rPr>
        <w:t xml:space="preserve"> </w:t>
      </w:r>
    </w:p>
    <w:p>
      <w:pPr>
        <w:pStyle w:val="Normal"/>
        <w:shd w:val="clear" w:color="auto" w:fill="FFFFFF"/>
        <w:spacing w:lineRule="auto" w:line="240" w:before="0" w:after="240"/>
        <w:rPr/>
      </w:pPr>
      <w:r>
        <w:rPr>
          <w:rFonts w:eastAsia="Times New Roman" w:cs="Segoe UI" w:ascii="Segoe UI" w:hAnsi="Segoe UI"/>
          <w:color w:val="000000"/>
          <w:sz w:val="24"/>
          <w:szCs w:val="24"/>
          <w:lang w:eastAsia="es-ES"/>
        </w:rPr>
        <w:t>Las cotizaciones del Ibex35 se obtienen de www.infobolsa.com.</w:t>
      </w:r>
    </w:p>
    <w:p>
      <w:pPr>
        <w:pStyle w:val="Normal"/>
        <w:numPr>
          <w:ilvl w:val="0"/>
          <w:numId w:val="4"/>
        </w:numPr>
        <w:shd w:val="clear" w:color="auto" w:fill="FFFFFF"/>
        <w:spacing w:lineRule="auto" w:line="240" w:before="280" w:after="280"/>
        <w:jc w:val="both"/>
        <w:rPr>
          <w:rFonts w:ascii="Segoe UI" w:hAnsi="Segoe UI" w:eastAsia="Times New Roman" w:cs="Segoe UI"/>
          <w:b/>
          <w:b/>
          <w:bCs/>
          <w:color w:val="24292E"/>
          <w:sz w:val="24"/>
          <w:szCs w:val="24"/>
          <w:lang w:eastAsia="es-ES"/>
        </w:rPr>
      </w:pPr>
      <w:r>
        <w:drawing>
          <wp:anchor behindDoc="0" distT="0" distB="0" distL="114300" distR="114300" simplePos="0" locked="0" layoutInCell="1" allowOverlap="1" relativeHeight="2">
            <wp:simplePos x="0" y="0"/>
            <wp:positionH relativeFrom="column">
              <wp:posOffset>-3810</wp:posOffset>
            </wp:positionH>
            <wp:positionV relativeFrom="paragraph">
              <wp:posOffset>569595</wp:posOffset>
            </wp:positionV>
            <wp:extent cx="5401310" cy="2743200"/>
            <wp:effectExtent l="0" t="0" r="0" b="0"/>
            <wp:wrapTight wrapText="bothSides">
              <wp:wrapPolygon edited="0">
                <wp:start x="-20" y="0"/>
                <wp:lineTo x="-20" y="21431"/>
                <wp:lineTo x="21555" y="21431"/>
                <wp:lineTo x="21555" y="0"/>
                <wp:lineTo x="-20" y="0"/>
              </wp:wrapPolygon>
            </wp:wrapTight>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3"/>
                    <a:stretch>
                      <a:fillRect/>
                    </a:stretch>
                  </pic:blipFill>
                  <pic:spPr bwMode="auto">
                    <a:xfrm>
                      <a:off x="0" y="0"/>
                      <a:ext cx="5401310" cy="2743200"/>
                    </a:xfrm>
                    <a:prstGeom prst="rect">
                      <a:avLst/>
                    </a:prstGeom>
                  </pic:spPr>
                </pic:pic>
              </a:graphicData>
            </a:graphic>
          </wp:anchor>
        </w:drawing>
      </w:r>
      <w:r>
        <w:rPr>
          <w:rFonts w:eastAsia="Times New Roman" w:cs="Segoe UI" w:ascii="Segoe UI" w:hAnsi="Segoe UI"/>
          <w:b/>
          <w:bCs/>
          <w:color w:val="24292E"/>
          <w:sz w:val="24"/>
          <w:szCs w:val="24"/>
          <w:lang w:eastAsia="es-ES"/>
        </w:rPr>
        <w:t>R</w:t>
      </w:r>
      <w:r>
        <w:rPr>
          <w:rFonts w:eastAsia="Times New Roman" w:cs="Segoe UI" w:ascii="Segoe UI" w:hAnsi="Segoe UI"/>
          <w:b/>
          <w:bCs/>
          <w:color w:val="24292E"/>
          <w:sz w:val="24"/>
          <w:szCs w:val="24"/>
          <w:lang w:eastAsia="es-ES"/>
        </w:rPr>
        <w:t>epresentación gráfica. Presentar una imagen o esquema que identifique el dataset visualmente</w:t>
      </w:r>
    </w:p>
    <w:p>
      <w:pPr>
        <w:pStyle w:val="Normal"/>
        <w:spacing w:lineRule="auto" w:line="240" w:before="0" w:after="0"/>
        <w:rPr/>
      </w:pPr>
      <w:r>
        <w:rPr/>
      </w:r>
      <w:r>
        <w:br w:type="page"/>
      </w:r>
    </w:p>
    <w:p>
      <w:pPr>
        <w:pStyle w:val="Normal"/>
        <w:shd w:val="clear" w:color="auto" w:fill="FFFFFF"/>
        <w:spacing w:lineRule="auto" w:line="240" w:before="280" w:after="280"/>
        <w:jc w:val="both"/>
        <w:rPr/>
      </w:pPr>
      <w:r>
        <w:rPr/>
      </w:r>
    </w:p>
    <w:p>
      <w:pPr>
        <w:pStyle w:val="Normal"/>
        <w:numPr>
          <w:ilvl w:val="0"/>
          <w:numId w:val="5"/>
        </w:numPr>
        <w:shd w:val="clear" w:color="auto" w:fill="FFFFFF"/>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Contenido. Explicar los campos que incluye el dataset, el periodo de tiempo de los datos y cómo se ha recogido.</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El Dataset generado tiene el siguiente formato:</w:t>
      </w:r>
    </w:p>
    <w:tbl>
      <w:tblPr>
        <w:tblW w:w="8445" w:type="dxa"/>
        <w:jc w:val="left"/>
        <w:tblInd w:w="0" w:type="dxa"/>
        <w:tblCellMar>
          <w:top w:w="55" w:type="dxa"/>
          <w:left w:w="55" w:type="dxa"/>
          <w:bottom w:w="55" w:type="dxa"/>
          <w:right w:w="55" w:type="dxa"/>
        </w:tblCellMar>
        <w:tblLook w:firstRow="1" w:noVBand="1" w:lastRow="0" w:firstColumn="1" w:lastColumn="0" w:noHBand="0" w:val="04a0"/>
      </w:tblPr>
      <w:tblGrid>
        <w:gridCol w:w="630"/>
        <w:gridCol w:w="900"/>
        <w:gridCol w:w="795"/>
        <w:gridCol w:w="1020"/>
        <w:gridCol w:w="1020"/>
        <w:gridCol w:w="1020"/>
        <w:gridCol w:w="1020"/>
        <w:gridCol w:w="1020"/>
        <w:gridCol w:w="1020"/>
      </w:tblGrid>
      <w:tr>
        <w:trPr/>
        <w:tc>
          <w:tcPr>
            <w:tcW w:w="630"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 </w:t>
            </w:r>
            <w:r>
              <w:rPr>
                <w:rFonts w:eastAsia="Times New Roman" w:cs="Segoe UI" w:ascii="Segoe UI" w:hAnsi="Segoe UI"/>
                <w:color w:val="C9211E"/>
                <w:sz w:val="18"/>
                <w:szCs w:val="18"/>
                <w:lang w:eastAsia="es-ES"/>
              </w:rPr>
              <w:t xml:space="preserve">Index </w:t>
            </w:r>
          </w:p>
        </w:tc>
        <w:tc>
          <w:tcPr>
            <w:tcW w:w="900"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Dia  </w:t>
            </w:r>
          </w:p>
        </w:tc>
        <w:tc>
          <w:tcPr>
            <w:tcW w:w="795"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Euribor</w:t>
            </w:r>
          </w:p>
        </w:tc>
        <w:tc>
          <w:tcPr>
            <w:tcW w:w="1020"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precio_m2_Barcelona</w:t>
            </w:r>
          </w:p>
        </w:tc>
        <w:tc>
          <w:tcPr>
            <w:tcW w:w="1020"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precio_m2_Bilbao</w:t>
            </w:r>
          </w:p>
        </w:tc>
        <w:tc>
          <w:tcPr>
            <w:tcW w:w="1020"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precio_m2_Madrid</w:t>
            </w:r>
          </w:p>
        </w:tc>
        <w:tc>
          <w:tcPr>
            <w:tcW w:w="1020"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precio_m2_Sevilla </w:t>
            </w:r>
          </w:p>
        </w:tc>
        <w:tc>
          <w:tcPr>
            <w:tcW w:w="1020" w:type="dxa"/>
            <w:tcBorders>
              <w:top w:val="single" w:sz="2" w:space="0" w:color="000000"/>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precio_m2_Valencia</w:t>
            </w:r>
          </w:p>
        </w:tc>
        <w:tc>
          <w:tcPr>
            <w:tcW w:w="1020" w:type="dxa"/>
            <w:tcBorders>
              <w:top w:val="single" w:sz="2" w:space="0" w:color="000000"/>
              <w:left w:val="single" w:sz="2" w:space="0" w:color="000000"/>
              <w:bottom w:val="single" w:sz="2" w:space="0" w:color="000000"/>
              <w:right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IBEX35</w:t>
            </w:r>
          </w:p>
        </w:tc>
      </w:tr>
      <w:tr>
        <w:trPr/>
        <w:tc>
          <w:tcPr>
            <w:tcW w:w="63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2473 </w:t>
            </w:r>
          </w:p>
        </w:tc>
        <w:tc>
          <w:tcPr>
            <w:tcW w:w="90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20160104</w:t>
            </w:r>
          </w:p>
        </w:tc>
        <w:tc>
          <w:tcPr>
            <w:tcW w:w="795"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0.058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 </w:t>
            </w:r>
            <w:r>
              <w:rPr>
                <w:rFonts w:eastAsia="Times New Roman" w:cs="Segoe UI" w:ascii="Segoe UI" w:hAnsi="Segoe UI"/>
                <w:color w:val="C9211E"/>
                <w:sz w:val="18"/>
                <w:szCs w:val="18"/>
                <w:lang w:eastAsia="es-ES"/>
              </w:rPr>
              <w:t xml:space="preserve">3313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2814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2743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1778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1342</w:t>
            </w:r>
          </w:p>
        </w:tc>
        <w:tc>
          <w:tcPr>
            <w:tcW w:w="1020" w:type="dxa"/>
            <w:tcBorders>
              <w:left w:val="single" w:sz="2" w:space="0" w:color="000000"/>
              <w:bottom w:val="single" w:sz="2" w:space="0" w:color="000000"/>
              <w:right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9313.200</w:t>
            </w:r>
          </w:p>
        </w:tc>
      </w:tr>
      <w:tr>
        <w:trPr/>
        <w:tc>
          <w:tcPr>
            <w:tcW w:w="63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2474</w:t>
            </w:r>
          </w:p>
        </w:tc>
        <w:tc>
          <w:tcPr>
            <w:tcW w:w="90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20160105 </w:t>
            </w:r>
          </w:p>
        </w:tc>
        <w:tc>
          <w:tcPr>
            <w:tcW w:w="795"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0.059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3313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2814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2743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1778    </w:t>
            </w:r>
          </w:p>
        </w:tc>
        <w:tc>
          <w:tcPr>
            <w:tcW w:w="1020" w:type="dxa"/>
            <w:tcBorders>
              <w:left w:val="single" w:sz="2" w:space="0" w:color="000000"/>
              <w:bottom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1342</w:t>
            </w:r>
          </w:p>
        </w:tc>
        <w:tc>
          <w:tcPr>
            <w:tcW w:w="1020" w:type="dxa"/>
            <w:tcBorders>
              <w:left w:val="single" w:sz="2" w:space="0" w:color="000000"/>
              <w:bottom w:val="single" w:sz="2" w:space="0" w:color="000000"/>
              <w:right w:val="single" w:sz="2" w:space="0" w:color="000000"/>
            </w:tcBorders>
            <w:shd w:color="auto" w:fill="auto" w:val="clear"/>
          </w:tcPr>
          <w:p>
            <w:pPr>
              <w:pStyle w:val="Normal"/>
              <w:shd w:val="clear" w:color="auto" w:fill="FFFFFF"/>
              <w:spacing w:lineRule="auto" w:line="240" w:before="0" w:after="240"/>
              <w:rPr>
                <w:rFonts w:ascii="Segoe UI" w:hAnsi="Segoe UI" w:eastAsia="Times New Roman" w:cs="Segoe UI"/>
                <w:color w:val="24292E"/>
                <w:sz w:val="18"/>
                <w:szCs w:val="18"/>
                <w:lang w:eastAsia="es-ES"/>
              </w:rPr>
            </w:pPr>
            <w:r>
              <w:rPr>
                <w:rFonts w:eastAsia="Times New Roman" w:cs="Segoe UI" w:ascii="Segoe UI" w:hAnsi="Segoe UI"/>
                <w:color w:val="C9211E"/>
                <w:sz w:val="18"/>
                <w:szCs w:val="18"/>
                <w:lang w:eastAsia="es-ES"/>
              </w:rPr>
              <w:t xml:space="preserve">9335.200 </w:t>
            </w:r>
          </w:p>
        </w:tc>
      </w:tr>
    </w:tbl>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0" w:after="240"/>
        <w:rPr/>
      </w:pPr>
      <w:r>
        <w:rPr>
          <w:rFonts w:eastAsia="Times New Roman" w:cs="Segoe UI" w:ascii="Segoe UI" w:hAnsi="Segoe UI"/>
          <w:color w:val="24292E"/>
          <w:sz w:val="24"/>
          <w:szCs w:val="24"/>
          <w:lang w:eastAsia="es-ES"/>
        </w:rPr>
        <w:t xml:space="preserve">Donde </w:t>
      </w:r>
      <w:r>
        <w:rPr>
          <w:rFonts w:eastAsia="Times New Roman" w:cs="Segoe UI" w:ascii="Segoe UI" w:hAnsi="Segoe UI"/>
          <w:b/>
          <w:bCs/>
          <w:color w:val="24292E"/>
          <w:sz w:val="24"/>
          <w:szCs w:val="24"/>
          <w:lang w:eastAsia="es-ES"/>
        </w:rPr>
        <w:t xml:space="preserve">Index </w:t>
      </w:r>
      <w:r>
        <w:rPr>
          <w:rFonts w:eastAsia="Times New Roman" w:cs="Segoe UI" w:ascii="Segoe UI" w:hAnsi="Segoe UI"/>
          <w:color w:val="24292E"/>
          <w:sz w:val="24"/>
          <w:szCs w:val="24"/>
          <w:lang w:eastAsia="es-ES"/>
        </w:rPr>
        <w:t>es un valor entero auto incremental, empezando en cero</w:t>
      </w:r>
    </w:p>
    <w:p>
      <w:pPr>
        <w:pStyle w:val="Normal"/>
        <w:shd w:val="clear" w:color="auto" w:fill="FFFFFF"/>
        <w:spacing w:lineRule="auto" w:line="240" w:before="0" w:after="240"/>
        <w:jc w:val="both"/>
        <w:rPr/>
      </w:pPr>
      <w:r>
        <w:rPr>
          <w:rFonts w:eastAsia="Times New Roman" w:cs="Segoe UI" w:ascii="Segoe UI" w:hAnsi="Segoe UI"/>
          <w:b/>
          <w:bCs/>
          <w:color w:val="24292E"/>
          <w:sz w:val="24"/>
          <w:szCs w:val="24"/>
          <w:lang w:eastAsia="es-ES"/>
        </w:rPr>
        <w:t xml:space="preserve">Dia </w:t>
      </w:r>
      <w:r>
        <w:rPr>
          <w:rFonts w:eastAsia="Times New Roman" w:cs="Segoe UI" w:ascii="Segoe UI" w:hAnsi="Segoe UI"/>
          <w:color w:val="24292E"/>
          <w:sz w:val="24"/>
          <w:szCs w:val="24"/>
          <w:lang w:eastAsia="es-ES"/>
        </w:rPr>
        <w:t>es el dia en el que se ha registrado el valor, con el formato AAAAMMDD, donde las cuatro primeras cifras son el año, las dos siguientes el mes en formato numérico y las dos últimas el día del mes</w:t>
      </w:r>
    </w:p>
    <w:p>
      <w:pPr>
        <w:pStyle w:val="Normal"/>
        <w:shd w:val="clear" w:color="auto" w:fill="FFFFFF"/>
        <w:spacing w:lineRule="auto" w:line="240" w:before="0" w:after="240"/>
        <w:jc w:val="both"/>
        <w:rPr/>
      </w:pPr>
      <w:r>
        <w:rPr>
          <w:rFonts w:eastAsia="Times New Roman" w:cs="Segoe UI" w:ascii="Segoe UI" w:hAnsi="Segoe UI"/>
          <w:b/>
          <w:bCs/>
          <w:color w:val="24292E"/>
          <w:sz w:val="24"/>
          <w:szCs w:val="24"/>
          <w:lang w:eastAsia="es-ES"/>
        </w:rPr>
        <w:t xml:space="preserve">Euribor </w:t>
      </w:r>
      <w:r>
        <w:rPr>
          <w:rFonts w:eastAsia="Times New Roman" w:cs="Segoe UI" w:ascii="Segoe UI" w:hAnsi="Segoe UI"/>
          <w:color w:val="24292E"/>
          <w:sz w:val="24"/>
          <w:szCs w:val="24"/>
          <w:lang w:eastAsia="es-ES"/>
        </w:rPr>
        <w:t>es el valor del índice del Euribor registrado ese día, en formato decimal</w:t>
      </w:r>
    </w:p>
    <w:p>
      <w:pPr>
        <w:pStyle w:val="Normal"/>
        <w:shd w:val="clear" w:color="auto" w:fill="FFFFFF"/>
        <w:spacing w:lineRule="auto" w:line="240" w:before="0" w:after="240"/>
        <w:jc w:val="both"/>
        <w:rPr/>
      </w:pPr>
      <w:r>
        <w:rPr>
          <w:rFonts w:eastAsia="Times New Roman" w:cs="Segoe UI" w:ascii="Segoe UI" w:hAnsi="Segoe UI"/>
          <w:b/>
          <w:bCs/>
          <w:color w:val="000000"/>
          <w:sz w:val="24"/>
          <w:szCs w:val="24"/>
          <w:lang w:eastAsia="es-ES"/>
        </w:rPr>
        <w:t>precio_m2_Barcelona</w:t>
      </w:r>
      <w:r>
        <w:rPr>
          <w:rFonts w:eastAsia="Times New Roman" w:cs="Segoe UI" w:ascii="Segoe UI" w:hAnsi="Segoe UI"/>
          <w:color w:val="24292E"/>
          <w:sz w:val="24"/>
          <w:szCs w:val="24"/>
          <w:lang w:eastAsia="es-ES"/>
        </w:rPr>
        <w:t xml:space="preserve"> es el precio de venta medio por metro cuadrado en la ciudad de Barcelona</w:t>
      </w:r>
    </w:p>
    <w:p>
      <w:pPr>
        <w:pStyle w:val="Normal"/>
        <w:shd w:val="clear" w:color="auto" w:fill="FFFFFF"/>
        <w:spacing w:lineRule="auto" w:line="240" w:before="0" w:after="240"/>
        <w:jc w:val="both"/>
        <w:rPr/>
      </w:pPr>
      <w:r>
        <w:rPr>
          <w:rFonts w:eastAsia="Times New Roman" w:cs="Segoe UI" w:ascii="Segoe UI" w:hAnsi="Segoe UI"/>
          <w:b/>
          <w:bCs/>
          <w:color w:val="24292E"/>
          <w:sz w:val="24"/>
          <w:szCs w:val="24"/>
          <w:lang w:eastAsia="es-ES"/>
        </w:rPr>
        <w:t>precio_m2_Bilbao</w:t>
      </w:r>
      <w:r>
        <w:rPr>
          <w:rFonts w:eastAsia="Times New Roman" w:cs="Segoe UI" w:ascii="Segoe UI" w:hAnsi="Segoe UI"/>
          <w:color w:val="24292E"/>
          <w:sz w:val="24"/>
          <w:szCs w:val="24"/>
          <w:lang w:eastAsia="es-ES"/>
        </w:rPr>
        <w:t xml:space="preserve"> es el precio de venta medio por metro cuadrado en la ciudad de Bilbao</w:t>
      </w:r>
    </w:p>
    <w:p>
      <w:pPr>
        <w:pStyle w:val="Normal"/>
        <w:shd w:val="clear" w:color="auto" w:fill="FFFFFF"/>
        <w:spacing w:lineRule="auto" w:line="240" w:before="0" w:after="240"/>
        <w:jc w:val="both"/>
        <w:rPr/>
      </w:pPr>
      <w:r>
        <w:rPr>
          <w:rFonts w:eastAsia="Times New Roman" w:cs="Segoe UI" w:ascii="Segoe UI" w:hAnsi="Segoe UI"/>
          <w:b/>
          <w:bCs/>
          <w:color w:val="24292E"/>
          <w:sz w:val="24"/>
          <w:szCs w:val="24"/>
          <w:lang w:eastAsia="es-ES"/>
        </w:rPr>
        <w:t>precio_m2_Madrid</w:t>
      </w:r>
      <w:r>
        <w:rPr>
          <w:rFonts w:eastAsia="Times New Roman" w:cs="Segoe UI" w:ascii="Segoe UI" w:hAnsi="Segoe UI"/>
          <w:color w:val="24292E"/>
          <w:sz w:val="24"/>
          <w:szCs w:val="24"/>
          <w:lang w:eastAsia="es-ES"/>
        </w:rPr>
        <w:t xml:space="preserve"> es el precio de venta medio por metro cuadrado en la ciudad de Madrid</w:t>
      </w:r>
    </w:p>
    <w:p>
      <w:pPr>
        <w:pStyle w:val="Normal"/>
        <w:shd w:val="clear" w:color="auto" w:fill="FFFFFF"/>
        <w:spacing w:lineRule="auto" w:line="240" w:before="0" w:after="240"/>
        <w:jc w:val="both"/>
        <w:rPr/>
      </w:pPr>
      <w:r>
        <w:rPr>
          <w:rFonts w:eastAsia="Times New Roman" w:cs="Segoe UI" w:ascii="Segoe UI" w:hAnsi="Segoe UI"/>
          <w:b/>
          <w:bCs/>
          <w:color w:val="24292E"/>
          <w:sz w:val="24"/>
          <w:szCs w:val="24"/>
          <w:lang w:eastAsia="es-ES"/>
        </w:rPr>
        <w:t>precio_m2_Sevilla</w:t>
      </w:r>
      <w:r>
        <w:rPr>
          <w:rFonts w:eastAsia="Times New Roman" w:cs="Segoe UI" w:ascii="Segoe UI" w:hAnsi="Segoe UI"/>
          <w:color w:val="24292E"/>
          <w:sz w:val="24"/>
          <w:szCs w:val="24"/>
          <w:lang w:eastAsia="es-ES"/>
        </w:rPr>
        <w:t xml:space="preserve"> es el precio de venta medio por metro cuadrado en la ciudad de Sevilla</w:t>
      </w:r>
    </w:p>
    <w:p>
      <w:pPr>
        <w:pStyle w:val="Normal"/>
        <w:shd w:val="clear" w:color="auto" w:fill="FFFFFF"/>
        <w:spacing w:lineRule="auto" w:line="240" w:before="0" w:after="240"/>
        <w:jc w:val="both"/>
        <w:rPr/>
      </w:pPr>
      <w:r>
        <w:rPr>
          <w:rFonts w:eastAsia="Times New Roman" w:cs="Segoe UI" w:ascii="Segoe UI" w:hAnsi="Segoe UI"/>
          <w:b/>
          <w:bCs/>
          <w:color w:val="24292E"/>
          <w:sz w:val="24"/>
          <w:szCs w:val="24"/>
          <w:lang w:eastAsia="es-ES"/>
        </w:rPr>
        <w:t>precio_m2_Valencia</w:t>
      </w:r>
      <w:r>
        <w:rPr>
          <w:rFonts w:eastAsia="Times New Roman" w:cs="Segoe UI" w:ascii="Segoe UI" w:hAnsi="Segoe UI"/>
          <w:color w:val="24292E"/>
          <w:sz w:val="24"/>
          <w:szCs w:val="24"/>
          <w:lang w:eastAsia="es-ES"/>
        </w:rPr>
        <w:t xml:space="preserve"> es el precio de venta medio por metro cuadrado en la ciudad de Valencia</w:t>
      </w:r>
    </w:p>
    <w:p>
      <w:pPr>
        <w:pStyle w:val="Normal"/>
        <w:shd w:val="clear" w:color="auto" w:fill="FFFFFF"/>
        <w:spacing w:lineRule="auto" w:line="240" w:before="0" w:after="240"/>
        <w:jc w:val="both"/>
        <w:rPr/>
      </w:pPr>
      <w:r>
        <w:rPr>
          <w:rFonts w:eastAsia="Times New Roman" w:cs="Segoe UI" w:ascii="Segoe UI" w:hAnsi="Segoe UI"/>
          <w:b/>
          <w:bCs/>
          <w:color w:val="24292E"/>
          <w:sz w:val="24"/>
          <w:szCs w:val="24"/>
          <w:lang w:eastAsia="es-ES"/>
        </w:rPr>
        <w:t>IBEX35</w:t>
      </w:r>
      <w:r>
        <w:rPr>
          <w:rFonts w:eastAsia="Times New Roman" w:cs="Segoe UI" w:ascii="Segoe UI" w:hAnsi="Segoe UI"/>
          <w:color w:val="24292E"/>
          <w:sz w:val="24"/>
          <w:szCs w:val="24"/>
          <w:lang w:eastAsia="es-ES"/>
        </w:rPr>
        <w:t xml:space="preserve"> es la cotización diaria al cierre del indice Ibex 35</w:t>
      </w:r>
    </w:p>
    <w:p>
      <w:pPr>
        <w:pStyle w:val="Normal"/>
        <w:shd w:val="clear" w:color="auto" w:fill="FFFFFF"/>
        <w:spacing w:lineRule="auto" w:line="240" w:before="0" w:after="240"/>
        <w:jc w:val="both"/>
        <w:rPr/>
      </w:pPr>
      <w:r>
        <w:rPr>
          <w:rFonts w:eastAsia="Times New Roman" w:cs="Segoe UI" w:ascii="Segoe UI" w:hAnsi="Segoe UI"/>
          <w:color w:val="24292E"/>
          <w:sz w:val="24"/>
          <w:szCs w:val="24"/>
          <w:lang w:eastAsia="es-ES"/>
        </w:rPr>
        <w:t>El periodo de tiempo de recogida es desde el 2 de enero de 2006 hasta el 30 de octubre de 2020 y se ha recogido mediante un raspado recurrente de las páginas de idealista con la información diaria y mensual del índice Euribor, y de los precios de venta medios/m². También se ha obtenido un raspado del índice Ibex 35 entre 1 de enero de 2016 y el día actual de la página www.infobolsa.com. En esta página no se proporcionan datos de antigüedad mayor a 5 años si la suscripción no es de pago y se ha utilizado una suscripción gratuita.</w:t>
      </w:r>
    </w:p>
    <w:p>
      <w:pPr>
        <w:pStyle w:val="Normal"/>
        <w:numPr>
          <w:ilvl w:val="0"/>
          <w:numId w:val="6"/>
        </w:numPr>
        <w:shd w:val="clear" w:color="auto" w:fill="FFFFFF"/>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Agradecimientos. Presentar al propietario del conjunto de datos. Es necesario incluir citas de investigación o análisis anteriores (si los hay).</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Idealista es uno de los portales inmobiliarios de referencia en el contexto estatal y probablemente uno de los mayores portales de compra venta en España.</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Infobolsa es el portal de información financiera de BME Bolsas y Mercados Españoles.</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Desconocemos la existencia de estudios previos.</w:t>
      </w:r>
    </w:p>
    <w:p>
      <w:pPr>
        <w:pStyle w:val="Normal"/>
        <w:numPr>
          <w:ilvl w:val="0"/>
          <w:numId w:val="7"/>
        </w:numPr>
        <w:shd w:val="clear" w:color="auto" w:fill="FFFFFF"/>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Inspiración. Explique por qué es interesante este conjunto de datos y qué preguntas se pretenden responder.</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En el momento actual, dentro de la mayor pandemia del siglo, hay una incertidumbre creciente en todos los aspectos financieros, de los que no queda exento el mercado inmobiliario.</w:t>
      </w:r>
    </w:p>
    <w:p>
      <w:pPr>
        <w:pStyle w:val="Normal"/>
        <w:shd w:val="clear" w:color="auto" w:fill="FFFFFF"/>
        <w:spacing w:lineRule="auto" w:line="240" w:before="0" w:after="240"/>
        <w:jc w:val="both"/>
        <w:rPr>
          <w:color w:val="C9211E"/>
        </w:rPr>
      </w:pPr>
      <w:r>
        <w:rPr>
          <w:rFonts w:eastAsia="Times New Roman" w:cs="Segoe UI" w:ascii="Segoe UI" w:hAnsi="Segoe UI"/>
          <w:color w:val="C9211E"/>
          <w:sz w:val="24"/>
          <w:szCs w:val="24"/>
          <w:lang w:eastAsia="es-ES"/>
        </w:rPr>
        <w:t xml:space="preserve">Mediante esta recolección de datos se pretende obtener una herramienta que permita analizar la tendencia del principal índice inmobiliario en Europa, el Euribor, </w:t>
      </w:r>
      <w:r>
        <w:rPr>
          <w:rFonts w:eastAsia="Times New Roman" w:cs="Segoe UI" w:ascii="Segoe UI" w:hAnsi="Segoe UI"/>
          <w:color w:val="C9211E"/>
          <w:sz w:val="24"/>
          <w:szCs w:val="24"/>
          <w:lang w:eastAsia="es-ES"/>
        </w:rPr>
        <w:t xml:space="preserve">la tendencia </w:t>
      </w:r>
      <w:r>
        <w:rPr>
          <w:rFonts w:eastAsia="Times New Roman" w:cs="Segoe UI" w:ascii="Segoe UI" w:hAnsi="Segoe UI"/>
          <w:color w:val="C9211E"/>
          <w:sz w:val="24"/>
          <w:szCs w:val="24"/>
          <w:lang w:eastAsia="es-ES"/>
        </w:rPr>
        <w:t xml:space="preserve">en los precios inmobiliarios y la </w:t>
      </w:r>
      <w:r>
        <w:rPr>
          <w:rFonts w:eastAsia="Times New Roman" w:cs="Segoe UI" w:ascii="Segoe UI" w:hAnsi="Segoe UI"/>
          <w:color w:val="C9211E"/>
          <w:sz w:val="24"/>
          <w:szCs w:val="24"/>
          <w:lang w:eastAsia="es-ES"/>
        </w:rPr>
        <w:t xml:space="preserve">tendencia de la </w:t>
      </w:r>
      <w:r>
        <w:rPr>
          <w:rFonts w:eastAsia="Times New Roman" w:cs="Segoe UI" w:ascii="Segoe UI" w:hAnsi="Segoe UI"/>
          <w:color w:val="C9211E"/>
          <w:sz w:val="24"/>
          <w:szCs w:val="24"/>
          <w:lang w:eastAsia="es-ES"/>
        </w:rPr>
        <w:t>bolsa de valore</w:t>
      </w:r>
      <w:r>
        <w:rPr>
          <w:rFonts w:eastAsia="Times New Roman" w:cs="Segoe UI" w:ascii="Segoe UI" w:hAnsi="Segoe UI"/>
          <w:color w:val="C9211E"/>
          <w:sz w:val="24"/>
          <w:szCs w:val="24"/>
          <w:lang w:eastAsia="es-ES"/>
        </w:rPr>
        <w:t>s</w:t>
      </w:r>
      <w:r>
        <w:rPr>
          <w:rFonts w:eastAsia="Times New Roman" w:cs="Segoe UI" w:ascii="Segoe UI" w:hAnsi="Segoe UI"/>
          <w:color w:val="C9211E"/>
          <w:sz w:val="24"/>
          <w:szCs w:val="24"/>
          <w:lang w:eastAsia="es-ES"/>
        </w:rPr>
        <w:t xml:space="preserve">, </w:t>
      </w:r>
      <w:r>
        <w:rPr>
          <w:rFonts w:eastAsia="Times New Roman" w:cs="Segoe UI" w:ascii="Segoe UI" w:hAnsi="Segoe UI"/>
          <w:color w:val="C9211E"/>
          <w:sz w:val="24"/>
          <w:szCs w:val="24"/>
          <w:lang w:eastAsia="es-ES"/>
        </w:rPr>
        <w:t>para poder realizar tanto análisis como predicciones.</w:t>
      </w:r>
    </w:p>
    <w:p>
      <w:pPr>
        <w:pStyle w:val="Normal"/>
        <w:numPr>
          <w:ilvl w:val="0"/>
          <w:numId w:val="8"/>
        </w:numPr>
        <w:shd w:val="clear" w:color="auto" w:fill="FFFFFF"/>
        <w:spacing w:lineRule="auto" w:line="240" w:before="280" w:after="28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Licencia. Seleccione una de estas licencias para su dataset y explique el motivo de su selección: ○ Released Under CC0: Public Domain License ○ Released Under CC BY-NC-SA 4.0 License ○ Released Under CC BY-SA 4.0 License ○ Database released under Open Database License, individual contents under Database Contents License ○ Other (specified above) ○ Unknown License</w:t>
      </w:r>
    </w:p>
    <w:p>
      <w:pPr>
        <w:pStyle w:val="Normal"/>
        <w:shd w:val="clear" w:color="auto" w:fill="FFFFFF"/>
        <w:spacing w:lineRule="auto" w:line="240" w:before="0" w:after="240"/>
        <w:jc w:val="both"/>
        <w:rPr/>
      </w:pPr>
      <w:r>
        <w:rPr>
          <w:rFonts w:eastAsia="Times New Roman" w:cs="Segoe UI" w:ascii="Segoe UI" w:hAnsi="Segoe UI"/>
          <w:color w:val="24292E"/>
          <w:sz w:val="24"/>
          <w:szCs w:val="24"/>
          <w:lang w:eastAsia="es-ES"/>
        </w:rPr>
        <w:t xml:space="preserve">Hemos escogido la licencia </w:t>
      </w:r>
      <w:r>
        <w:rPr>
          <w:rFonts w:eastAsia="Times New Roman" w:cs="Segoe UI" w:ascii="Segoe UI" w:hAnsi="Segoe UI"/>
          <w:b/>
          <w:bCs/>
          <w:color w:val="24292E"/>
          <w:sz w:val="24"/>
          <w:szCs w:val="24"/>
          <w:lang w:eastAsia="es-ES"/>
        </w:rPr>
        <w:t>CC BY-NC-SA 4.0 License</w:t>
      </w:r>
      <w:r>
        <w:rPr>
          <w:rFonts w:eastAsia="Times New Roman" w:cs="Segoe UI" w:ascii="Segoe UI" w:hAnsi="Segoe UI"/>
          <w:color w:val="24292E"/>
          <w:sz w:val="24"/>
          <w:szCs w:val="24"/>
          <w:lang w:eastAsia="es-ES"/>
        </w:rPr>
        <w:t>, porque creemos que recoge adecuadamente el espíritu de la creación del dataset. Un dataset creado para un uso educativo, no comercial.</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Está licencia tiene los siguientes términos:</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Atribución: debe otorgar el crédito correspondiente, proporcionar un enlace a la licencia e indicar si se realizaron cambios . Puede hacerlo de cualquier manera razonable, pero no de ninguna manera que sugiera que el licenciante lo respalda a usted o su uso.</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No comercial: no puede utilizar el material con fines comerciales.</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ShareAlike: si remezcla, transforma o construye sobre el material, debe distribuir sus contribuciones bajo la misma licencia que el original.</w:t>
      </w:r>
    </w:p>
    <w:p>
      <w:pPr>
        <w:pStyle w:val="Normal"/>
        <w:shd w:val="clear" w:color="auto" w:fill="FFFFFF"/>
        <w:spacing w:lineRule="auto" w:line="240" w:before="0" w:after="240"/>
        <w:jc w:val="both"/>
        <w:rPr/>
      </w:pPr>
      <w:r>
        <w:rPr>
          <w:rFonts w:eastAsia="Times New Roman" w:cs="Segoe UI" w:ascii="Segoe UI" w:hAnsi="Segoe UI"/>
          <w:color w:val="24292E"/>
          <w:sz w:val="24"/>
          <w:szCs w:val="24"/>
          <w:lang w:eastAsia="es-ES"/>
        </w:rPr>
        <w:t>Términos extraídos de </w:t>
      </w:r>
      <w:hyperlink r:id="rId4">
        <w:r>
          <w:rPr>
            <w:rStyle w:val="Style"/>
            <w:rFonts w:eastAsia="Times New Roman" w:cs="Segoe UI" w:ascii="Segoe UI" w:hAnsi="Segoe UI"/>
            <w:color w:val="0000FF"/>
            <w:sz w:val="24"/>
            <w:szCs w:val="24"/>
            <w:u w:val="single"/>
            <w:lang w:eastAsia="es-ES"/>
          </w:rPr>
          <w:t>https://creativecommons.org/licenses/by-nc-sa/4.0/</w:t>
        </w:r>
      </w:hyperlink>
    </w:p>
    <w:p>
      <w:pPr>
        <w:pStyle w:val="Normal"/>
        <w:spacing w:lineRule="auto" w:line="240" w:before="0" w:after="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r>
        <w:br w:type="page"/>
      </w:r>
    </w:p>
    <w:p>
      <w:pPr>
        <w:pStyle w:val="Normal"/>
        <w:numPr>
          <w:ilvl w:val="0"/>
          <w:numId w:val="9"/>
        </w:numPr>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Código. Adjuntar el código con el que se ha generado el dataset, preferiblemente en Python o, alternativamente, en 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 coding: utf-8 -*-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w:t>
      </w:r>
    </w:p>
    <w:p>
      <w:pPr>
        <w:pStyle w:val="Normal"/>
        <w:shd w:val="clear" w:color="auto" w:fill="FFFFFF"/>
        <w:spacing w:lineRule="auto" w:line="240" w:before="240" w:after="240"/>
        <w:rPr>
          <w:color w:val="C9211E"/>
        </w:rPr>
      </w:pPr>
      <w:r>
        <w:rPr>
          <w:rFonts w:eastAsia="Times New Roman" w:cs="Segoe UI" w:ascii="Segoe UI" w:hAnsi="Segoe UI"/>
          <w:color w:val="C9211E"/>
          <w:sz w:val="24"/>
          <w:szCs w:val="24"/>
          <w:lang w:eastAsia="es-ES"/>
        </w:rPr>
        <w:t>Script para extraer el euribor diario de la página web de Idealista</w:t>
      </w:r>
    </w:p>
    <w:p>
      <w:pPr>
        <w:pStyle w:val="Normal"/>
        <w:shd w:val="clear" w:color="auto" w:fill="FFFFFF"/>
        <w:spacing w:lineRule="auto" w:line="240" w:before="240" w:after="240"/>
        <w:rPr>
          <w:color w:val="C9211E"/>
        </w:rPr>
      </w:pPr>
      <w:r>
        <w:rPr>
          <w:rFonts w:eastAsia="Times New Roman" w:cs="Segoe UI" w:ascii="Segoe UI" w:hAnsi="Segoe UI"/>
          <w:color w:val="C9211E"/>
          <w:sz w:val="24"/>
          <w:szCs w:val="24"/>
          <w:lang w:eastAsia="es-ES"/>
        </w:rPr>
        <w:t>desde Enero de 2006 hasta el momento actual, así como datos del precio</w:t>
      </w:r>
    </w:p>
    <w:p>
      <w:pPr>
        <w:pStyle w:val="Normal"/>
        <w:shd w:val="clear" w:color="auto" w:fill="FFFFFF"/>
        <w:spacing w:lineRule="auto" w:line="240" w:before="240" w:after="240"/>
        <w:rPr>
          <w:color w:val="C9211E"/>
        </w:rPr>
      </w:pPr>
      <w:r>
        <w:rPr>
          <w:rFonts w:eastAsia="Times New Roman" w:cs="Segoe UI" w:ascii="Segoe UI" w:hAnsi="Segoe UI"/>
          <w:color w:val="C9211E"/>
          <w:sz w:val="24"/>
          <w:szCs w:val="24"/>
          <w:lang w:eastAsia="es-ES"/>
        </w:rPr>
        <w:t>de venta medio de la vivienda/m2</w:t>
      </w:r>
    </w:p>
    <w:p>
      <w:pPr>
        <w:pStyle w:val="Normal"/>
        <w:shd w:val="clear" w:color="auto" w:fill="FFFFFF"/>
        <w:spacing w:lineRule="auto" w:line="240" w:before="240" w:after="240"/>
        <w:rPr>
          <w:color w:val="C9211E"/>
        </w:rPr>
      </w:pPr>
      <w:r>
        <w:rPr>
          <w:rFonts w:eastAsia="Times New Roman" w:cs="Segoe UI" w:ascii="Segoe UI" w:hAnsi="Segoe UI"/>
          <w:color w:val="C9211E"/>
          <w:sz w:val="24"/>
          <w:szCs w:val="24"/>
          <w:lang w:eastAsia="es-ES"/>
        </w:rPr>
        <w:t>Extracción de datos de la cotización de cierre del Ibex35 de</w:t>
      </w:r>
    </w:p>
    <w:p>
      <w:pPr>
        <w:pStyle w:val="Normal"/>
        <w:shd w:val="clear" w:color="auto" w:fill="FFFFFF"/>
        <w:spacing w:lineRule="auto" w:line="240" w:before="240" w:after="240"/>
        <w:rPr>
          <w:color w:val="C9211E"/>
        </w:rPr>
      </w:pPr>
      <w:r>
        <w:rPr>
          <w:rFonts w:eastAsia="Times New Roman" w:cs="Segoe UI" w:ascii="Segoe UI" w:hAnsi="Segoe UI"/>
          <w:color w:val="C9211E"/>
          <w:sz w:val="24"/>
          <w:szCs w:val="24"/>
          <w:lang w:eastAsia="es-ES"/>
        </w:rPr>
        <w:t>www.infobolsa.com</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Importación de librerías necesarias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locale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datetime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random</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from bs4 import BeautifulSoup as bsoup</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requests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calendar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numpy as np</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pandas as pd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matplotlib.pyplot as plt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import time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from zipfile import ZipFile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from selenium import webdriver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Necesario para calendar (configuración local a hora española)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locale.setlocale(locale.LC_ALL, 'es_ES.utf8')</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Creamos listas donde guardaremos los días y los valores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dias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valores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Inicializaciones para interfaz con datos IBEX35</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username_input = '//*[@id="login"]/ul[1]/li[1]/input'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password_input = '//*[@id="login"]/ul[1]/li[2]/input'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remember_input = '//*[@id="login"]/ul[1]/li[3]/input'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login_submit = '//*[@id="login"]/ul[1]/li[2]/a'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logout = '//*[@id="ifb-menu"]/div/ul/li[2]/a[2]'</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Lista de user agents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userAgents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10.0; Win64; x64) AppleWebKit/537.36 (KHTML, like Gecko) Chrome/60.0.3112.113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6.1; Win64; x64) AppleWebKit/537.36 (KHTML, like Gecko) Chrome/60.0.3112.90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5.1; Win64; x64) AppleWebKit/537.36 (KHTML, like Gecko) Chrome/60.0.3112.90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6.2; Win64; x64) AppleWebKit/537.36 (KHTML, like Gecko) Chrome/60.0.3112.90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(X11; Linux x86_64) AppleWebKit/537.36 (KHTML, like Gecko) Chrome/44.0.2403.157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6.3; Win64; x64) AppleWebKit/537.36 (KHTML, like Gecko) Chrome/60.0.3112.113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10.0; Win64; x64) AppleWebKit/537.36 (KHTML, like Gecko) Chrome/57.0.2987.133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6.1; Win64; x64) AppleWebKit/537.36 (KHTML, like Gecko) Chrome/57.0.2987.133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10.0; Win64; x64) AppleWebKit/537.36 (KHTML, like Gecko) Chrome/55.0.2883.87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6.1; Win64; x64) AppleWebKit/537.36 (KHTML, like Gecko) Chrome/55.0.2883.87 Safari/537.36',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'Mozilla/4.0 (compatible; MSIE 9.0; Windows NT 6.1)',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6.1; WOW64; Trident/7.0; rv:11.0) like Gecko',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(compatible; MSIE 9.0; Windows NT 6.1; WOW64; Trident/5.0)',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6.1; Trident/7.0; rv:11.0) like Gecko',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6.2; WOW64; Trident/7.0; rv:11.0) like Gecko',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10.0; WOW64; Trident/7.0; rv:11.0) like Gecko',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(compatible; MSIE 9.0; Windows NT 6.0; Trident/5.0)',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6.3; WOW64; Trident/7.0; rv:11.0) like Gecko',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(compatible; MSIE 9.0; Windows NT 6.1; Trident/5.0)',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(Windows NT 6.1; Win64; x64; Trident/7.0; rv:11.0) like Gecko',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(compatible; MSIE 10.0; Windows NT 6.1; WOW64; Trident/6.0)',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'Mozilla/5.0 (compatible; MSIE 10.0; Windows NT 6.1; Trident/6.0)',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'Mozilla/4.0 (compatible; MSIE 8.0; Windows NT 5.1; Trident/4.0; .NET CLR 2.0.50727; .NET CLR 3.0.4506.2152; .NET CLR 3.5.30729)'</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Función para extraer el euribor diario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def get_euribor(dias, valores):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Fecha actual</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now = datetime.datetime.now()</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anyo = int(now.strftime("%Y"))</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Defino año final 2006, que es hasta donde tengo datos de precios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anyo_final = 2006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mes = int(now.strftime("%m"))</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controlmesactual = True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Para cada año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for i_anyo in range(anyo, anyo_final-1,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Para cada mes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for i_mes in range(mes, 0,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if controlmesactual:</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url = "https://www.idealista.com/news/euribor/mensual/mes-actual/"</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controlmesactual = False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else: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url = "https://www.idealista.com/news/euribor/mensual/%s-%d/"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calendar.month_name[int(i_mes)], i_anyo)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Seleccionamos user agent aleatoriamente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userAgent = random.choice(userAgents)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Cargamos cabeceras por defecto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headers = requests.utils.default_headers()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Actualizamos cabeceras con el User-Agent aleatorio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headers.update({'User-Agent': userAgent})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Espaciado entre peticiones (2 ó 3 segundos)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sleep_secs = random.randrange(2, 4)</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time.sleep(sleep_secs)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Descargamos el sitio web de interés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html = requests.get(url, headers=headers)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soup = bsoup(html.content)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contador = 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for dato in soup.body.tbody.find_all('td'):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contador = contador + 1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if contador % 2 ==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fecha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fecha = "%d%s%s" % (i_anyo, '{:02d}'.format(i_mes), '{:02d}'.format(int(dato.string)))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Añadimos la fecha a la lista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dias.append(fecha)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print(fecha)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else: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euribor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euribor = dato.string[:-1].replace(",",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Añadimos el euribor a la lista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valores.append(float(euribor))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print(float(euribor))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mes = 12</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return euribor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Función para extraer el IBEX35 diario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def precios_ibex(dict_ibex, anio):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url_anio = "https://www.infobolsa.es/cotizacion/historico-ibex_35?startDate=%d0101&amp;endDate=%d1231" % (anio, anio)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Opciones para el driver de Selenium</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 = webdriver.ChromeOptions()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Headless impide que el navegador Crhrome controlado por python se muestre en pantalla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options.add_argument('headless')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Ignoramos posibles errores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options.add_argument('--ignore-certificate-errors')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options.add_argument('--ignore-ssl-errors')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Elegimos el user-agent del pool de user-agents userAgents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options.add_argument('user-agent=%s' % (random.choice(userAgents)))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Creamos objeto webdriver (selenium), que es el que realiza la petición con las opciones anteriormente establecidas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try:</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 = webdriver.Chrome(options=options)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except: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Si no podemos crear el objeto webdriver es porque no tenemos el driver Chrome.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Lo descargamos y descomprimimos.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print("Descargamos y descomprimimos driver Chrome")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driver = requests.get('http://chromedriver.storage.googleapis.com/86.0.4240.22/chromedriver_win32.zip')</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with open('chrome_driver.zip', 'wb') as 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d.write(driver.content)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with ZipFile('chrome_driver.zip', 'r') as zfile: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try:</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zfile.extractall()</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except: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print("Something else went wrong")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Una vez descargado y descomprimido el driver Chrome, creamos objeto webdriver (selenium), que es el que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realiza la petición con las opciones anteriormente establecidas.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 = webdriver.Chrome(options=options)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Espaciado entre peticiones (de 10 a 15 segundos)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sleep_secs = random.randrange(10, 15)</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time.sleep(sleep_secs)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Tiempo de espera del driver para asegurarse de que carga la página en su totalidad, 5 segundos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seconds = 5</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web_driver.implicitly_wait(seconds)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Se abre una nueva petición a la página deseada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web_driver.get('https://www.infobolsa.es/account/login')</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web_driver.find_element_by_xpath(username_input).send_keys('sergiofbertolin@gmail.com')</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web_driver.find_element_by_xpath(password_input).send_keys('7y.zRt47ywsi')</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web_driver.find_element_by_xpath(remember_input).click()</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web_driver.find_element_by_xpath(login_submit).click()</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web_driver.get(url_anio)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Cambiamos al marco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web_driver.switch_to.frame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Obtenemos el marco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web_driver.page_source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soup_tabla_ibex = bsoup(web_driver.page_source, "lxml")</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anyomes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ibex35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contador = 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for dato_tabla_ibex in soup_tabla_ibex.body.tbody.find_all('td'):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contador +=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if contador % 6 ==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print(dato_tabla_ibex.string)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 = dato_tabla_ibex.string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anyomes = "%s%s%s" % (a[6:10], a[3:5], a[0:2])</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elif contador % 6 == 2:</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print(dato_tabla_ibex.string)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b = dato_tabla_ibex.string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indice = b.replace(".",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indice = indice.replace(",",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ibex35.append(indice)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elif contador % 6 == 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contador = 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if anyomes in dias: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dict_ibex[anyomes] = indice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Cerramos driver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web_driver.get('https://www.infobolsa.es/auth/bye')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web_driver.close()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return (dict_ibex)</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Función para extraer los precios medios por m2 de una Ciudad.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Se trata de un contenido dinámico.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Utilizando la libreria Selenium, podremos acceder al marco donde se encuentra la tabla que se genera de forma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dinámica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def precios_ciudad(dias, ciudad):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ciudad_url_dict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'Barcelona': 'https://www.idealista.com/sala-de-prensa/informes-precio-vivienda/venta/cataluna/barcelona-provincia/barcelona/historico/',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'Bilbao': 'https://www.idealista.com/sala-de-prensa/informes-precio-vivienda/venta/euskadi/vizcaya/bilbao/historico/',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'Madrid': 'https://www.idealista.com/sala-de-prensa/informes-precio-vivienda/venta/madrid-comunidad/madrid-provincia/madrid/historico/',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'Sevilla': 'https://www.idealista.com/sala-de-prensa/informes-precio-vivienda/venta/andalucia/sevilla-provincia/sevilla/historico/',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'Valencia': 'https://www.idealista.com/sala-de-prensa/informes-precio-vivienda/venta/comunitat-valenciana/valencia-valencia/valencia/historico/'}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url_ciudad = ciudad_url_dict[ciudad]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Opciones para el driver de Selenium</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 = webdriver.ChromeOptions()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Headless impide que el navegador Crhrome controlado por python se muestre en pantalla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options.add_argument('headless')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Ignoramos posibles errores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options.add_argument('--ignore-certificate-errors')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options.add_argument('--ignore-ssl-errors')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Elegimos el user-agent del pool de user-agents userAgents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options.add_argument('user-agent=%s' % (random.choice(userAgents)))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Creamos objeto webdriver (selenium), que es el que realiza la petición con las opciones anteriormente establecidas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try:</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 = webdriver.Chrome(options=options)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except: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Si no podemos crear el objeto webdriver es porque no tenemos el driver Chrome.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Lo descargamos y descomprimimos.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print("Descargamos y descomprimimos driver Chrome")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driver = requests.get('http://chromedriver.storage.googleapis.com/86.0.4240.22/chromedriver_win32.zip')</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with open('chrome_driver.zip', 'wb') as 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d.write(driver.content)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with ZipFile('chrome_driver.zip', 'r') as zfile: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try:</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zfile.extractall()</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except: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print("Something else went wrong")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Una vez descargado y descomprimido el driver Chrome, creamos objeto webdriver (selenium), que es el que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realiza la petición con las opciones anteriormente establecidas.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 = webdriver.Chrome(options=options)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Espaciado entre peticiones (de 10 a 15 segundos)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sleep_secs = random.randrange(10, 16)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time.sleep(sleep_secs)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Tiempo de espera del driver para asegurarse de que carga la página en su totalidad, 5 segundos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seconds = 5</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web_driver.implicitly_wait(seconds)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Se abre una nueva petición a la página deseada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web_driver.get(url_ciudad)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Buscamos el elemento 'iframe' que es el marco donde se encuentra la tabla dinámica que queremos obtener.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frame = web_driver.find_element_by_tag_name('iframe')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Cambiamos al marco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web_driver.switch_to.frame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Obtenemos el marco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web_driver.page_source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soup_tabla_precios = bsoup(web_driver.page_source, "lxml")</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anyomes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contador = 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for dato_tabla_precios in soup_tabla_precios.body.tbody.find_all('td'):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contador +=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if contador % 5 ==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 = dato_tabla_precios.string.split()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for i in range(1, 13):</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if calendar.month_name[i] == a[0].lower():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anyomes.append("%s%s" % (a[1], '{:02d}'.format(i)))</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elif contador % 5 == 2:</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b = dato_tabla_precios.string.split()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if b[0] == 'n.d.':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precio_m2.append(np.NaN)</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else: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 = b[0].replace(".",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precio_m2.append(precio)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diccionario = dict(zip(anyomes, precio_m2))</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precio_m2_2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for i in range(len(dias)):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try:</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precio_m2_2.append(np.int(diccionario[dias[i][0:6]]))</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except: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precio_m2_2.append(np.NaN)</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 Cerramos driver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web_driver.close()</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return precio_m2_2</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get_euribor(dias, valores)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start_period = 2020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end_period = 2015</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Inicializo un diccionario con NAs para todos los días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dict_ibex =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for i in range(len(dias)):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dict_ibex[dias[i]] = np.NaN</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for i in range(start_period, end_period, -1):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dict_ibex = precios_ibex(dict_ibex, i)</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ciudades = ['Barcelona', 'Bilbao', 'Madrid', 'Sevilla', 'Valencia']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Creamos diccionario de listas con las listas días, valores, precios_m2_Barcelona, precios_m2_Bilbao,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precios_m2_Madrid, precios_m2_Sevilla, precios_m2_Valencia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euribor_dict = {'Dia': dias[::-1], 'Euribor': valores[::-1],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 + ciudades[0]: precios_ciudad(dias, ciudades[0])[::-1],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 + ciudades[1]: precios_ciudad(dias, ciudades[1])[::-1],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 + ciudades[2]: precios_ciudad(dias, ciudades[2])[::-1],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 + ciudades[3]: precios_ciudad(dias, ciudades[3])[::-1],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'precio_m2_' + ciudades[4]: precios_ciudad(dias, ciudades[4])[::-1],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'IBEX35': list(dict_ibex.values())[::-1]}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Creamos un DataFrame para almacenar el diccionario de listas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euribor_df = pd.DataFrame(euribor_dict)</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Almacenamos los resultados de nuestro dataset en un csv</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euribor_df.to_csv('euribordiario.csv')</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Representamos gráficamente la evolución temporal del Euribor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print(euribor_df)</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f, ax1 = plt.subplots()</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ax1.plot(euribor_df.index, euribor_df.Euribor, color='blue', label='Euribor')</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ax1.set(xlabel='Fecha (AñoMesDia)', ylabel='tasa de interés del Euribor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        </w:t>
      </w:r>
      <w:r>
        <w:rPr>
          <w:rFonts w:eastAsia="Times New Roman" w:cs="Segoe UI" w:ascii="Segoe UI" w:hAnsi="Segoe UI"/>
          <w:color w:val="24292E"/>
          <w:sz w:val="24"/>
          <w:szCs w:val="24"/>
          <w:lang w:eastAsia="es-ES"/>
        </w:rPr>
        <w:t>title='Evolución del Euribor, precio del m2 de la vivienda e Índice IBEX35 ')</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plt.xticks(np.arange(euribor_df.shape[0])[::150], euribor_df.Dia[::150], rotation=90)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plt.legend(bbox_to_anchor=(1.05, 1), loc='upper left', borderaxespad=0.)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un segundo eje que comparte el eje x</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 = ax1.twinx()</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ax2.set_ylabel('precios m2 o cotizaciones IBEX35')</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ax2.plot(euribor_df.index, euribor_df.precio_m2_Barcelona, color='red', label='Barcelona')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ax2.plot(euribor_df.index, euribor_df.precio_m2_Bilbao, color='green', label='Bilbao')</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ax2.plot(euribor_df.index, euribor_df.precio_m2_Madrid, color='yellow', label='Madrid')</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ax2.plot(euribor_df.index, euribor_df.precio_m2_Sevilla, color='orange', label='Sevilla')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ax2.plot(euribor_df.index, euribor_df.precio_m2_Valencia, color='purple', label='Valencia')</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ax2.plot(euribor_df.index, euribor_df.IBEX35, color='olive', label='IBEX35')</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plt.legend(bbox_to_anchor=(1.05, 0.90), loc='upper left', borderaxespad=0.)</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plt.show()</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Almacenamos la gráfica</w:t>
      </w:r>
    </w:p>
    <w:p>
      <w:pPr>
        <w:pStyle w:val="Normal"/>
        <w:shd w:val="clear" w:color="auto" w:fill="FFFFFF"/>
        <w:spacing w:lineRule="auto" w:line="240" w:before="240" w:after="240"/>
        <w:rPr/>
      </w:pPr>
      <w:r>
        <w:rPr>
          <w:rFonts w:eastAsia="Times New Roman" w:cs="Segoe UI" w:ascii="Segoe UI" w:hAnsi="Segoe UI"/>
          <w:color w:val="24292E"/>
          <w:sz w:val="24"/>
          <w:szCs w:val="24"/>
          <w:lang w:eastAsia="es-ES"/>
        </w:rPr>
        <w:t>f.savefig("euribor.png")</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numPr>
          <w:ilvl w:val="0"/>
          <w:numId w:val="9"/>
        </w:numPr>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Dataset. Publicación del dataset en formato CSV en Zenodo (obtención del DOI) con una breve descripción.</w:t>
      </w:r>
    </w:p>
    <w:p>
      <w:pPr>
        <w:pStyle w:val="Normal"/>
        <w:shd w:val="clear" w:color="auto" w:fill="FFFFFF"/>
        <w:spacing w:lineRule="auto" w:line="240" w:before="24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Creación de un dataset con los valores diarios del índice del Euribor y los precios de venta medios de la vivienda/m2 desde 2006 hasta el 9 de noviembre de 2020. Adjuntamos también las cotizaciones al cierre diario de mercado del Ibex35 desde 2016, con fines educativos.</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rPr>
          <w:rFonts w:ascii="Consolas" w:hAnsi="Consolas" w:eastAsia="Times New Roman" w:cs="Courier New"/>
          <w:color w:val="333333"/>
          <w:sz w:val="20"/>
          <w:szCs w:val="20"/>
          <w:lang w:eastAsia="es-ES"/>
        </w:rPr>
      </w:pPr>
      <w:r>
        <w:rPr>
          <w:rFonts w:eastAsia="Times New Roman" w:cs="Courier New" w:ascii="Consolas" w:hAnsi="Consolas"/>
          <w:color w:val="333333"/>
          <w:sz w:val="20"/>
          <w:szCs w:val="20"/>
          <w:lang w:eastAsia="es-ES"/>
        </w:rPr>
        <w:t>https://doi.org/10.5281/zenodo.4264801</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r>
    </w:p>
    <w:tbl>
      <w:tblPr>
        <w:tblW w:w="8504" w:type="dxa"/>
        <w:jc w:val="left"/>
        <w:tblInd w:w="0" w:type="dxa"/>
        <w:tblCellMar>
          <w:top w:w="55" w:type="dxa"/>
          <w:left w:w="55" w:type="dxa"/>
          <w:bottom w:w="55" w:type="dxa"/>
          <w:right w:w="55" w:type="dxa"/>
        </w:tblCellMar>
        <w:tblLook w:firstRow="1" w:noVBand="1" w:lastRow="0" w:firstColumn="1" w:lastColumn="0" w:noHBand="0" w:val="04a0"/>
      </w:tblPr>
      <w:tblGrid>
        <w:gridCol w:w="4252"/>
        <w:gridCol w:w="4251"/>
      </w:tblGrid>
      <w:tr>
        <w:trPr/>
        <w:tc>
          <w:tcPr>
            <w:tcW w:w="4252" w:type="dxa"/>
            <w:tcBorders>
              <w:top w:val="single" w:sz="4" w:space="0" w:color="000000"/>
              <w:left w:val="single" w:sz="4" w:space="0" w:color="000000"/>
              <w:bottom w:val="single" w:sz="4" w:space="0" w:color="000000"/>
            </w:tcBorders>
            <w:shd w:color="auto" w:fill="auto" w:val="clear"/>
          </w:tcPr>
          <w:p>
            <w:pPr>
              <w:pStyle w:val="Contenidodelatabla"/>
              <w:spacing w:before="0" w:after="200"/>
              <w:jc w:val="center"/>
              <w:rPr/>
            </w:pPr>
            <w:r>
              <w:rPr>
                <w:rFonts w:ascii="Liberation Serif" w:hAnsi="Liberation Serif"/>
                <w:color w:val="000000"/>
                <w:sz w:val="24"/>
                <w:szCs w:val="24"/>
              </w:rPr>
              <w:t>CONTRIBUCIONES</w:t>
            </w:r>
          </w:p>
        </w:tc>
        <w:tc>
          <w:tcPr>
            <w:tcW w:w="4251" w:type="dxa"/>
            <w:tcBorders>
              <w:top w:val="single" w:sz="4" w:space="0" w:color="000000"/>
              <w:left w:val="single" w:sz="4" w:space="0" w:color="000000"/>
              <w:bottom w:val="single" w:sz="4" w:space="0" w:color="000000"/>
              <w:right w:val="single" w:sz="4" w:space="0" w:color="000000"/>
            </w:tcBorders>
            <w:shd w:color="auto" w:fill="auto" w:val="clear"/>
          </w:tcPr>
          <w:p>
            <w:pPr>
              <w:pStyle w:val="Contenidodelatabla"/>
              <w:spacing w:before="0" w:after="200"/>
              <w:jc w:val="center"/>
              <w:rPr>
                <w:rFonts w:ascii="Liberation Serif" w:hAnsi="Liberation Serif"/>
                <w:color w:val="000000"/>
                <w:sz w:val="24"/>
                <w:szCs w:val="24"/>
              </w:rPr>
            </w:pPr>
            <w:r>
              <w:rPr>
                <w:rFonts w:ascii="Liberation Serif" w:hAnsi="Liberation Serif"/>
                <w:color w:val="000000"/>
                <w:sz w:val="24"/>
                <w:szCs w:val="24"/>
              </w:rPr>
              <w:t>FIRMAS</w:t>
            </w:r>
          </w:p>
        </w:tc>
      </w:tr>
      <w:tr>
        <w:trPr/>
        <w:tc>
          <w:tcPr>
            <w:tcW w:w="4252" w:type="dxa"/>
            <w:tcBorders>
              <w:left w:val="single" w:sz="4" w:space="0" w:color="000000"/>
              <w:bottom w:val="single" w:sz="4" w:space="0" w:color="000000"/>
            </w:tcBorders>
            <w:shd w:color="auto" w:fill="auto" w:val="clear"/>
          </w:tcPr>
          <w:p>
            <w:pPr>
              <w:pStyle w:val="Contenidodelatabla"/>
              <w:spacing w:before="0" w:after="200"/>
              <w:jc w:val="center"/>
              <w:rPr>
                <w:rFonts w:ascii="Liberation Serif" w:hAnsi="Liberation Serif"/>
                <w:color w:val="000000"/>
                <w:sz w:val="24"/>
                <w:szCs w:val="24"/>
              </w:rPr>
            </w:pPr>
            <w:r>
              <w:rPr>
                <w:rFonts w:ascii="Liberation Serif" w:hAnsi="Liberation Serif"/>
                <w:color w:val="000000"/>
                <w:sz w:val="24"/>
                <w:szCs w:val="24"/>
              </w:rPr>
              <w:t>Investigación previa</w:t>
            </w:r>
          </w:p>
        </w:tc>
        <w:tc>
          <w:tcPr>
            <w:tcW w:w="4251" w:type="dxa"/>
            <w:tcBorders>
              <w:left w:val="single" w:sz="4" w:space="0" w:color="000000"/>
              <w:bottom w:val="single" w:sz="4" w:space="0" w:color="000000"/>
              <w:right w:val="single" w:sz="4" w:space="0" w:color="000000"/>
            </w:tcBorders>
            <w:shd w:color="auto" w:fill="auto" w:val="clear"/>
          </w:tcPr>
          <w:p>
            <w:pPr>
              <w:pStyle w:val="Contenidodelatabla"/>
              <w:spacing w:before="0" w:after="200"/>
              <w:jc w:val="center"/>
              <w:rPr/>
            </w:pPr>
            <w:r>
              <w:rPr>
                <w:rFonts w:ascii="Liberation Serif" w:hAnsi="Liberation Serif"/>
                <w:color w:val="000000"/>
                <w:sz w:val="24"/>
                <w:szCs w:val="24"/>
              </w:rPr>
              <w:t xml:space="preserve"> </w:t>
            </w:r>
            <w:bookmarkStart w:id="1" w:name="__DdeLink__1861_3921533877"/>
            <w:r>
              <w:rPr>
                <w:rFonts w:ascii="Liberation Serif" w:hAnsi="Liberation Serif"/>
                <w:color w:val="000000"/>
                <w:sz w:val="24"/>
                <w:szCs w:val="24"/>
              </w:rPr>
              <w:t>EJAO, SFB</w:t>
            </w:r>
            <w:bookmarkEnd w:id="1"/>
          </w:p>
        </w:tc>
      </w:tr>
      <w:tr>
        <w:trPr/>
        <w:tc>
          <w:tcPr>
            <w:tcW w:w="4252" w:type="dxa"/>
            <w:tcBorders>
              <w:left w:val="single" w:sz="4" w:space="0" w:color="000000"/>
              <w:bottom w:val="single" w:sz="4" w:space="0" w:color="000000"/>
            </w:tcBorders>
            <w:shd w:color="auto" w:fill="auto" w:val="clear"/>
          </w:tcPr>
          <w:p>
            <w:pPr>
              <w:pStyle w:val="Contenidodelatabla"/>
              <w:spacing w:before="0" w:after="200"/>
              <w:jc w:val="center"/>
              <w:rPr>
                <w:rFonts w:ascii="Liberation Serif" w:hAnsi="Liberation Serif"/>
                <w:color w:val="000000"/>
                <w:sz w:val="24"/>
                <w:szCs w:val="24"/>
              </w:rPr>
            </w:pPr>
            <w:r>
              <w:rPr>
                <w:rFonts w:ascii="Liberation Serif" w:hAnsi="Liberation Serif"/>
                <w:color w:val="000000"/>
                <w:sz w:val="24"/>
                <w:szCs w:val="24"/>
              </w:rPr>
              <w:t>Redacción de las respuestas</w:t>
            </w:r>
          </w:p>
        </w:tc>
        <w:tc>
          <w:tcPr>
            <w:tcW w:w="4251" w:type="dxa"/>
            <w:tcBorders>
              <w:left w:val="single" w:sz="4" w:space="0" w:color="000000"/>
              <w:bottom w:val="single" w:sz="4" w:space="0" w:color="000000"/>
              <w:right w:val="single" w:sz="4" w:space="0" w:color="000000"/>
            </w:tcBorders>
            <w:shd w:color="auto" w:fill="auto" w:val="clear"/>
          </w:tcPr>
          <w:p>
            <w:pPr>
              <w:pStyle w:val="Contenidodelatabla"/>
              <w:spacing w:before="0" w:after="200"/>
              <w:jc w:val="center"/>
              <w:rPr>
                <w:rFonts w:ascii="Liberation Serif" w:hAnsi="Liberation Serif"/>
                <w:color w:val="000000"/>
                <w:sz w:val="24"/>
                <w:szCs w:val="24"/>
              </w:rPr>
            </w:pPr>
            <w:r>
              <w:rPr>
                <w:rFonts w:ascii="Liberation Serif" w:hAnsi="Liberation Serif"/>
                <w:color w:val="000000"/>
                <w:sz w:val="24"/>
                <w:szCs w:val="24"/>
              </w:rPr>
              <w:t>EJAO, SFB</w:t>
            </w:r>
          </w:p>
        </w:tc>
      </w:tr>
      <w:tr>
        <w:trPr/>
        <w:tc>
          <w:tcPr>
            <w:tcW w:w="4252" w:type="dxa"/>
            <w:tcBorders>
              <w:left w:val="single" w:sz="4" w:space="0" w:color="000000"/>
              <w:bottom w:val="single" w:sz="4" w:space="0" w:color="000000"/>
            </w:tcBorders>
            <w:shd w:color="auto" w:fill="auto" w:val="clear"/>
          </w:tcPr>
          <w:p>
            <w:pPr>
              <w:pStyle w:val="Contenidodelatabla"/>
              <w:spacing w:before="0" w:after="200"/>
              <w:jc w:val="center"/>
              <w:rPr>
                <w:rFonts w:ascii="Liberation Serif" w:hAnsi="Liberation Serif"/>
                <w:color w:val="000000"/>
                <w:sz w:val="24"/>
                <w:szCs w:val="24"/>
              </w:rPr>
            </w:pPr>
            <w:r>
              <w:rPr>
                <w:rFonts w:ascii="Liberation Serif" w:hAnsi="Liberation Serif"/>
                <w:color w:val="000000"/>
                <w:sz w:val="24"/>
                <w:szCs w:val="24"/>
              </w:rPr>
              <w:t>Desarrollo del código</w:t>
            </w:r>
          </w:p>
        </w:tc>
        <w:tc>
          <w:tcPr>
            <w:tcW w:w="4251" w:type="dxa"/>
            <w:tcBorders>
              <w:left w:val="single" w:sz="4" w:space="0" w:color="000000"/>
              <w:bottom w:val="single" w:sz="4" w:space="0" w:color="000000"/>
              <w:right w:val="single" w:sz="4" w:space="0" w:color="000000"/>
            </w:tcBorders>
            <w:shd w:color="auto" w:fill="auto" w:val="clear"/>
          </w:tcPr>
          <w:p>
            <w:pPr>
              <w:pStyle w:val="Contenidodelatabla"/>
              <w:spacing w:before="0" w:after="200"/>
              <w:jc w:val="center"/>
              <w:rPr>
                <w:rFonts w:ascii="Liberation Serif" w:hAnsi="Liberation Serif"/>
                <w:color w:val="000000"/>
                <w:sz w:val="24"/>
                <w:szCs w:val="24"/>
              </w:rPr>
            </w:pPr>
            <w:r>
              <w:rPr>
                <w:rFonts w:ascii="Liberation Serif" w:hAnsi="Liberation Serif"/>
                <w:color w:val="000000"/>
                <w:sz w:val="24"/>
                <w:szCs w:val="24"/>
              </w:rPr>
              <w:t>EJAO, SFB</w:t>
            </w:r>
          </w:p>
        </w:tc>
      </w:tr>
    </w:tbl>
    <w:p>
      <w:pPr>
        <w:pStyle w:val="Normal"/>
        <w:shd w:val="clear" w:color="auto" w:fill="FFFFFF"/>
        <w:spacing w:lineRule="auto" w:line="240" w:before="240" w:after="240"/>
        <w:rPr/>
      </w:pPr>
      <w:r>
        <w:rPr/>
      </w:r>
    </w:p>
    <w:sectPr>
      <w:footerReference w:type="default" r:id="rId5"/>
      <w:type w:val="nextPage"/>
      <w:pgSz w:w="11906" w:h="16838"/>
      <w:pgMar w:left="1701" w:right="1701" w:header="0" w:top="1417" w:footer="1417" w:bottom="2770"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Segoe UI">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Autores:</w:t>
    </w:r>
  </w:p>
  <w:p>
    <w:pPr>
      <w:pStyle w:val="Piedepgina"/>
      <w:spacing w:before="0" w:after="200"/>
      <w:rPr/>
    </w:pPr>
    <w:r>
      <w:rPr/>
      <w:t>Enrique J. Andrés Orera</w:t>
      <w:br/>
      <w:t>Sergio Fernández Bertolín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Cs w:val="21"/>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200"/>
      <w:jc w:val="left"/>
    </w:pPr>
    <w:rPr>
      <w:rFonts w:ascii="Calibri" w:hAnsi="Calibri" w:eastAsia="Segoe UI" w:cs="Tahoma"/>
      <w:color w:val="auto"/>
      <w:kern w:val="0"/>
      <w:sz w:val="21"/>
      <w:szCs w:val="21"/>
      <w:lang w:val="es-ES" w:eastAsia="en-US" w:bidi="ar-SA"/>
    </w:rPr>
  </w:style>
  <w:style w:type="paragraph" w:styleId="Ttulo1">
    <w:name w:val="Heading 1"/>
    <w:basedOn w:val="Normal"/>
    <w:next w:val="Normal"/>
    <w:uiPriority w:val="9"/>
    <w:qFormat/>
    <w:pPr>
      <w:keepNext w:val="true"/>
      <w:keepLines/>
      <w:spacing w:lineRule="auto" w:line="240" w:before="360" w:after="40"/>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val="true"/>
      <w:keepLines/>
      <w:spacing w:lineRule="auto" w:line="240" w:before="80" w:after="0"/>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val="true"/>
      <w:keepLines/>
      <w:spacing w:lineRule="auto" w:line="240" w:before="80" w:after="0"/>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val="true"/>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val="true"/>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val="true"/>
      <w:keepLines/>
      <w:spacing w:before="40" w:after="0"/>
      <w:outlineLvl w:val="5"/>
    </w:pPr>
    <w:rPr>
      <w:rFonts w:ascii="Calibri Light" w:hAnsi="Calibri Light"/>
      <w:color w:val="70AD47"/>
    </w:rPr>
  </w:style>
  <w:style w:type="paragraph" w:styleId="Ttulo7">
    <w:name w:val="Heading 7"/>
    <w:basedOn w:val="Normal"/>
    <w:next w:val="Normal"/>
    <w:qFormat/>
    <w:pPr>
      <w:keepNext w:val="true"/>
      <w:keepLines/>
      <w:spacing w:before="40" w:after="0"/>
      <w:outlineLvl w:val="6"/>
    </w:pPr>
    <w:rPr>
      <w:rFonts w:ascii="Calibri Light" w:hAnsi="Calibri Light"/>
      <w:b/>
      <w:bCs/>
      <w:color w:val="70AD47"/>
    </w:rPr>
  </w:style>
  <w:style w:type="paragraph" w:styleId="Ttulo8">
    <w:name w:val="Heading 8"/>
    <w:basedOn w:val="Normal"/>
    <w:next w:val="Normal"/>
    <w:qFormat/>
    <w:pPr>
      <w:keepNext w:val="true"/>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val="true"/>
      <w:keepLines/>
      <w:spacing w:before="40" w:after="0"/>
      <w:outlineLvl w:val="8"/>
    </w:pPr>
    <w:rPr>
      <w:rFonts w:ascii="Calibri Light" w:hAnsi="Calibri Light"/>
      <w:i/>
      <w:iCs/>
      <w:color w:val="70AD47"/>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libri Light" w:hAnsi="Calibri Light" w:eastAsia="Segoe UI" w:cs="Tahoma"/>
      <w:color w:val="538135"/>
      <w:sz w:val="40"/>
      <w:szCs w:val="40"/>
    </w:rPr>
  </w:style>
  <w:style w:type="character" w:styleId="Ttulo2Car" w:customStyle="1">
    <w:name w:val="Título 2 Car"/>
    <w:basedOn w:val="DefaultParagraphFont"/>
    <w:qFormat/>
    <w:rPr>
      <w:rFonts w:ascii="Calibri Light" w:hAnsi="Calibri Light" w:eastAsia="Segoe UI" w:cs="Tahoma"/>
      <w:color w:val="538135"/>
      <w:sz w:val="28"/>
      <w:szCs w:val="28"/>
    </w:rPr>
  </w:style>
  <w:style w:type="character" w:styleId="Ttulo3Car" w:customStyle="1">
    <w:name w:val="Título 3 Car"/>
    <w:basedOn w:val="DefaultParagraphFont"/>
    <w:qFormat/>
    <w:rPr>
      <w:rFonts w:ascii="Calibri Light" w:hAnsi="Calibri Light" w:eastAsia="Segoe UI" w:cs="Tahoma"/>
      <w:color w:val="538135"/>
      <w:sz w:val="24"/>
      <w:szCs w:val="24"/>
    </w:rPr>
  </w:style>
  <w:style w:type="character" w:styleId="Ttulo4Car" w:customStyle="1">
    <w:name w:val="Título 4 Car"/>
    <w:basedOn w:val="DefaultParagraphFont"/>
    <w:qFormat/>
    <w:rPr>
      <w:rFonts w:ascii="Calibri Light" w:hAnsi="Calibri Light" w:eastAsia="Segoe UI" w:cs="Tahoma"/>
      <w:color w:val="70AD47"/>
      <w:sz w:val="22"/>
      <w:szCs w:val="22"/>
    </w:rPr>
  </w:style>
  <w:style w:type="character" w:styleId="Ttulo5Car" w:customStyle="1">
    <w:name w:val="Título 5 Car"/>
    <w:basedOn w:val="DefaultParagraphFont"/>
    <w:qFormat/>
    <w:rPr>
      <w:rFonts w:ascii="Calibri Light" w:hAnsi="Calibri Light" w:eastAsia="Segoe UI" w:cs="Tahoma"/>
      <w:i/>
      <w:iCs/>
      <w:color w:val="70AD47"/>
      <w:sz w:val="22"/>
      <w:szCs w:val="22"/>
    </w:rPr>
  </w:style>
  <w:style w:type="character" w:styleId="Ttulo6Car" w:customStyle="1">
    <w:name w:val="Título 6 Car"/>
    <w:basedOn w:val="DefaultParagraphFont"/>
    <w:qFormat/>
    <w:rPr>
      <w:rFonts w:ascii="Calibri Light" w:hAnsi="Calibri Light" w:eastAsia="Segoe UI" w:cs="Tahoma"/>
      <w:color w:val="70AD47"/>
    </w:rPr>
  </w:style>
  <w:style w:type="character" w:styleId="Ttulo7Car" w:customStyle="1">
    <w:name w:val="Título 7 Car"/>
    <w:basedOn w:val="DefaultParagraphFont"/>
    <w:qFormat/>
    <w:rPr>
      <w:rFonts w:ascii="Calibri Light" w:hAnsi="Calibri Light" w:eastAsia="Segoe UI" w:cs="Tahoma"/>
      <w:b/>
      <w:bCs/>
      <w:color w:val="70AD47"/>
    </w:rPr>
  </w:style>
  <w:style w:type="character" w:styleId="Ttulo8Car" w:customStyle="1">
    <w:name w:val="Título 8 Car"/>
    <w:basedOn w:val="DefaultParagraphFont"/>
    <w:qFormat/>
    <w:rPr>
      <w:rFonts w:ascii="Calibri Light" w:hAnsi="Calibri Light" w:eastAsia="Segoe UI" w:cs="Tahoma"/>
      <w:b/>
      <w:bCs/>
      <w:i/>
      <w:iCs/>
      <w:color w:val="70AD47"/>
      <w:sz w:val="20"/>
      <w:szCs w:val="20"/>
    </w:rPr>
  </w:style>
  <w:style w:type="character" w:styleId="Ttulo9Car" w:customStyle="1">
    <w:name w:val="Título 9 Car"/>
    <w:basedOn w:val="DefaultParagraphFont"/>
    <w:qFormat/>
    <w:rPr>
      <w:rFonts w:ascii="Calibri Light" w:hAnsi="Calibri Light" w:eastAsia="Segoe UI" w:cs="Tahoma"/>
      <w:i/>
      <w:iCs/>
      <w:color w:val="70AD47"/>
      <w:sz w:val="20"/>
      <w:szCs w:val="20"/>
    </w:rPr>
  </w:style>
  <w:style w:type="character" w:styleId="TtuloCar" w:customStyle="1">
    <w:name w:val="Título Car"/>
    <w:basedOn w:val="DefaultParagraphFont"/>
    <w:qFormat/>
    <w:rPr>
      <w:rFonts w:ascii="Calibri Light" w:hAnsi="Calibri Light" w:eastAsia="Segoe UI" w:cs="Tahoma"/>
      <w:color w:val="262626"/>
      <w:spacing w:val="-15"/>
      <w:sz w:val="96"/>
      <w:szCs w:val="96"/>
    </w:rPr>
  </w:style>
  <w:style w:type="character" w:styleId="SubttuloCar" w:customStyle="1">
    <w:name w:val="Subtítulo Car"/>
    <w:basedOn w:val="DefaultParagraphFont"/>
    <w:qFormat/>
    <w:rPr>
      <w:rFonts w:ascii="Calibri Light" w:hAnsi="Calibri Light" w:eastAsia="Segoe UI" w:cs="Tahoma"/>
      <w:sz w:val="30"/>
      <w:szCs w:val="30"/>
    </w:rPr>
  </w:style>
  <w:style w:type="character" w:styleId="Strong">
    <w:name w:val="Strong"/>
    <w:basedOn w:val="DefaultParagraphFont"/>
    <w:qFormat/>
    <w:rPr>
      <w:b/>
      <w:bCs/>
    </w:rPr>
  </w:style>
  <w:style w:type="character" w:styleId="Destacado" w:customStyle="1">
    <w:name w:val="Destacado"/>
    <w:basedOn w:val="DefaultParagraphFont"/>
    <w:qFormat/>
    <w:rPr>
      <w:i/>
      <w:iCs/>
      <w:color w:val="70AD47"/>
    </w:rPr>
  </w:style>
  <w:style w:type="character" w:styleId="CitaCar" w:customStyle="1">
    <w:name w:val="Cita Car"/>
    <w:basedOn w:val="DefaultParagraphFont"/>
    <w:qFormat/>
    <w:rPr>
      <w:i/>
      <w:iCs/>
      <w:color w:val="262626"/>
    </w:rPr>
  </w:style>
  <w:style w:type="character" w:styleId="CitadestacadaCar" w:customStyle="1">
    <w:name w:val="Cita destacada Car"/>
    <w:basedOn w:val="DefaultParagraphFont"/>
    <w:qFormat/>
    <w:rPr>
      <w:rFonts w:ascii="Calibri Light" w:hAnsi="Calibri Light" w:eastAsia="Segoe UI" w:cs="Tahoma"/>
      <w:i/>
      <w:iCs/>
      <w:color w:val="70AD47"/>
      <w:sz w:val="32"/>
      <w:szCs w:val="32"/>
    </w:rPr>
  </w:style>
  <w:style w:type="character" w:styleId="SubtleEmphasis">
    <w:name w:val="Subtle Emphasis"/>
    <w:basedOn w:val="DefaultParagraphFont"/>
    <w:qFormat/>
    <w:rPr>
      <w:i/>
      <w:iCs/>
    </w:rPr>
  </w:style>
  <w:style w:type="character" w:styleId="IntenseEmphasis">
    <w:name w:val="Intense Emphasis"/>
    <w:basedOn w:val="DefaultParagraphFont"/>
    <w:qFormat/>
    <w:rPr>
      <w:b/>
      <w:bCs/>
      <w:i/>
      <w:iCs/>
    </w:rPr>
  </w:style>
  <w:style w:type="character" w:styleId="SubtleReference">
    <w:name w:val="Subtle Reference"/>
    <w:basedOn w:val="DefaultParagraphFont"/>
    <w:qFormat/>
    <w:rPr>
      <w:smallCaps/>
      <w:color w:val="595959"/>
    </w:rPr>
  </w:style>
  <w:style w:type="character" w:styleId="IntenseReference">
    <w:name w:val="Intense Reference"/>
    <w:basedOn w:val="DefaultParagraphFont"/>
    <w:qFormat/>
    <w:rPr>
      <w:b/>
      <w:bCs/>
      <w:smallCaps/>
      <w:color w:val="70AD47"/>
    </w:rPr>
  </w:style>
  <w:style w:type="character" w:styleId="BookTitle">
    <w:name w:val="Book Title"/>
    <w:basedOn w:val="DefaultParagraphFont"/>
    <w:qFormat/>
    <w:rPr>
      <w:b/>
      <w:bCs/>
      <w:smallCaps/>
      <w:spacing w:val="7"/>
      <w:sz w:val="21"/>
      <w:szCs w:val="21"/>
    </w:rPr>
  </w:style>
  <w:style w:type="character" w:styleId="Plc" w:customStyle="1">
    <w:name w:val="pl-c"/>
    <w:basedOn w:val="DefaultParagraphFont"/>
    <w:qFormat/>
    <w:rPr/>
  </w:style>
  <w:style w:type="character" w:styleId="Pls" w:customStyle="1">
    <w:name w:val="pl-s"/>
    <w:basedOn w:val="DefaultParagraphFont"/>
    <w:qFormat/>
    <w:rPr/>
  </w:style>
  <w:style w:type="character" w:styleId="Plk" w:customStyle="1">
    <w:name w:val="pl-k"/>
    <w:basedOn w:val="DefaultParagraphFont"/>
    <w:qFormat/>
    <w:rPr/>
  </w:style>
  <w:style w:type="character" w:styleId="Pls1" w:customStyle="1">
    <w:name w:val="pl-s1"/>
    <w:basedOn w:val="DefaultParagraphFont"/>
    <w:qFormat/>
    <w:rPr/>
  </w:style>
  <w:style w:type="character" w:styleId="Plv" w:customStyle="1">
    <w:name w:val="pl-v"/>
    <w:basedOn w:val="DefaultParagraphFont"/>
    <w:qFormat/>
    <w:rPr/>
  </w:style>
  <w:style w:type="character" w:styleId="Plen" w:customStyle="1">
    <w:name w:val="pl-en"/>
    <w:basedOn w:val="DefaultParagraphFont"/>
    <w:qFormat/>
    <w:rPr/>
  </w:style>
  <w:style w:type="character" w:styleId="Plc1" w:customStyle="1">
    <w:name w:val="pl-c1"/>
    <w:basedOn w:val="DefaultParagraphFont"/>
    <w:qFormat/>
    <w:rPr/>
  </w:style>
  <w:style w:type="character" w:styleId="EnlacedeInternet">
    <w:name w:val="Enlace de Internet"/>
    <w:basedOn w:val="DefaultParagraphFont"/>
    <w:uiPriority w:val="99"/>
    <w:unhideWhenUsed/>
    <w:rsid w:val="0084329f"/>
    <w:rPr>
      <w:color w:val="0563C1" w:themeColor="hyperlink"/>
      <w:u w:val="single"/>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EncabezadoCar" w:customStyle="1">
    <w:name w:val="Encabezado Car"/>
    <w:basedOn w:val="DefaultParagraphFont"/>
    <w:link w:val="Encabezado"/>
    <w:uiPriority w:val="99"/>
    <w:qFormat/>
    <w:rsid w:val="008f1e35"/>
    <w:rPr>
      <w:sz w:val="21"/>
    </w:rPr>
  </w:style>
  <w:style w:type="character" w:styleId="UnresolvedMention">
    <w:name w:val="Unresolved Mention"/>
    <w:basedOn w:val="DefaultParagraphFont"/>
    <w:uiPriority w:val="99"/>
    <w:semiHidden/>
    <w:unhideWhenUsed/>
    <w:qFormat/>
    <w:rsid w:val="0084329f"/>
    <w:rPr>
      <w:color w:val="605E5C"/>
      <w:shd w:fill="E1DFDD" w:val="clear"/>
    </w:rPr>
  </w:style>
  <w:style w:type="character" w:styleId="HTMLconformatoprevioCar" w:customStyle="1">
    <w:name w:val="HTML con formato previo Car"/>
    <w:basedOn w:val="DefaultParagraphFont"/>
    <w:link w:val="HTMLconformatoprevio"/>
    <w:uiPriority w:val="99"/>
    <w:semiHidden/>
    <w:qFormat/>
    <w:rsid w:val="00104997"/>
    <w:rPr>
      <w:rFonts w:ascii="Courier New" w:hAnsi="Courier New" w:eastAsia="Times New Roman" w:cs="Courier New"/>
      <w:szCs w:val="20"/>
      <w:lang w:eastAsia="es-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uiPriority w:val="10"/>
    <w:qFormat/>
    <w:pPr>
      <w:spacing w:lineRule="auto" w:line="240" w:before="0" w:after="0"/>
      <w:contextualSpacing/>
    </w:pPr>
    <w:rPr>
      <w:rFonts w:ascii="Calibri Light" w:hAnsi="Calibri Light"/>
      <w:color w:val="262626"/>
      <w:spacing w:val="-15"/>
      <w:sz w:val="96"/>
      <w:szCs w:val="96"/>
    </w:rPr>
  </w:style>
  <w:style w:type="paragraph" w:styleId="Caption">
    <w:name w:val="caption"/>
    <w:basedOn w:val="Normal"/>
    <w:next w:val="Normal"/>
    <w:qFormat/>
    <w:pPr>
      <w:spacing w:lineRule="auto" w:line="240"/>
    </w:pPr>
    <w:rPr>
      <w:b/>
      <w:bCs/>
      <w:smallCaps/>
      <w:color w:val="595959"/>
    </w:rPr>
  </w:style>
  <w:style w:type="paragraph" w:styleId="Subttulo">
    <w:name w:val="Subtitle"/>
    <w:basedOn w:val="Normal"/>
    <w:next w:val="Normal"/>
    <w:uiPriority w:val="11"/>
    <w:qFormat/>
    <w:pPr>
      <w:spacing w:lineRule="auto" w:line="240"/>
    </w:pPr>
    <w:rPr>
      <w:rFonts w:ascii="Calibri Light" w:hAnsi="Calibri Light"/>
      <w:sz w:val="30"/>
      <w:szCs w:val="30"/>
    </w:rPr>
  </w:style>
  <w:style w:type="paragraph" w:styleId="NoSpacing">
    <w:name w:val="No Spacing"/>
    <w:qFormat/>
    <w:pPr>
      <w:widowControl/>
      <w:bidi w:val="0"/>
      <w:spacing w:before="0" w:after="0"/>
      <w:jc w:val="left"/>
    </w:pPr>
    <w:rPr>
      <w:rFonts w:ascii="Calibri" w:hAnsi="Calibri" w:eastAsia="Segoe UI" w:cs="Tahoma"/>
      <w:color w:val="auto"/>
      <w:kern w:val="0"/>
      <w:sz w:val="21"/>
      <w:szCs w:val="21"/>
      <w:lang w:val="es-ES" w:eastAsia="en-US" w:bidi="ar-SA"/>
    </w:rPr>
  </w:style>
  <w:style w:type="paragraph" w:styleId="Quote">
    <w:name w:val="Quote"/>
    <w:basedOn w:val="Normal"/>
    <w:next w:val="Normal"/>
    <w:qFormat/>
    <w:pPr>
      <w:spacing w:before="160" w:after="200"/>
      <w:ind w:left="720" w:right="720" w:hanging="0"/>
      <w:jc w:val="center"/>
    </w:pPr>
    <w:rPr>
      <w:i/>
      <w:iCs/>
      <w:color w:val="262626"/>
    </w:rPr>
  </w:style>
  <w:style w:type="paragraph" w:styleId="IntenseQuote">
    <w:name w:val="Intense Quote"/>
    <w:basedOn w:val="Normal"/>
    <w:next w:val="Normal"/>
    <w:qFormat/>
    <w:pPr>
      <w:spacing w:lineRule="auto" w:line="264" w:before="160" w:after="160"/>
      <w:ind w:left="720" w:right="720" w:hanging="0"/>
      <w:jc w:val="center"/>
    </w:pPr>
    <w:rPr>
      <w:rFonts w:ascii="Calibri Light" w:hAnsi="Calibri Light"/>
      <w:i/>
      <w:iCs/>
      <w:color w:val="70AD47"/>
      <w:sz w:val="32"/>
      <w:szCs w:val="32"/>
    </w:rPr>
  </w:style>
  <w:style w:type="paragraph" w:styleId="TOCHeading">
    <w:name w:val="TOC Heading"/>
    <w:basedOn w:val="Ttulo1"/>
    <w:next w:val="Normal"/>
    <w:qFormat/>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Notaalpie">
    <w:name w:val="Footnote Text"/>
    <w:basedOn w:val="Normal"/>
    <w:pPr>
      <w:suppressLineNumbers/>
      <w:ind w:left="339" w:hanging="339"/>
    </w:pPr>
    <w:rPr>
      <w:sz w:val="20"/>
      <w:szCs w:val="20"/>
    </w:rPr>
  </w:style>
  <w:style w:type="paragraph" w:styleId="Cabeceraypie" w:customStyle="1">
    <w:name w:val="Cabecera y pie"/>
    <w:basedOn w:val="Normal"/>
    <w:qFormat/>
    <w:pPr>
      <w:suppressLineNumbers/>
      <w:tabs>
        <w:tab w:val="clear" w:pos="708"/>
        <w:tab w:val="center" w:pos="4252" w:leader="none"/>
        <w:tab w:val="right" w:pos="8504" w:leader="none"/>
      </w:tabs>
    </w:pPr>
    <w:rPr/>
  </w:style>
  <w:style w:type="paragraph" w:styleId="Piedepgina">
    <w:name w:val="Footer"/>
    <w:basedOn w:val="Cabeceraypie"/>
    <w:pPr/>
    <w:rPr/>
  </w:style>
  <w:style w:type="paragraph" w:styleId="Cabecera">
    <w:name w:val="Header"/>
    <w:basedOn w:val="Normal"/>
    <w:link w:val="EncabezadoCar"/>
    <w:uiPriority w:val="99"/>
    <w:unhideWhenUsed/>
    <w:rsid w:val="008f1e35"/>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10499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dealista.com/" TargetMode="External"/><Relationship Id="rId3" Type="http://schemas.openxmlformats.org/officeDocument/2006/relationships/image" Target="media/image1.png"/><Relationship Id="rId4" Type="http://schemas.openxmlformats.org/officeDocument/2006/relationships/hyperlink" Target="https://creativecommons.org/licenses/by-nc-sa/4.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LibreOffice/6.3.5.2$Windows_X86_64 LibreOffice_project/dd0751754f11728f69b42ee2af66670068624673</Application>
  <Pages>24</Pages>
  <Words>2503</Words>
  <Characters>17888</Characters>
  <CharactersWithSpaces>21820</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2020-11-09T15:33:00Z</dcterms:created>
  <dc:creator>Sergio Fernández Bertolín</dc:creator>
  <dc:description/>
  <dc:language>es-ES</dc:language>
  <cp:lastModifiedBy/>
  <dcterms:modified xsi:type="dcterms:W3CDTF">2020-11-09T19:32:03Z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