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33B8" w14:textId="5086DF97" w:rsid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*QUANTION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13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F32ED4">
        <w:rPr>
          <w:rFonts w:ascii="Calibri" w:eastAsia="Times New Roman" w:hAnsi="Calibri" w:cs="Calibri"/>
          <w:color w:val="000000"/>
          <w:lang w:eastAsia="pt-BR"/>
        </w:rPr>
        <w:t>Multiminerais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16F6120E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D3085D" w14:textId="16E55ADD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>Multiminerais ionizados é um suplemento alimentar líquido que reúne os minerais e vitaminas necessári</w:t>
      </w:r>
      <w:r w:rsidR="007C06F3">
        <w:rPr>
          <w:rFonts w:ascii="Calibri" w:eastAsia="Times New Roman" w:hAnsi="Calibri" w:cs="Calibri"/>
          <w:color w:val="000000"/>
          <w:lang w:eastAsia="pt-BR"/>
        </w:rPr>
        <w:t>a</w:t>
      </w:r>
      <w:r w:rsidRPr="00F32ED4">
        <w:rPr>
          <w:rFonts w:ascii="Calibri" w:eastAsia="Times New Roman" w:hAnsi="Calibri" w:cs="Calibri"/>
          <w:color w:val="000000"/>
          <w:lang w:eastAsia="pt-BR"/>
        </w:rPr>
        <w:t>s para o bom funcionamento do nosso organismo.</w:t>
      </w:r>
    </w:p>
    <w:p w14:paraId="1EF4AEA1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DC1DF9" w14:textId="77777777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>O produto apresenta em sua formulação os minerais zinco, magnésio, cobre, selênio, fósforo, cromo, molibdênio e iodo em suas formas ionizadas, o que faz com que eles tenham uma maior biodisponibilidade, melhor absorção e melhor resposta biológica.</w:t>
      </w:r>
    </w:p>
    <w:p w14:paraId="367697E0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AD2B9C" w14:textId="77777777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>Além dos minerais, a formulação também apresenta as vitaminas do complexo B e a vitamina C. Juntos, esses nutrientes participam de diversos processos fisiológicos e metabólicos no organismo: </w:t>
      </w:r>
    </w:p>
    <w:p w14:paraId="546F0B90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1B71F2" w14:textId="68C3066E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A</w:t>
      </w:r>
      <w:r w:rsidRPr="00F32ED4">
        <w:rPr>
          <w:rFonts w:ascii="Calibri" w:eastAsia="Times New Roman" w:hAnsi="Calibri" w:cs="Calibri"/>
          <w:color w:val="000000"/>
          <w:lang w:eastAsia="pt-BR"/>
        </w:rPr>
        <w:t>uxílio no metabolismo de carboidratos, proteínas e gorduras; </w:t>
      </w:r>
    </w:p>
    <w:p w14:paraId="0EEF3A91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A68480" w14:textId="075AF180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P</w:t>
      </w:r>
      <w:r w:rsidRPr="00F32ED4">
        <w:rPr>
          <w:rFonts w:ascii="Calibri" w:eastAsia="Times New Roman" w:hAnsi="Calibri" w:cs="Calibri"/>
          <w:color w:val="000000"/>
          <w:lang w:eastAsia="pt-BR"/>
        </w:rPr>
        <w:t>rodução de energia para o dia a dia;</w:t>
      </w:r>
    </w:p>
    <w:p w14:paraId="3135E257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38F426" w14:textId="6A72DF23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F</w:t>
      </w:r>
      <w:r w:rsidRPr="00F32ED4">
        <w:rPr>
          <w:rFonts w:ascii="Calibri" w:eastAsia="Times New Roman" w:hAnsi="Calibri" w:cs="Calibri"/>
          <w:color w:val="000000"/>
          <w:lang w:eastAsia="pt-BR"/>
        </w:rPr>
        <w:t>ortalecimento do sistema imunológico e proteção contra doenças infecciosas;</w:t>
      </w:r>
    </w:p>
    <w:p w14:paraId="52FB601F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A36B18" w14:textId="671E2578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P</w:t>
      </w:r>
      <w:r w:rsidRPr="00F32ED4">
        <w:rPr>
          <w:rFonts w:ascii="Calibri" w:eastAsia="Times New Roman" w:hAnsi="Calibri" w:cs="Calibri"/>
          <w:color w:val="000000"/>
          <w:lang w:eastAsia="pt-BR"/>
        </w:rPr>
        <w:t>roteção contra os danos causados pelos radicais livres e envelhecimento precoce;</w:t>
      </w:r>
    </w:p>
    <w:p w14:paraId="6850256C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B898CB" w14:textId="5C71FBEB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F</w:t>
      </w:r>
      <w:r w:rsidRPr="00F32ED4">
        <w:rPr>
          <w:rFonts w:ascii="Calibri" w:eastAsia="Times New Roman" w:hAnsi="Calibri" w:cs="Calibri"/>
          <w:color w:val="000000"/>
          <w:lang w:eastAsia="pt-BR"/>
        </w:rPr>
        <w:t>ortalecimento das unhas e cabelos;</w:t>
      </w:r>
    </w:p>
    <w:p w14:paraId="75CA878C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BF03F6" w14:textId="1E850D4D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M</w:t>
      </w:r>
      <w:r w:rsidRPr="00F32ED4">
        <w:rPr>
          <w:rFonts w:ascii="Calibri" w:eastAsia="Times New Roman" w:hAnsi="Calibri" w:cs="Calibri"/>
          <w:color w:val="000000"/>
          <w:lang w:eastAsia="pt-BR"/>
        </w:rPr>
        <w:t>elhora da memória e das funções cognitivas; </w:t>
      </w:r>
    </w:p>
    <w:p w14:paraId="3C07E92E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896A72" w14:textId="71DEF65E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lang w:eastAsia="pt-BR"/>
        </w:rPr>
        <w:t>R</w:t>
      </w:r>
      <w:r w:rsidRPr="00F32ED4">
        <w:rPr>
          <w:rFonts w:ascii="Calibri" w:eastAsia="Times New Roman" w:hAnsi="Calibri" w:cs="Calibri"/>
          <w:color w:val="000000"/>
          <w:lang w:eastAsia="pt-BR"/>
        </w:rPr>
        <w:t>edução do estresse e da sensação de cansaço generalizado.</w:t>
      </w:r>
    </w:p>
    <w:p w14:paraId="30C55DFF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D93F18" w14:textId="77777777" w:rsidR="00F32ED4" w:rsidRPr="000B416F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75462801" w14:textId="77777777" w:rsidR="00F32ED4" w:rsidRPr="00F32ED4" w:rsidRDefault="00F32ED4" w:rsidP="00F32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79B5C3" w14:textId="5723156E" w:rsidR="00F32ED4" w:rsidRPr="00F32ED4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13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F32ED4">
        <w:rPr>
          <w:rFonts w:ascii="Calibri" w:eastAsia="Times New Roman" w:hAnsi="Calibri" w:cs="Calibri"/>
          <w:color w:val="000000"/>
          <w:lang w:eastAsia="pt-BR"/>
        </w:rPr>
        <w:t>Multiminerais ionizados 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F32ED4">
        <w:rPr>
          <w:rFonts w:ascii="Calibri" w:eastAsia="Times New Roman" w:hAnsi="Calibri" w:cs="Calibri"/>
          <w:color w:val="000000"/>
          <w:lang w:eastAsia="pt-BR"/>
        </w:rPr>
        <w:t>.</w:t>
      </w:r>
    </w:p>
    <w:p w14:paraId="3577D7F6" w14:textId="77777777" w:rsidR="00F32ED4" w:rsidRDefault="00F32ED4" w:rsidP="00F32ED4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BA51A3B" w14:textId="77777777" w:rsidR="00F32ED4" w:rsidRPr="00826350" w:rsidRDefault="00F32ED4" w:rsidP="00F32E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Recomendações de uso: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  administrar 18 gotas, duas vezes ao dia. Manter o líquido embaixo da língua e aguardar 2 minutos antes de engolir.</w:t>
      </w:r>
    </w:p>
    <w:p w14:paraId="17EC26A6" w14:textId="77777777" w:rsidR="00F32ED4" w:rsidRDefault="00F32ED4" w:rsidP="00F32ED4">
      <w:pPr>
        <w:rPr>
          <w:rFonts w:ascii="Calibri" w:eastAsia="Times New Roman" w:hAnsi="Calibri" w:cs="Calibri"/>
          <w:color w:val="000000"/>
          <w:lang w:eastAsia="pt-BR"/>
        </w:rPr>
      </w:pPr>
    </w:p>
    <w:p w14:paraId="59936048" w14:textId="77777777" w:rsidR="00F32ED4" w:rsidRDefault="00F32ED4" w:rsidP="00F32ED4">
      <w:pPr>
        <w:rPr>
          <w:rFonts w:ascii="Calibri" w:eastAsia="Times New Roman" w:hAnsi="Calibri" w:cs="Calibri"/>
          <w:color w:val="000000"/>
          <w:lang w:eastAsia="pt-BR"/>
        </w:rPr>
      </w:pPr>
    </w:p>
    <w:p w14:paraId="05E189EB" w14:textId="77777777" w:rsidR="00F32ED4" w:rsidRDefault="00F32ED4" w:rsidP="00F32ED4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3874B518" w14:textId="77777777" w:rsidR="00F32ED4" w:rsidRDefault="00F32ED4" w:rsidP="00F32ED4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1F1443A3" w14:textId="77777777" w:rsidR="000B1E63" w:rsidRDefault="007C06F3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4"/>
    <w:rsid w:val="00154759"/>
    <w:rsid w:val="007C06F3"/>
    <w:rsid w:val="00E73685"/>
    <w:rsid w:val="00F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3E1"/>
  <w15:chartTrackingRefBased/>
  <w15:docId w15:val="{5BE163E5-A26D-4B73-BCAD-A146E4A2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2</cp:revision>
  <dcterms:created xsi:type="dcterms:W3CDTF">2022-02-16T20:52:00Z</dcterms:created>
  <dcterms:modified xsi:type="dcterms:W3CDTF">2022-02-18T21:25:00Z</dcterms:modified>
</cp:coreProperties>
</file>