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3.png" ContentType="image/jpeg"/>
  <Override PartName="/word/media/image4.png" ContentType="image/jpeg"/>
  <Override PartName="/word/media/image5.png" ContentType="image/jpeg"/>
  <Override PartName="/word/media/image6.png" ContentType="image/jpeg"/>
  <Override PartName="/word/media/image7.png" ContentType="image/jpeg"/>
  <Override PartName="/word/media/image8.png" ContentType="image/jpeg"/>
  <Override PartName="/word/media/image9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>
      <w:pPr>
        <w:pStyle w:val="Title"/>
        <w:spacing w:before="1300"/>
        <w:jc w:val="center"/>
      </w:pPr>
      <w:r>
        <w:t>MANUAL DE USO</w:t>
      </w:r>
    </w:p>
    <w:p>
      <w:pPr>
        <w:pStyle w:val="Heading1"/>
        <w:jc w:val="center"/>
      </w:pPr>
      <w:r>
        <w:t>IRIS Production Guardian</w:t>
      </w:r>
    </w:p>
    <w:p>
      <w:pPr>
        <w:spacing w:after="140" w:line="259" w:lineRule="auto"/>
        <w:jc w:val="center"/>
      </w:pPr>
      <w:r>
        <w:rPr>
          <w:rFonts w:ascii="Helvetica Neue" w:hAnsi="Helvetica Neue"/>
          <w:b w:val="0"/>
          <w:sz w:val="28"/>
        </w:rPr>
        <w:t>Monitoramento da Production e investigação assistida por IA</w:t>
      </w:r>
    </w:p>
    <w:p>
      <w:pPr>
        <w:spacing w:after="140" w:line="259" w:lineRule="auto"/>
      </w:pPr>
      <w:r>
        <w:rPr>
          <w:rFonts w:ascii="Helvetica Neue" w:hAnsi="Helvetica Neue"/>
          <w:b w:val="0"/>
          <w:sz w:val="22"/>
        </w:rPr>
        <w:t>Este manual ensina a navegar pela aplicação, interpretar cada campo e usar o Investigator e o RAG Assistant. As capturas mostram o ambiente real em 12 de setembro de 2026; os números e as respostas podem mudar a cada consulta.</w:t>
      </w:r>
    </w:p>
    <w:p>
      <w:pPr>
        <w:spacing w:after="140" w:line="259" w:lineRule="auto"/>
      </w:pPr>
      <w:r>
        <w:rPr>
          <w:rFonts w:ascii="Helvetica Neue" w:hAnsi="Helvetica Neue"/>
          <w:b w:val="0"/>
          <w:sz w:val="22"/>
        </w:rPr>
        <w:t>O caminho de uso é Monitor → Investigator → RAG Assistant. Alterações operacionais, como iniciar a Production, são realizadas no Portal de Administração do IRIS.</w:t>
      </w:r>
    </w:p>
    <w:p>
      <w:pPr>
        <w:spacing w:after="140" w:line="259" w:lineRule="auto"/>
      </w:pPr>
      <w:r>
        <w:rPr>
          <w:rFonts w:ascii="Helvetica Neue" w:hAnsi="Helvetica Neue"/>
          <w:b/>
          <w:sz w:val="22"/>
        </w:rPr>
        <w:t>Edição 1 • 12 de setembro de 2026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48"/>
        <w:gridCol w:w="6912"/>
      </w:tblGrid>
      <w:tr>
        <w:trPr>
          <w:cantSplit/>
          <w:tblHeader/>
        </w:trPr>
        <w:tc>
          <w:tcPr>
            <w:tcW w:type="dxa" w:w="2448"/>
            <w:vAlign w:val="center"/>
            <w:shd w:fill="112075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/>
                <w:color w:val="FFFFFF"/>
                <w:sz w:val="20"/>
              </w:rPr>
              <w:t>Identificação</w:t>
            </w:r>
          </w:p>
        </w:tc>
        <w:tc>
          <w:tcPr>
            <w:tcW w:type="dxa" w:w="6912"/>
            <w:vAlign w:val="center"/>
            <w:shd w:fill="112075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/>
                <w:color w:val="FFFFFF"/>
                <w:sz w:val="20"/>
              </w:rPr>
              <w:t>Descrição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 w:val="0"/>
                <w:color w:val="000000"/>
                <w:sz w:val="20"/>
              </w:rPr>
              <w:t>Aplicação</w:t>
            </w:r>
          </w:p>
        </w:tc>
        <w:tc>
          <w:tcPr>
            <w:tcW w:type="dxa" w:w="6912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 w:val="0"/>
                <w:color w:val="000000"/>
                <w:sz w:val="20"/>
              </w:rPr>
              <w:t>IRIS Production Guardian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2F4F8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 w:val="0"/>
                <w:color w:val="000000"/>
                <w:sz w:val="20"/>
              </w:rPr>
              <w:t>Ambiente</w:t>
            </w:r>
          </w:p>
        </w:tc>
        <w:tc>
          <w:tcPr>
            <w:tcW w:type="dxa" w:w="6912"/>
            <w:vAlign w:val="center"/>
            <w:shd w:fill="F2F4F8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 w:val="0"/>
                <w:color w:val="000000"/>
                <w:sz w:val="20"/>
              </w:rPr>
              <w:t>Local • namespace GUARDIAN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 w:val="0"/>
                <w:color w:val="000000"/>
                <w:sz w:val="20"/>
              </w:rPr>
              <w:t>Público</w:t>
            </w:r>
          </w:p>
        </w:tc>
        <w:tc>
          <w:tcPr>
            <w:tcW w:type="dxa" w:w="6912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 w:val="0"/>
                <w:color w:val="000000"/>
                <w:sz w:val="20"/>
              </w:rPr>
              <w:t>Operadores, suporte e administradores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2F4F8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 w:val="0"/>
                <w:color w:val="000000"/>
                <w:sz w:val="20"/>
              </w:rPr>
              <w:t>Cobertura</w:t>
            </w:r>
          </w:p>
        </w:tc>
        <w:tc>
          <w:tcPr>
            <w:tcW w:type="dxa" w:w="6912"/>
            <w:vAlign w:val="center"/>
            <w:shd w:fill="F2F4F8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 w:val="0"/>
                <w:color w:val="000000"/>
                <w:sz w:val="20"/>
              </w:rPr>
              <w:t>Quatro telas, indicadores, campos de entrada, resultados, fontes e orientações para indisponibilidade</w:t>
            </w:r>
          </w:p>
        </w:tc>
      </w:tr>
    </w:tbl>
    <w:p>
      <w:pPr>
        <w:spacing w:after="140" w:line="259" w:lineRule="auto"/>
      </w:pPr>
      <w:r>
        <w:rPr>
          <w:rFonts w:ascii="Helvetica Neue" w:hAnsi="Helvetica Neue"/>
          <w:b w:val="0"/>
          <w:sz w:val="4"/>
        </w:rPr>
      </w:r>
    </w:p>
    <w:p>
      <w:pPr>
        <w:pStyle w:val="Heading2"/>
        <w:spacing w:before="120" w:after="160"/>
      </w:pPr>
      <w:r>
        <w:t>Como consultar</w:t>
      </w:r>
    </w:p>
    <w:p>
      <w:pPr>
        <w:spacing w:after="140" w:line="259" w:lineRule="auto"/>
      </w:pPr>
      <w:r>
        <w:rPr>
          <w:rFonts w:ascii="Helvetica Neue" w:hAnsi="Helvetica Neue"/>
          <w:b w:val="0"/>
          <w:sz w:val="22"/>
        </w:rPr>
        <w:t>Acesso e navegação: página 2. Monitor: páginas 3 a 5. Investigator: páginas 6 a 8. RAG Assistant: páginas 9 a 11. Roteiro operacional e referências: página 12.</w:t>
      </w:r>
    </w:p>
    <w:p>
      <w:r>
        <w:br w:type="page"/>
      </w:r>
    </w:p>
    <w:p>
      <w:pPr>
        <w:pStyle w:val="Heading1"/>
        <w:spacing w:before="120" w:after="160"/>
      </w:pPr>
      <w:r>
        <w:t>1 Acesso e navegação</w:t>
      </w:r>
    </w:p>
    <w:p>
      <w:pPr>
        <w:spacing w:after="140" w:line="259" w:lineRule="auto"/>
      </w:pPr>
      <w:r>
        <w:rPr>
          <w:rFonts w:ascii="Helvetica Neue" w:hAnsi="Helvetica Neue"/>
          <w:b w:val="0"/>
          <w:sz w:val="22"/>
        </w:rPr>
        <w:t>No computador em que o IRIS está publicado, abra o endereço abaixo. Se aparecer uma solicitação de login, use seu usuário autorizado do IRIS.</w:t>
      </w:r>
    </w:p>
    <w:p>
      <w:pPr>
        <w:spacing w:after="140" w:line="259" w:lineRule="auto"/>
      </w:pPr>
      <w:r>
        <w:rPr>
          <w:rFonts w:ascii="Helvetica Neue" w:hAnsi="Helvetica Neue"/>
          <w:b w:val="0"/>
          <w:sz w:val="20"/>
        </w:rPr>
        <w:t>http://localhost:53773/csp/guardian/Guardian.UI.MonitorPage.cls</w:t>
      </w:r>
    </w:p>
    <w:p>
      <w:pPr>
        <w:spacing w:after="140" w:line="259" w:lineRule="auto"/>
      </w:pPr>
      <w:r>
        <w:rPr>
          <w:rFonts w:ascii="Helvetica Neue" w:hAnsi="Helvetica Neue"/>
          <w:b w:val="0"/>
          <w:sz w:val="22"/>
        </w:rPr>
        <w:t>O endereço localhost se refere ao próprio computador. Em outra máquina, é necessário o endereço do servidor fornecido pelo administrador.</w:t>
      </w:r>
    </w:p>
    <w:p>
      <w:pPr>
        <w:keepNext/>
        <w:spacing w:after="60"/>
      </w:pPr>
      <w:r>
        <w:drawing>
          <wp:inline xmlns:a="http://schemas.openxmlformats.org/drawingml/2006/main" xmlns:pic="http://schemas.openxmlformats.org/drawingml/2006/picture">
            <wp:extent cx="1920240" cy="1390161"/>
            <wp:docPr id="1" name="Picture 1" descr="Figura 1. Opções do menu lateral. O resumo da Production aparece abaixo dela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monitor.png"/>
                    <pic:cNvPicPr/>
                  </pic:nvPicPr>
                  <pic:blipFill>
                    <a:blip r:embed="rId13"/>
                    <a:srcRect l="0" t="26200" r="82400" b="52000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3901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 w:line="259" w:lineRule="auto"/>
      </w:pPr>
      <w:r>
        <w:rPr>
          <w:rFonts w:ascii="Helvetica Neue" w:hAnsi="Helvetica Neue"/>
          <w:b w:val="0"/>
          <w:i/>
          <w:color w:val="606060"/>
          <w:sz w:val="18"/>
        </w:rPr>
        <w:t>Figura 1. Opções do menu lateral. O resumo da Production aparece abaixo delas.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48"/>
        <w:gridCol w:w="6912"/>
      </w:tblGrid>
      <w:tr>
        <w:trPr>
          <w:cantSplit/>
          <w:tblHeader/>
        </w:trPr>
        <w:tc>
          <w:tcPr>
            <w:tcW w:type="dxa" w:w="2448"/>
            <w:vAlign w:val="center"/>
            <w:shd w:fill="112075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/>
                <w:color w:val="FFFFFF"/>
                <w:sz w:val="20"/>
              </w:rPr>
              <w:t>Campo ou elemento</w:t>
            </w:r>
          </w:p>
        </w:tc>
        <w:tc>
          <w:tcPr>
            <w:tcW w:type="dxa" w:w="6912"/>
            <w:vAlign w:val="center"/>
            <w:shd w:fill="112075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/>
                <w:color w:val="FFFFFF"/>
                <w:sz w:val="20"/>
              </w:rPr>
              <w:t>O que representa e como usar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 w:val="0"/>
                <w:color w:val="000000"/>
                <w:sz w:val="20"/>
              </w:rPr>
              <w:t>Monitor</w:t>
            </w:r>
          </w:p>
        </w:tc>
        <w:tc>
          <w:tcPr>
            <w:tcW w:type="dxa" w:w="6912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 w:val="0"/>
                <w:color w:val="000000"/>
                <w:sz w:val="20"/>
              </w:rPr>
              <w:t>Abre a visão completa dos componentes, filas, mensagens e erros.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2F4F8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 w:val="0"/>
                <w:color w:val="000000"/>
                <w:sz w:val="20"/>
              </w:rPr>
              <w:t>Investigator</w:t>
            </w:r>
          </w:p>
        </w:tc>
        <w:tc>
          <w:tcPr>
            <w:tcW w:type="dxa" w:w="6912"/>
            <w:vAlign w:val="center"/>
            <w:shd w:fill="F2F4F8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 w:val="0"/>
                <w:color w:val="000000"/>
                <w:sz w:val="20"/>
              </w:rPr>
              <w:t>Abre o formulário para investigar um componente em uma janela de tempo.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 w:val="0"/>
                <w:color w:val="000000"/>
                <w:sz w:val="20"/>
              </w:rPr>
              <w:t>RAG Assistant (Gemini)</w:t>
            </w:r>
          </w:p>
        </w:tc>
        <w:tc>
          <w:tcPr>
            <w:tcW w:type="dxa" w:w="6912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 w:val="0"/>
                <w:color w:val="000000"/>
                <w:sz w:val="20"/>
              </w:rPr>
              <w:t>Consulta a documentação indexada e pode usar a última investigação como contexto.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2F4F8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 w:val="0"/>
                <w:color w:val="000000"/>
                <w:sz w:val="20"/>
              </w:rPr>
              <w:t>RAG Assistant (novo modelo)</w:t>
            </w:r>
          </w:p>
        </w:tc>
        <w:tc>
          <w:tcPr>
            <w:tcW w:type="dxa" w:w="6912"/>
            <w:vAlign w:val="center"/>
            <w:shd w:fill="F2F4F8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 w:val="0"/>
                <w:color w:val="000000"/>
                <w:sz w:val="20"/>
              </w:rPr>
              <w:t>Segunda interface de consulta. Nesta edição, usa o mesmo Gemini; não é um provedor alternativo ativo.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 w:val="0"/>
                <w:color w:val="000000"/>
                <w:sz w:val="20"/>
              </w:rPr>
              <w:t>Production Monitor lateral</w:t>
            </w:r>
          </w:p>
        </w:tc>
        <w:tc>
          <w:tcPr>
            <w:tcW w:type="dxa" w:w="6912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 w:val="0"/>
                <w:color w:val="000000"/>
                <w:sz w:val="20"/>
              </w:rPr>
              <w:t>Mostra o nome da Production, estado, horário de coleta e uma linha por componente.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2F4F8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 w:val="0"/>
                <w:color w:val="000000"/>
                <w:sz w:val="20"/>
              </w:rPr>
              <w:t>Ponto colorido e nome</w:t>
            </w:r>
          </w:p>
        </w:tc>
        <w:tc>
          <w:tcPr>
            <w:tcW w:type="dxa" w:w="6912"/>
            <w:vAlign w:val="center"/>
            <w:shd w:fill="F2F4F8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 w:val="0"/>
                <w:color w:val="000000"/>
                <w:sz w:val="20"/>
              </w:rPr>
              <w:t>A cor resume a saúde. Nomes longos podem aparecer cortados; passe o ponteiro sobre o nome para ver o completo.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 w:val="0"/>
                <w:color w:val="000000"/>
                <w:sz w:val="20"/>
              </w:rPr>
              <w:t>Ver detalhes completos</w:t>
            </w:r>
          </w:p>
        </w:tc>
        <w:tc>
          <w:tcPr>
            <w:tcW w:type="dxa" w:w="6912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 w:val="0"/>
                <w:color w:val="000000"/>
                <w:sz w:val="20"/>
              </w:rPr>
              <w:t>Retorna à tela Monitor.</w:t>
            </w:r>
          </w:p>
        </w:tc>
      </w:tr>
    </w:tbl>
    <w:p>
      <w:pPr>
        <w:spacing w:after="140" w:line="259" w:lineRule="auto"/>
      </w:pPr>
      <w:r>
        <w:rPr>
          <w:rFonts w:ascii="Helvetica Neue" w:hAnsi="Helvetica Neue"/>
          <w:b w:val="0"/>
          <w:sz w:val="4"/>
        </w:rPr>
      </w:r>
    </w:p>
    <w:p>
      <w:r>
        <w:br w:type="page"/>
      </w:r>
    </w:p>
    <w:p>
      <w:pPr>
        <w:pStyle w:val="Heading1"/>
        <w:spacing w:before="120" w:after="160"/>
      </w:pPr>
      <w:r>
        <w:t>2 Visão geral do Monitor</w:t>
      </w:r>
    </w:p>
    <w:p>
      <w:pPr>
        <w:keepNext/>
        <w:spacing w:after="60"/>
      </w:pPr>
      <w:r>
        <w:drawing>
          <wp:inline xmlns:a="http://schemas.openxmlformats.org/drawingml/2006/main" xmlns:pic="http://schemas.openxmlformats.org/drawingml/2006/picture">
            <wp:extent cx="5943600" cy="2997962"/>
            <wp:docPr id="2" name="Picture 2" descr="Figura 2. Monitor real com a Production em estado Com problema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monitor.png"/>
                    <pic:cNvPicPr/>
                  </pic:nvPicPr>
                  <pic:blipFill>
                    <a:blip r:embed="rId13"/>
                    <a:srcRect l="0" t="1370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9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 w:line="259" w:lineRule="auto"/>
      </w:pPr>
      <w:r>
        <w:rPr>
          <w:rFonts w:ascii="Helvetica Neue" w:hAnsi="Helvetica Neue"/>
          <w:b w:val="0"/>
          <w:i/>
          <w:color w:val="606060"/>
          <w:sz w:val="18"/>
        </w:rPr>
        <w:t>Figura 2. Monitor real com a Production em estado Com problema.</w:t>
      </w:r>
    </w:p>
    <w:p>
      <w:pPr>
        <w:spacing w:after="140" w:line="259" w:lineRule="auto"/>
      </w:pPr>
      <w:r>
        <w:rPr>
          <w:rFonts w:ascii="Helvetica Neue" w:hAnsi="Helvetica Neue"/>
          <w:b w:val="0"/>
          <w:sz w:val="22"/>
        </w:rPr>
        <w:t>Leia a tela da esquerda para a direita: entrada de mensagens, processamento e saída. Cada cartão representa um componente configurado, também chamado de host. Neste contexto, host não significa necessariamente um servidor físico.</w:t>
      </w:r>
    </w:p>
    <w:p>
      <w:pPr>
        <w:pStyle w:val="Heading2"/>
        <w:spacing w:before="120" w:after="160"/>
      </w:pPr>
      <w:r>
        <w:t>Como ler o exemplo</w:t>
      </w:r>
    </w:p>
    <w:p>
      <w:pPr>
        <w:spacing w:after="140" w:line="259" w:lineRule="auto"/>
      </w:pPr>
      <w:r>
        <w:rPr>
          <w:rFonts w:ascii="Helvetica Neue" w:hAnsi="Helvetica Neue"/>
          <w:b w:val="0"/>
          <w:sz w:val="22"/>
        </w:rPr>
        <w:t>Na captura, FileIncidentService tem 17 mensagens; IncidentRouterProcess, 53; FileOutputOperation, 26; PriorityOutputOperation, 10. Todas as filas e os contadores de erros recentes estão zerados. Ainda assim, todos os cartões estão unavailable porque a Production monitorada não está em execução normal.</w:t>
      </w:r>
    </w:p>
    <w:p>
      <w:pPr>
        <w:spacing w:after="140" w:line="259" w:lineRule="auto"/>
      </w:pPr>
      <w:r>
        <w:rPr>
          <w:rFonts w:ascii="Helvetica Neue" w:hAnsi="Helvetica Neue"/>
          <w:b w:val="0"/>
          <w:sz w:val="22"/>
        </w:rPr>
        <w:t>Essas contagens não devem ser somadas para obter o número de incidentes. Uma mensagem participa de mais de um componente, e o histórico pode incluir respostas entre eles.</w:t>
      </w:r>
    </w:p>
    <w:p>
      <w:pPr>
        <w:spacing w:after="140" w:line="259" w:lineRule="auto"/>
      </w:pPr>
      <w:r>
        <w:rPr>
          <w:rFonts w:ascii="Helvetica Neue" w:hAnsi="Helvetica Neue"/>
          <w:b w:val="0"/>
          <w:sz w:val="22"/>
        </w:rPr>
        <w:t>O Monitor atualiza a cada 10 segundos. A barra lateral das outras telas é coletada quando a página é carregada; ela não é atualizada continuamente enquanto você lê uma análise longa.</w:t>
      </w:r>
    </w:p>
    <w:p>
      <w:r>
        <w:br w:type="page"/>
      </w:r>
    </w:p>
    <w:p>
      <w:pPr>
        <w:pStyle w:val="Heading1"/>
        <w:spacing w:before="120" w:after="160"/>
      </w:pPr>
      <w:r>
        <w:t>3 Campos e indicadores do Monitor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48"/>
        <w:gridCol w:w="6912"/>
      </w:tblGrid>
      <w:tr>
        <w:trPr>
          <w:cantSplit/>
          <w:tblHeader/>
        </w:trPr>
        <w:tc>
          <w:tcPr>
            <w:tcW w:type="dxa" w:w="2448"/>
            <w:vAlign w:val="center"/>
            <w:shd w:fill="112075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/>
                <w:color w:val="FFFFFF"/>
                <w:sz w:val="20"/>
              </w:rPr>
              <w:t>Campo ou elemento</w:t>
            </w:r>
          </w:p>
        </w:tc>
        <w:tc>
          <w:tcPr>
            <w:tcW w:type="dxa" w:w="6912"/>
            <w:vAlign w:val="center"/>
            <w:shd w:fill="112075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/>
                <w:color w:val="FFFFFF"/>
                <w:sz w:val="20"/>
              </w:rPr>
              <w:t>O que representa e como usar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 w:val="0"/>
                <w:color w:val="000000"/>
                <w:sz w:val="20"/>
              </w:rPr>
              <w:t>Production</w:t>
            </w:r>
          </w:p>
        </w:tc>
        <w:tc>
          <w:tcPr>
            <w:tcW w:type="dxa" w:w="6912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 w:val="0"/>
                <w:color w:val="000000"/>
                <w:sz w:val="20"/>
              </w:rPr>
              <w:t>Nome exato da Production acompanhada: Guardian.Production.GuardianProduction. Não existe seletor de Production nesta interface.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2F4F8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 w:val="0"/>
                <w:color w:val="000000"/>
                <w:sz w:val="20"/>
              </w:rPr>
              <w:t>Estado</w:t>
            </w:r>
          </w:p>
        </w:tc>
        <w:tc>
          <w:tcPr>
            <w:tcW w:type="dxa" w:w="6912"/>
            <w:vAlign w:val="center"/>
            <w:shd w:fill="F2F4F8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 w:val="0"/>
                <w:color w:val="000000"/>
                <w:sz w:val="20"/>
              </w:rPr>
              <w:t>Texto retornado pelo IRIS, como Com problema. Descreve a Production inteira; difere do selo de saúde de cada host.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 w:val="0"/>
                <w:color w:val="000000"/>
                <w:sz w:val="20"/>
              </w:rPr>
              <w:t>Coletado em</w:t>
            </w:r>
          </w:p>
        </w:tc>
        <w:tc>
          <w:tcPr>
            <w:tcW w:type="dxa" w:w="6912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 w:val="0"/>
                <w:color w:val="000000"/>
                <w:sz w:val="20"/>
              </w:rPr>
              <w:t>Data e hora do servidor IRIS em que os dados foram consultados. A interface não mostra o fuso nem faz conversão para o horário do navegador.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2F4F8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 w:val="0"/>
                <w:color w:val="000000"/>
                <w:sz w:val="20"/>
              </w:rPr>
              <w:t>Atualiza a cada 10s</w:t>
            </w:r>
          </w:p>
        </w:tc>
        <w:tc>
          <w:tcPr>
            <w:tcW w:type="dxa" w:w="6912"/>
            <w:vAlign w:val="center"/>
            <w:shd w:fill="F2F4F8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 w:val="0"/>
                <w:color w:val="000000"/>
                <w:sz w:val="20"/>
              </w:rPr>
              <w:t>Intervalo de recarregamento automático da tela principal do Monitor.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 w:val="0"/>
                <w:color w:val="000000"/>
                <w:sz w:val="20"/>
              </w:rPr>
              <w:t>Hosts de entrada (Service)</w:t>
            </w:r>
          </w:p>
        </w:tc>
        <w:tc>
          <w:tcPr>
            <w:tcW w:type="dxa" w:w="6912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 w:val="0"/>
                <w:color w:val="000000"/>
                <w:sz w:val="20"/>
              </w:rPr>
              <w:t>Componentes que recebem dados para iniciar o fluxo.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2F4F8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 w:val="0"/>
                <w:color w:val="000000"/>
                <w:sz w:val="20"/>
              </w:rPr>
              <w:t>Hosts de processamento (Process)</w:t>
            </w:r>
          </w:p>
        </w:tc>
        <w:tc>
          <w:tcPr>
            <w:tcW w:type="dxa" w:w="6912"/>
            <w:vAlign w:val="center"/>
            <w:shd w:fill="F2F4F8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 w:val="0"/>
                <w:color w:val="000000"/>
                <w:sz w:val="20"/>
              </w:rPr>
              <w:t>Componentes que tratam e encaminham as mensagens.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 w:val="0"/>
                <w:color w:val="000000"/>
                <w:sz w:val="20"/>
              </w:rPr>
              <w:t>Hosts de saída (Operation)</w:t>
            </w:r>
          </w:p>
        </w:tc>
        <w:tc>
          <w:tcPr>
            <w:tcW w:type="dxa" w:w="6912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 w:val="0"/>
                <w:color w:val="000000"/>
                <w:sz w:val="20"/>
              </w:rPr>
              <w:t>Componentes que entregam dados ao destino.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2F4F8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 w:val="0"/>
                <w:color w:val="000000"/>
                <w:sz w:val="20"/>
              </w:rPr>
              <w:t>Nome no cartão</w:t>
            </w:r>
          </w:p>
        </w:tc>
        <w:tc>
          <w:tcPr>
            <w:tcW w:type="dxa" w:w="6912"/>
            <w:vAlign w:val="center"/>
            <w:shd w:fill="F2F4F8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 w:val="0"/>
                <w:color w:val="000000"/>
                <w:sz w:val="20"/>
              </w:rPr>
              <w:t>Nome do item configurado na Production. Use o mesmo nome ao selecionar um componente no Investigator.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 w:val="0"/>
                <w:color w:val="000000"/>
                <w:sz w:val="20"/>
              </w:rPr>
              <w:t>Selo de saúde</w:t>
            </w:r>
          </w:p>
        </w:tc>
        <w:tc>
          <w:tcPr>
            <w:tcW w:type="dxa" w:w="6912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 w:val="0"/>
                <w:color w:val="000000"/>
                <w:sz w:val="20"/>
              </w:rPr>
              <w:t>Resultado das regras de unavailable, unknown, degraded e healthy, explicadas na próxima página.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2F4F8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 w:val="0"/>
                <w:color w:val="000000"/>
                <w:sz w:val="20"/>
              </w:rPr>
              <w:t>Fila</w:t>
            </w:r>
          </w:p>
        </w:tc>
        <w:tc>
          <w:tcPr>
            <w:tcW w:type="dxa" w:w="6912"/>
            <w:vAlign w:val="center"/>
            <w:shd w:fill="F2F4F8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 w:val="0"/>
                <w:color w:val="000000"/>
                <w:sz w:val="20"/>
              </w:rPr>
              <w:t>Quantidade pendente na fila consultada naquele instante. Zero não prova que todo processamento foi concluído com sucesso.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 w:val="0"/>
                <w:color w:val="000000"/>
                <w:sz w:val="20"/>
              </w:rPr>
              <w:t>Mensagens</w:t>
            </w:r>
          </w:p>
        </w:tc>
        <w:tc>
          <w:tcPr>
            <w:tcW w:type="dxa" w:w="6912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 w:val="0"/>
                <w:color w:val="000000"/>
                <w:sz w:val="20"/>
              </w:rPr>
              <w:t>Quantidade de cabeçalhos de mensagem ainda registrados em que o host aparece como origem ou destino. É histórico acumulado, não taxa nem total da janela do Investigator.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2F4F8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 w:val="0"/>
                <w:color w:val="000000"/>
                <w:sz w:val="20"/>
              </w:rPr>
              <w:t>Erros recentes</w:t>
            </w:r>
          </w:p>
        </w:tc>
        <w:tc>
          <w:tcPr>
            <w:tcW w:type="dxa" w:w="6912"/>
            <w:vAlign w:val="center"/>
            <w:shd w:fill="F2F4F8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 w:val="0"/>
                <w:color w:val="000000"/>
                <w:sz w:val="20"/>
              </w:rPr>
              <w:t>Quantidade de cabeçalhos com erro envolvendo o host e criados nos últimos 900 segundos, equivalentes a 15 minutos.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 w:val="0"/>
                <w:color w:val="000000"/>
                <w:sz w:val="20"/>
              </w:rPr>
              <w:t>Tendência de fila</w:t>
            </w:r>
          </w:p>
        </w:tc>
        <w:tc>
          <w:tcPr>
            <w:tcW w:type="dxa" w:w="6912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 w:val="0"/>
                <w:color w:val="000000"/>
                <w:sz w:val="20"/>
              </w:rPr>
              <w:t>Até 10 amostras persistidas, da mais antiga para a mais recente. Por exemplo, 7, 3, 0 indica redução da fila.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2F4F8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 w:val="0"/>
                <w:color w:val="000000"/>
                <w:sz w:val="20"/>
              </w:rPr>
              <w:t>Travado</w:t>
            </w:r>
          </w:p>
        </w:tc>
        <w:tc>
          <w:tcPr>
            <w:tcW w:type="dxa" w:w="6912"/>
            <w:vAlign w:val="center"/>
            <w:shd w:fill="F2F4F8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 w:val="0"/>
                <w:color w:val="000000"/>
                <w:sz w:val="20"/>
              </w:rPr>
              <w:t>Selo adicional: as últimas três amostras têm fila positiva e sem diminuir. Indica acúmulo; não confirma um processo do sistema operacional travado.</w:t>
            </w:r>
          </w:p>
        </w:tc>
      </w:tr>
    </w:tbl>
    <w:p>
      <w:pPr>
        <w:spacing w:after="140" w:line="259" w:lineRule="auto"/>
      </w:pPr>
      <w:r>
        <w:rPr>
          <w:rFonts w:ascii="Helvetica Neue" w:hAnsi="Helvetica Neue"/>
          <w:b w:val="0"/>
          <w:sz w:val="4"/>
        </w:rPr>
      </w:r>
    </w:p>
    <w:p>
      <w:pPr>
        <w:spacing w:after="140" w:line="259" w:lineRule="auto"/>
      </w:pPr>
      <w:r>
        <w:rPr>
          <w:rFonts w:ascii="Helvetica Neue" w:hAnsi="Helvetica Neue"/>
          <w:b w:val="0"/>
          <w:sz w:val="20"/>
        </w:rPr>
        <w:t>As amostras são gravadas quando o coletor é chamado. Uma navegação pode gerar mais de uma coleta; três amostras não equivalem obrigatoriamente a 30 segundos. Não há coletor independente agendado nesta versão.</w:t>
      </w:r>
    </w:p>
    <w:p>
      <w:r>
        <w:br w:type="page"/>
      </w:r>
    </w:p>
    <w:p>
      <w:pPr>
        <w:pStyle w:val="Heading1"/>
        <w:spacing w:before="120" w:after="160"/>
      </w:pPr>
      <w:r>
        <w:t>4 Estados e componentes do fluxo</w:t>
      </w:r>
    </w:p>
    <w:p>
      <w:pPr>
        <w:spacing w:after="140" w:line="259" w:lineRule="auto"/>
      </w:pPr>
      <w:r>
        <w:rPr>
          <w:rFonts w:ascii="Helvetica Neue" w:hAnsi="Helvetica Neue"/>
          <w:b w:val="0"/>
          <w:sz w:val="22"/>
        </w:rPr>
        <w:t>As regras são aplicadas nesta ordem. A primeira condição atendida determina o selo do cartão.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48"/>
        <w:gridCol w:w="6912"/>
      </w:tblGrid>
      <w:tr>
        <w:trPr>
          <w:cantSplit/>
          <w:tblHeader/>
        </w:trPr>
        <w:tc>
          <w:tcPr>
            <w:tcW w:type="dxa" w:w="2448"/>
            <w:vAlign w:val="center"/>
            <w:shd w:fill="112075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/>
                <w:color w:val="FFFFFF"/>
                <w:sz w:val="20"/>
              </w:rPr>
              <w:t>Estado</w:t>
            </w:r>
          </w:p>
        </w:tc>
        <w:tc>
          <w:tcPr>
            <w:tcW w:type="dxa" w:w="6912"/>
            <w:vAlign w:val="center"/>
            <w:shd w:fill="112075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/>
                <w:color w:val="FFFFFF"/>
                <w:sz w:val="20"/>
              </w:rPr>
              <w:t>Regra e interpretação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 w:val="0"/>
                <w:color w:val="000000"/>
                <w:sz w:val="20"/>
              </w:rPr>
              <w:t>1 unavailable</w:t>
            </w:r>
          </w:p>
        </w:tc>
        <w:tc>
          <w:tcPr>
            <w:tcW w:type="dxa" w:w="6912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 w:val="0"/>
                <w:color w:val="000000"/>
                <w:sz w:val="20"/>
              </w:rPr>
              <w:t>A Production esperada não está em execução ou o componente está desabilitado. Verifique primeiro o estado geral e depois a configuração do host.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2F4F8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 w:val="0"/>
                <w:color w:val="000000"/>
                <w:sz w:val="20"/>
              </w:rPr>
              <w:t>2 unknown</w:t>
            </w:r>
          </w:p>
        </w:tc>
        <w:tc>
          <w:tcPr>
            <w:tcW w:type="dxa" w:w="6912"/>
            <w:vAlign w:val="center"/>
            <w:shd w:fill="F2F4F8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 w:val="0"/>
                <w:color w:val="000000"/>
                <w:sz w:val="20"/>
              </w:rPr>
              <w:t>Production em execução e host habilitado, mas sem mensagens no histórico disponível. Ainda não há base de tráfego para classificá-lo como saudável.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 w:val="0"/>
                <w:color w:val="000000"/>
                <w:sz w:val="20"/>
              </w:rPr>
              <w:t>3 degraded</w:t>
            </w:r>
          </w:p>
        </w:tc>
        <w:tc>
          <w:tcPr>
            <w:tcW w:type="dxa" w:w="6912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 w:val="0"/>
                <w:color w:val="000000"/>
                <w:sz w:val="20"/>
              </w:rPr>
              <w:t>Host habilitado, Production em execução e histórico existente; há fila positiva ou erro nos últimos 15 minutos.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2F4F8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 w:val="0"/>
                <w:color w:val="000000"/>
                <w:sz w:val="20"/>
              </w:rPr>
              <w:t>4 healthy</w:t>
            </w:r>
          </w:p>
        </w:tc>
        <w:tc>
          <w:tcPr>
            <w:tcW w:type="dxa" w:w="6912"/>
            <w:vAlign w:val="center"/>
            <w:shd w:fill="F2F4F8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 w:val="0"/>
                <w:color w:val="000000"/>
                <w:sz w:val="20"/>
              </w:rPr>
              <w:t>Host habilitado, Production em execução, histórico existente, fila zerada e nenhum erro recente.</w:t>
            </w:r>
          </w:p>
        </w:tc>
      </w:tr>
    </w:tbl>
    <w:p>
      <w:pPr>
        <w:spacing w:after="140" w:line="259" w:lineRule="auto"/>
      </w:pPr>
      <w:r>
        <w:rPr>
          <w:rFonts w:ascii="Helvetica Neue" w:hAnsi="Helvetica Neue"/>
          <w:b w:val="0"/>
          <w:sz w:val="4"/>
        </w:rPr>
      </w:r>
    </w:p>
    <w:p>
      <w:pPr>
        <w:spacing w:after="140" w:line="259" w:lineRule="auto"/>
      </w:pPr>
      <w:r>
        <w:rPr>
          <w:rFonts w:ascii="Helvetica Neue" w:hAnsi="Helvetica Neue"/>
          <w:b w:val="0"/>
          <w:sz w:val="22"/>
        </w:rPr>
        <w:t>Um erro já resolvido pode manter degraded até sair da janela de 15 minutos. O selo não prova uma falha ativa. Da mesma forma, healthy não é uma verificação direta de todos os processos e destinos externos.</w:t>
      </w:r>
    </w:p>
    <w:p>
      <w:pPr>
        <w:pStyle w:val="Heading2"/>
        <w:spacing w:before="120" w:after="160"/>
      </w:pPr>
      <w:r>
        <w:t>O papel dos quatro componentes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48"/>
        <w:gridCol w:w="6912"/>
      </w:tblGrid>
      <w:tr>
        <w:trPr>
          <w:cantSplit/>
          <w:tblHeader/>
        </w:trPr>
        <w:tc>
          <w:tcPr>
            <w:tcW w:type="dxa" w:w="2448"/>
            <w:vAlign w:val="center"/>
            <w:shd w:fill="112075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/>
                <w:color w:val="FFFFFF"/>
                <w:sz w:val="20"/>
              </w:rPr>
              <w:t>Nome abreviado</w:t>
            </w:r>
          </w:p>
        </w:tc>
        <w:tc>
          <w:tcPr>
            <w:tcW w:type="dxa" w:w="6912"/>
            <w:vAlign w:val="center"/>
            <w:shd w:fill="112075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/>
                <w:color w:val="FFFFFF"/>
                <w:sz w:val="20"/>
              </w:rPr>
              <w:t>Função na definição do projeto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 w:val="0"/>
                <w:color w:val="000000"/>
                <w:sz w:val="20"/>
              </w:rPr>
              <w:t>FileIncidentService</w:t>
            </w:r>
          </w:p>
        </w:tc>
        <w:tc>
          <w:tcPr>
            <w:tcW w:type="dxa" w:w="6912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 w:val="0"/>
                <w:color w:val="000000"/>
                <w:sz w:val="20"/>
              </w:rPr>
              <w:t>Recebe arquivos .txt em /durable/guardian/in e usa /durable/guardian/archive para arquivamento.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2F4F8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 w:val="0"/>
                <w:color w:val="000000"/>
                <w:sz w:val="20"/>
              </w:rPr>
              <w:t>IncidentRouterProcess</w:t>
            </w:r>
          </w:p>
        </w:tc>
        <w:tc>
          <w:tcPr>
            <w:tcW w:type="dxa" w:w="6912"/>
            <w:vAlign w:val="center"/>
            <w:shd w:fill="F2F4F8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 w:val="0"/>
                <w:color w:val="000000"/>
                <w:sz w:val="20"/>
              </w:rPr>
              <w:t>Trata a mensagem de incidente e aplica a regra de roteamento por severidade.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 w:val="0"/>
                <w:color w:val="000000"/>
                <w:sz w:val="20"/>
              </w:rPr>
              <w:t>FileOutputOperation</w:t>
            </w:r>
          </w:p>
        </w:tc>
        <w:tc>
          <w:tcPr>
            <w:tcW w:type="dxa" w:w="6912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 w:val="0"/>
                <w:color w:val="000000"/>
                <w:sz w:val="20"/>
              </w:rPr>
              <w:t>Grava a saída normal em /durable/guardian/out.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2F4F8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 w:val="0"/>
                <w:color w:val="000000"/>
                <w:sz w:val="20"/>
              </w:rPr>
              <w:t>PriorityOutputOperation</w:t>
            </w:r>
          </w:p>
        </w:tc>
        <w:tc>
          <w:tcPr>
            <w:tcW w:type="dxa" w:w="6912"/>
            <w:vAlign w:val="center"/>
            <w:shd w:fill="F2F4F8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 w:val="0"/>
                <w:color w:val="000000"/>
                <w:sz w:val="20"/>
              </w:rPr>
              <w:t>Grava a saída priorizada em /durable/guardian/out_priority. Na regra do projeto, recebe MEDIUM, HIGH e CRITICAL; os demais valores seguem para a saída normal.</w:t>
            </w:r>
          </w:p>
        </w:tc>
      </w:tr>
    </w:tbl>
    <w:p>
      <w:pPr>
        <w:spacing w:after="140" w:line="259" w:lineRule="auto"/>
      </w:pPr>
      <w:r>
        <w:rPr>
          <w:rFonts w:ascii="Helvetica Neue" w:hAnsi="Helvetica Neue"/>
          <w:b w:val="0"/>
          <w:sz w:val="4"/>
        </w:rPr>
      </w:r>
    </w:p>
    <w:p>
      <w:pPr>
        <w:spacing w:after="140" w:line="259" w:lineRule="auto"/>
      </w:pPr>
      <w:r>
        <w:rPr>
          <w:rFonts w:ascii="Helvetica Neue" w:hAnsi="Helvetica Neue"/>
          <w:b w:val="0"/>
          <w:sz w:val="20"/>
        </w:rPr>
        <w:t>Os caminhos pertencem ao ambiente do IRIS. A definição carregada no Portal pode ter alterações; consulte a configuração efetiva antes de operar. PublicHealthProduction é outra Production e não é acompanhada por este Monitor.</w:t>
      </w:r>
    </w:p>
    <w:p>
      <w:r>
        <w:br w:type="page"/>
      </w:r>
    </w:p>
    <w:p>
      <w:pPr>
        <w:pStyle w:val="Heading1"/>
        <w:spacing w:before="120" w:after="160"/>
      </w:pPr>
      <w:r>
        <w:t>5 Preencher uma investigação</w:t>
      </w:r>
    </w:p>
    <w:p>
      <w:pPr>
        <w:keepNext/>
        <w:spacing w:after="60"/>
      </w:pPr>
      <w:r>
        <w:drawing>
          <wp:inline xmlns:a="http://schemas.openxmlformats.org/drawingml/2006/main" xmlns:pic="http://schemas.openxmlformats.org/drawingml/2006/picture">
            <wp:extent cx="5943600" cy="1750619"/>
            <wp:docPr id="3" name="Picture 3" descr="Figura 3. Formulário inicial do AI Incident Investigator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investigator.png"/>
                    <pic:cNvPicPr/>
                  </pic:nvPicPr>
                  <pic:blipFill>
                    <a:blip r:embed="rId14"/>
                    <a:srcRect l="28500" t="17000" r="8000" b="5100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06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 w:line="259" w:lineRule="auto"/>
      </w:pPr>
      <w:r>
        <w:rPr>
          <w:rFonts w:ascii="Helvetica Neue" w:hAnsi="Helvetica Neue"/>
          <w:b w:val="0"/>
          <w:i/>
          <w:color w:val="606060"/>
          <w:sz w:val="18"/>
        </w:rPr>
        <w:t>Figura 3. Formulário inicial do AI Incident Investigator.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48"/>
        <w:gridCol w:w="6912"/>
      </w:tblGrid>
      <w:tr>
        <w:trPr>
          <w:cantSplit/>
          <w:tblHeader/>
        </w:trPr>
        <w:tc>
          <w:tcPr>
            <w:tcW w:type="dxa" w:w="2448"/>
            <w:vAlign w:val="center"/>
            <w:shd w:fill="112075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/>
                <w:color w:val="FFFFFF"/>
                <w:sz w:val="20"/>
              </w:rPr>
              <w:t>Campo ou elemento</w:t>
            </w:r>
          </w:p>
        </w:tc>
        <w:tc>
          <w:tcPr>
            <w:tcW w:type="dxa" w:w="6912"/>
            <w:vAlign w:val="center"/>
            <w:shd w:fill="112075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/>
                <w:color w:val="FFFFFF"/>
                <w:sz w:val="20"/>
              </w:rPr>
              <w:t>O que representa e como usar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 w:val="0"/>
                <w:color w:val="000000"/>
                <w:sz w:val="20"/>
              </w:rPr>
              <w:t>Componente</w:t>
            </w:r>
          </w:p>
        </w:tc>
        <w:tc>
          <w:tcPr>
            <w:tcW w:type="dxa" w:w="6912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 w:val="0"/>
                <w:color w:val="000000"/>
                <w:sz w:val="20"/>
              </w:rPr>
              <w:t>Lista dos hosts da Production monitorada. Selecione o nome visto no cartão; o tipo aparece entre parênteses.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2F4F8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 w:val="0"/>
                <w:color w:val="000000"/>
                <w:sz w:val="20"/>
              </w:rPr>
              <w:t>Selecione...</w:t>
            </w:r>
          </w:p>
        </w:tc>
        <w:tc>
          <w:tcPr>
            <w:tcW w:type="dxa" w:w="6912"/>
            <w:vAlign w:val="center"/>
            <w:shd w:fill="F2F4F8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 w:val="0"/>
                <w:color w:val="000000"/>
                <w:sz w:val="20"/>
              </w:rPr>
              <w:t>Opção inicial sem componente escolhido. Selecione um item para obter resultado.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 w:val="0"/>
                <w:color w:val="000000"/>
                <w:sz w:val="20"/>
              </w:rPr>
              <w:t>Janela (minutos)</w:t>
            </w:r>
          </w:p>
        </w:tc>
        <w:tc>
          <w:tcPr>
            <w:tcW w:type="dxa" w:w="6912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 w:val="0"/>
                <w:color w:val="000000"/>
                <w:sz w:val="20"/>
              </w:rPr>
              <w:t>Período retrospectivo dos eventos, contado a partir da consulta. O padrão da tela é 60 minutos; o formulário aceita no mínimo 1.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2F4F8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 w:val="0"/>
                <w:color w:val="000000"/>
                <w:sz w:val="20"/>
              </w:rPr>
              <w:t>Investigar</w:t>
            </w:r>
          </w:p>
        </w:tc>
        <w:tc>
          <w:tcPr>
            <w:tcW w:type="dxa" w:w="6912"/>
            <w:vAlign w:val="center"/>
            <w:shd w:fill="F2F4F8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 w:val="0"/>
                <w:color w:val="000000"/>
                <w:sz w:val="20"/>
              </w:rPr>
              <w:t>Coleta saúde atual, até 20 mensagens recentes da janela e documentação relacionada; solicita uma análise à IA.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 w:val="0"/>
                <w:color w:val="000000"/>
                <w:sz w:val="20"/>
              </w:rPr>
              <w:t>Investigando...</w:t>
            </w:r>
          </w:p>
        </w:tc>
        <w:tc>
          <w:tcPr>
            <w:tcW w:type="dxa" w:w="6912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 w:val="0"/>
                <w:color w:val="000000"/>
                <w:sz w:val="20"/>
              </w:rPr>
              <w:t>Estado temporário do botão após o envio. O botão fica desabilitado enquanto a solicitação é processada.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2F4F8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 w:val="0"/>
                <w:color w:val="000000"/>
                <w:sz w:val="20"/>
              </w:rPr>
              <w:t>Coletando evidência e analisando com IA...</w:t>
            </w:r>
          </w:p>
        </w:tc>
        <w:tc>
          <w:tcPr>
            <w:tcW w:type="dxa" w:w="6912"/>
            <w:vAlign w:val="center"/>
            <w:shd w:fill="F2F4F8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 w:val="0"/>
                <w:color w:val="000000"/>
                <w:sz w:val="20"/>
              </w:rPr>
              <w:t>Indica processamento em andamento. Aguarde o resultado para evitar consultas repetidas.</w:t>
            </w:r>
          </w:p>
        </w:tc>
      </w:tr>
    </w:tbl>
    <w:p>
      <w:pPr>
        <w:spacing w:after="140" w:line="259" w:lineRule="auto"/>
      </w:pPr>
      <w:r>
        <w:rPr>
          <w:rFonts w:ascii="Helvetica Neue" w:hAnsi="Helvetica Neue"/>
          <w:b w:val="0"/>
          <w:sz w:val="4"/>
        </w:rPr>
      </w:r>
    </w:p>
    <w:p>
      <w:pPr>
        <w:pStyle w:val="Heading2"/>
        <w:spacing w:before="120" w:after="160"/>
      </w:pPr>
      <w:r>
        <w:t>Exemplo de uso</w:t>
      </w:r>
    </w:p>
    <w:p>
      <w:pPr>
        <w:spacing w:after="140" w:line="259" w:lineRule="auto"/>
      </w:pPr>
      <w:r>
        <w:rPr>
          <w:rFonts w:ascii="Helvetica Neue" w:hAnsi="Helvetica Neue"/>
          <w:b w:val="0"/>
          <w:sz w:val="22"/>
        </w:rPr>
        <w:t>1. Abra Investigator.</w:t>
        <w:br/>
        <w:t>2. Escolha Guardian.Operation.FileOutputOperation.</w:t>
        <w:br/>
        <w:t>3. Mantenha 60 minutos para examinar a última hora.</w:t>
        <w:br/>
        <w:t>4. Clique em Investigar.</w:t>
        <w:br/>
        <w:t>5. Leia Saúde atual e Eventos na janela antes de avaliar a Análise.</w:t>
      </w:r>
    </w:p>
    <w:p>
      <w:pPr>
        <w:spacing w:after="140" w:line="259" w:lineRule="auto"/>
      </w:pPr>
      <w:r>
        <w:rPr>
          <w:rFonts w:ascii="Helvetica Neue" w:hAnsi="Helvetica Neue"/>
          <w:b w:val="0"/>
          <w:sz w:val="22"/>
        </w:rPr>
        <w:t>Para ampliar a busca, use por exemplo 1440 minutos para um dia. A janela altera os eventos recuperados; não altera o histórico de Mensagens nem a janela fixa de 15 minutos de Erros recentes.</w:t>
      </w:r>
    </w:p>
    <w:p>
      <w:pPr>
        <w:spacing w:after="140" w:line="259" w:lineRule="auto"/>
      </w:pPr>
      <w:r>
        <w:rPr>
          <w:rFonts w:ascii="Helvetica Neue" w:hAnsi="Helvetica Neue"/>
          <w:b w:val="0"/>
          <w:sz w:val="20"/>
        </w:rPr>
        <w:t>A investigação não inicia, para, habilita ou corrige componentes. O resultado é salvo para consulta contextual pelo RAG; esta interface ainda não oferece uma lista navegável de investigações anteriores.</w:t>
      </w:r>
    </w:p>
    <w:p>
      <w:r>
        <w:br w:type="page"/>
      </w:r>
    </w:p>
    <w:p>
      <w:pPr>
        <w:pStyle w:val="Heading1"/>
        <w:spacing w:before="120" w:after="160"/>
      </w:pPr>
      <w:r>
        <w:t>6 Interpretar o resultado da investigação</w:t>
      </w:r>
    </w:p>
    <w:p>
      <w:pPr>
        <w:keepNext/>
        <w:spacing w:after="60"/>
      </w:pPr>
      <w:r>
        <w:drawing>
          <wp:inline xmlns:a="http://schemas.openxmlformats.org/drawingml/2006/main" xmlns:pic="http://schemas.openxmlformats.org/drawingml/2006/picture">
            <wp:extent cx="5943600" cy="2936746"/>
            <wp:docPr id="4" name="Picture 4" descr="Figura 4. Resultado real para FileOutputOperation, com janela de 60 minuto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investigacao-resultado.png"/>
                    <pic:cNvPicPr/>
                  </pic:nvPicPr>
                  <pic:blipFill>
                    <a:blip r:embed="rId15"/>
                    <a:srcRect l="28500" t="39700" r="12000" b="1000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67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 w:line="259" w:lineRule="auto"/>
      </w:pPr>
      <w:r>
        <w:rPr>
          <w:rFonts w:ascii="Helvetica Neue" w:hAnsi="Helvetica Neue"/>
          <w:b w:val="0"/>
          <w:i/>
          <w:color w:val="606060"/>
          <w:sz w:val="18"/>
        </w:rPr>
        <w:t>Figura 4. Resultado real para FileOutputOperation, com janela de 60 minutos.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48"/>
        <w:gridCol w:w="6912"/>
      </w:tblGrid>
      <w:tr>
        <w:trPr>
          <w:cantSplit/>
          <w:tblHeader/>
        </w:trPr>
        <w:tc>
          <w:tcPr>
            <w:tcW w:type="dxa" w:w="2448"/>
            <w:vAlign w:val="center"/>
            <w:shd w:fill="112075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/>
                <w:color w:val="FFFFFF"/>
                <w:sz w:val="20"/>
              </w:rPr>
              <w:t>Campo ou elemento</w:t>
            </w:r>
          </w:p>
        </w:tc>
        <w:tc>
          <w:tcPr>
            <w:tcW w:type="dxa" w:w="6912"/>
            <w:vAlign w:val="center"/>
            <w:shd w:fill="112075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/>
                <w:color w:val="FFFFFF"/>
                <w:sz w:val="20"/>
              </w:rPr>
              <w:t>O que representa e como usar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 w:val="0"/>
                <w:color w:val="000000"/>
                <w:sz w:val="20"/>
              </w:rPr>
              <w:t>Saúde atual</w:t>
            </w:r>
          </w:p>
        </w:tc>
        <w:tc>
          <w:tcPr>
            <w:tcW w:type="dxa" w:w="6912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 w:val="0"/>
                <w:color w:val="000000"/>
                <w:sz w:val="20"/>
              </w:rPr>
              <w:t>Repete a classificação e as métricas do coletor do Monitor: selo, Fila, Mensagens e Erros recentes.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2F4F8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 w:val="0"/>
                <w:color w:val="000000"/>
                <w:sz w:val="20"/>
              </w:rPr>
              <w:t>Eventos na janela (N)</w:t>
            </w:r>
          </w:p>
        </w:tc>
        <w:tc>
          <w:tcPr>
            <w:tcW w:type="dxa" w:w="6912"/>
            <w:vAlign w:val="center"/>
            <w:shd w:fill="F2F4F8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 w:val="0"/>
                <w:color w:val="000000"/>
                <w:sz w:val="20"/>
              </w:rPr>
              <w:t>Número de mensagens recuperadas para o componente no período. São no máximo 20, da mais recente para a mais antiga; não é necessariamente o total do período.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 w:val="0"/>
                <w:color w:val="000000"/>
                <w:sz w:val="20"/>
              </w:rPr>
              <w:t>Nenhum evento registrado nesta janela</w:t>
            </w:r>
          </w:p>
        </w:tc>
        <w:tc>
          <w:tcPr>
            <w:tcW w:type="dxa" w:w="6912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 w:val="0"/>
                <w:color w:val="000000"/>
                <w:sz w:val="20"/>
              </w:rPr>
              <w:t>Nenhuma mensagem correspondente foi recuperada no intervalo. Não significa que o componente nunca tenha processado dados.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2F4F8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 w:val="0"/>
                <w:color w:val="000000"/>
                <w:sz w:val="20"/>
              </w:rPr>
              <w:t>msg # e data/hora</w:t>
            </w:r>
          </w:p>
        </w:tc>
        <w:tc>
          <w:tcPr>
            <w:tcW w:type="dxa" w:w="6912"/>
            <w:vAlign w:val="center"/>
            <w:shd w:fill="F2F4F8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 w:val="0"/>
                <w:color w:val="000000"/>
                <w:sz w:val="20"/>
              </w:rPr>
              <w:t>Quando há eventos, mostra o identificador do cabeçalho de mensagem e o momento de criação.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 w:val="0"/>
                <w:color w:val="000000"/>
                <w:sz w:val="20"/>
              </w:rPr>
              <w:t>Origem → destino</w:t>
            </w:r>
          </w:p>
        </w:tc>
        <w:tc>
          <w:tcPr>
            <w:tcW w:type="dxa" w:w="6912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 w:val="0"/>
                <w:color w:val="000000"/>
                <w:sz w:val="20"/>
              </w:rPr>
              <w:t>Mostra quem enviou e quem recebeu a mensagem. Permite localizar o trecho do fluxo envolvido.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2F4F8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 w:val="0"/>
                <w:color w:val="000000"/>
                <w:sz w:val="20"/>
              </w:rPr>
              <w:t>sucesso ou texto de erro</w:t>
            </w:r>
          </w:p>
        </w:tc>
        <w:tc>
          <w:tcPr>
            <w:tcW w:type="dxa" w:w="6912"/>
            <w:vAlign w:val="center"/>
            <w:shd w:fill="F2F4F8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 w:val="0"/>
                <w:color w:val="000000"/>
                <w:sz w:val="20"/>
              </w:rPr>
              <w:t>Apresenta a interpretação do status do cabeçalho. O erro legível ajuda a buscar a causa e a documentação correspondente.</w:t>
            </w:r>
          </w:p>
        </w:tc>
      </w:tr>
    </w:tbl>
    <w:p>
      <w:pPr>
        <w:spacing w:after="140" w:line="259" w:lineRule="auto"/>
      </w:pPr>
      <w:r>
        <w:rPr>
          <w:rFonts w:ascii="Helvetica Neue" w:hAnsi="Helvetica Neue"/>
          <w:b w:val="0"/>
          <w:sz w:val="4"/>
        </w:rPr>
      </w:r>
    </w:p>
    <w:p>
      <w:pPr>
        <w:spacing w:after="140" w:line="259" w:lineRule="auto"/>
      </w:pPr>
      <w:r>
        <w:rPr>
          <w:rFonts w:ascii="Helvetica Neue" w:hAnsi="Helvetica Neue"/>
          <w:b w:val="0"/>
          <w:sz w:val="20"/>
        </w:rPr>
        <w:t>A lista de eventos vem do histórico de mensagens. Ela não substitui o Log de Eventos completo do Portal IRIS. Na captura, N = 0 e Mensagens = 26 são compatíveis: há histórico, mas nenhum registro na última hora.</w:t>
      </w:r>
    </w:p>
    <w:p>
      <w:r>
        <w:br w:type="page"/>
      </w:r>
    </w:p>
    <w:p>
      <w:pPr>
        <w:pStyle w:val="Heading1"/>
        <w:spacing w:before="120" w:after="160"/>
      </w:pPr>
      <w:r>
        <w:t>7 Análise e documentação relacionada</w:t>
      </w:r>
    </w:p>
    <w:p>
      <w:pPr>
        <w:keepNext/>
        <w:spacing w:after="60"/>
      </w:pPr>
      <w:r>
        <w:drawing>
          <wp:inline xmlns:a="http://schemas.openxmlformats.org/drawingml/2006/main" xmlns:pic="http://schemas.openxmlformats.org/drawingml/2006/picture">
            <wp:extent cx="5943600" cy="1117684"/>
            <wp:docPr id="5" name="Picture 5" descr="Figura 5. Documentação recuperada para apoiar a investigaçã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investigacao-fontes.png"/>
                    <pic:cNvPicPr/>
                  </pic:nvPicPr>
                  <pic:blipFill>
                    <a:blip r:embed="rId16"/>
                    <a:srcRect l="30000" t="14500" r="12500" b="6700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76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 w:line="259" w:lineRule="auto"/>
      </w:pPr>
      <w:r>
        <w:rPr>
          <w:rFonts w:ascii="Helvetica Neue" w:hAnsi="Helvetica Neue"/>
          <w:b w:val="0"/>
          <w:i/>
          <w:color w:val="606060"/>
          <w:sz w:val="18"/>
        </w:rPr>
        <w:t>Figura 5. Documentação recuperada para apoiar a investigação.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48"/>
        <w:gridCol w:w="6912"/>
      </w:tblGrid>
      <w:tr>
        <w:trPr>
          <w:cantSplit/>
          <w:tblHeader/>
        </w:trPr>
        <w:tc>
          <w:tcPr>
            <w:tcW w:type="dxa" w:w="2448"/>
            <w:vAlign w:val="center"/>
            <w:shd w:fill="112075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/>
                <w:color w:val="FFFFFF"/>
                <w:sz w:val="20"/>
              </w:rPr>
              <w:t>Campo ou elemento</w:t>
            </w:r>
          </w:p>
        </w:tc>
        <w:tc>
          <w:tcPr>
            <w:tcW w:type="dxa" w:w="6912"/>
            <w:vAlign w:val="center"/>
            <w:shd w:fill="112075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/>
                <w:color w:val="FFFFFF"/>
                <w:sz w:val="20"/>
              </w:rPr>
              <w:t>O que representa e como usar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 w:val="0"/>
                <w:color w:val="000000"/>
                <w:sz w:val="20"/>
              </w:rPr>
              <w:t>Análise</w:t>
            </w:r>
          </w:p>
        </w:tc>
        <w:tc>
          <w:tcPr>
            <w:tcW w:type="dxa" w:w="6912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 w:val="0"/>
                <w:color w:val="000000"/>
                <w:sz w:val="20"/>
              </w:rPr>
              <w:t>Texto gerado por IA a partir da saúde, eventos e documentos recuperados. Pode conter interpretações incorretas; confirme com os dados mostrados.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2F4F8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 w:val="0"/>
                <w:color w:val="000000"/>
                <w:sz w:val="20"/>
              </w:rPr>
              <w:t>Resumo e observações</w:t>
            </w:r>
          </w:p>
        </w:tc>
        <w:tc>
          <w:tcPr>
            <w:tcW w:type="dxa" w:w="6912"/>
            <w:vAlign w:val="center"/>
            <w:shd w:fill="F2F4F8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 w:val="0"/>
                <w:color w:val="000000"/>
                <w:sz w:val="20"/>
              </w:rPr>
              <w:t>Resumo do caso e fatos que o modelo identifica na evidência.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 w:val="0"/>
                <w:color w:val="000000"/>
                <w:sz w:val="20"/>
              </w:rPr>
              <w:t>Hipóteses</w:t>
            </w:r>
          </w:p>
        </w:tc>
        <w:tc>
          <w:tcPr>
            <w:tcW w:type="dxa" w:w="6912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 w:val="0"/>
                <w:color w:val="000000"/>
                <w:sz w:val="20"/>
              </w:rPr>
              <w:t>Possíveis explicações. Não equivalem a causa confirmada.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2F4F8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 w:val="0"/>
                <w:color w:val="000000"/>
                <w:sz w:val="20"/>
              </w:rPr>
              <w:t>Lacunas</w:t>
            </w:r>
          </w:p>
        </w:tc>
        <w:tc>
          <w:tcPr>
            <w:tcW w:type="dxa" w:w="6912"/>
            <w:vAlign w:val="center"/>
            <w:shd w:fill="F2F4F8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 w:val="0"/>
                <w:color w:val="000000"/>
                <w:sz w:val="20"/>
              </w:rPr>
              <w:t>Informações que faltam para concluir o diagnóstico.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 w:val="0"/>
                <w:color w:val="000000"/>
                <w:sz w:val="20"/>
              </w:rPr>
              <w:t>Próximos passos sugeridos</w:t>
            </w:r>
          </w:p>
        </w:tc>
        <w:tc>
          <w:tcPr>
            <w:tcW w:type="dxa" w:w="6912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 w:val="0"/>
                <w:color w:val="000000"/>
                <w:sz w:val="20"/>
              </w:rPr>
              <w:t>Ações de verificação propostas. Nenhuma é executada automaticamente.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2F4F8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 w:val="0"/>
                <w:color w:val="000000"/>
                <w:sz w:val="20"/>
              </w:rPr>
              <w:t>Documentação relacionada</w:t>
            </w:r>
          </w:p>
        </w:tc>
        <w:tc>
          <w:tcPr>
            <w:tcW w:type="dxa" w:w="6912"/>
            <w:vAlign w:val="center"/>
            <w:shd w:fill="F2F4F8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 w:val="0"/>
                <w:color w:val="000000"/>
                <w:sz w:val="20"/>
              </w:rPr>
              <w:t>Trechos da base indexada selecionados para apoiar o caso. Se não houver resultados, a tela informa isso.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 w:val="0"/>
                <w:color w:val="000000"/>
                <w:sz w:val="20"/>
              </w:rPr>
              <w:t>Título da fonte</w:t>
            </w:r>
          </w:p>
        </w:tc>
        <w:tc>
          <w:tcPr>
            <w:tcW w:type="dxa" w:w="6912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 w:val="0"/>
                <w:color w:val="000000"/>
                <w:sz w:val="20"/>
              </w:rPr>
              <w:t>Nome do documento de origem do trecho.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2F4F8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 w:val="0"/>
                <w:color w:val="000000"/>
                <w:sz w:val="20"/>
              </w:rPr>
              <w:t>Fonte entre parênteses</w:t>
            </w:r>
          </w:p>
        </w:tc>
        <w:tc>
          <w:tcPr>
            <w:tcW w:type="dxa" w:w="6912"/>
            <w:vAlign w:val="center"/>
            <w:shd w:fill="F2F4F8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 w:val="0"/>
                <w:color w:val="000000"/>
                <w:sz w:val="20"/>
              </w:rPr>
              <w:t>Identificador ou nome do arquivo de origem. É uma referência textual, não necessariamente um link clicável.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 w:val="0"/>
                <w:color w:val="000000"/>
                <w:sz w:val="20"/>
              </w:rPr>
              <w:t>similaridade</w:t>
            </w:r>
          </w:p>
        </w:tc>
        <w:tc>
          <w:tcPr>
            <w:tcW w:type="dxa" w:w="6912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 w:val="0"/>
                <w:color w:val="000000"/>
                <w:sz w:val="20"/>
              </w:rPr>
              <w:t>Pontuação de proximidade entre a busca e o trecho, mostrada com três casas decimais. Não é probabilidade de acerto da análise.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2F4F8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 w:val="0"/>
                <w:color w:val="000000"/>
                <w:sz w:val="20"/>
              </w:rPr>
              <w:t>Texto da fonte</w:t>
            </w:r>
          </w:p>
        </w:tc>
        <w:tc>
          <w:tcPr>
            <w:tcW w:type="dxa" w:w="6912"/>
            <w:vAlign w:val="center"/>
            <w:shd w:fill="F2F4F8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 w:val="0"/>
                <w:color w:val="000000"/>
                <w:sz w:val="20"/>
              </w:rPr>
              <w:t>Trecho recuperado, que pode conter exemplos históricos. Um erro descrito ali não prova que o mesmo erro esteja acontecendo agora.</w:t>
            </w:r>
          </w:p>
        </w:tc>
      </w:tr>
    </w:tbl>
    <w:p>
      <w:pPr>
        <w:spacing w:after="140" w:line="259" w:lineRule="auto"/>
      </w:pPr>
      <w:r>
        <w:rPr>
          <w:rFonts w:ascii="Helvetica Neue" w:hAnsi="Helvetica Neue"/>
          <w:b w:val="0"/>
          <w:sz w:val="4"/>
        </w:rPr>
      </w:r>
    </w:p>
    <w:p>
      <w:pPr>
        <w:spacing w:after="140" w:line="259" w:lineRule="auto"/>
      </w:pPr>
      <w:r>
        <w:rPr>
          <w:rFonts w:ascii="Helvetica Neue" w:hAnsi="Helvetica Neue"/>
          <w:b/>
          <w:sz w:val="20"/>
        </w:rPr>
        <w:t>Atenção ao exemplo real: a análise chamou as métricas de “Últimos 60 min”. A regra correta é: Fila e saúde são atuais; Mensagens é acumulado; Erros recentes usa 15 minutos; apenas os eventos seguem os 60 minutos escolhidos.</w:t>
      </w:r>
    </w:p>
    <w:p>
      <w:r>
        <w:br w:type="page"/>
      </w:r>
    </w:p>
    <w:p>
      <w:pPr>
        <w:pStyle w:val="Heading1"/>
        <w:spacing w:before="120" w:after="160"/>
      </w:pPr>
      <w:r>
        <w:t>8 Usar o RAG Assistant</w:t>
      </w:r>
    </w:p>
    <w:p>
      <w:pPr>
        <w:keepNext/>
        <w:spacing w:after="60"/>
      </w:pPr>
      <w:r>
        <w:drawing>
          <wp:inline xmlns:a="http://schemas.openxmlformats.org/drawingml/2006/main" xmlns:pic="http://schemas.openxmlformats.org/drawingml/2006/picture">
            <wp:extent cx="5943600" cy="2824560"/>
            <wp:docPr id="6" name="Picture 6" descr="Figura 6. RAG com contexto de uma investigação anterior que registrou erro de cota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rag.png"/>
                    <pic:cNvPicPr/>
                  </pic:nvPicPr>
                  <pic:blipFill>
                    <a:blip r:embed="rId17"/>
                    <a:srcRect l="31500" t="17000" r="15000" b="3950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 w:line="259" w:lineRule="auto"/>
      </w:pPr>
      <w:r>
        <w:rPr>
          <w:rFonts w:ascii="Helvetica Neue" w:hAnsi="Helvetica Neue"/>
          <w:b w:val="0"/>
          <w:i/>
          <w:color w:val="606060"/>
          <w:sz w:val="18"/>
        </w:rPr>
        <w:t>Figura 6. RAG com contexto de uma investigação anterior que registrou erro de cota.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48"/>
        <w:gridCol w:w="6912"/>
      </w:tblGrid>
      <w:tr>
        <w:trPr>
          <w:cantSplit/>
          <w:tblHeader/>
        </w:trPr>
        <w:tc>
          <w:tcPr>
            <w:tcW w:type="dxa" w:w="2448"/>
            <w:vAlign w:val="center"/>
            <w:shd w:fill="112075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/>
                <w:color w:val="FFFFFF"/>
                <w:sz w:val="20"/>
              </w:rPr>
              <w:t>Campo ou elemento</w:t>
            </w:r>
          </w:p>
        </w:tc>
        <w:tc>
          <w:tcPr>
            <w:tcW w:type="dxa" w:w="6912"/>
            <w:vAlign w:val="center"/>
            <w:shd w:fill="112075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/>
                <w:color w:val="FFFFFF"/>
                <w:sz w:val="20"/>
              </w:rPr>
              <w:t>O que representa e como usar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 w:val="0"/>
                <w:color w:val="000000"/>
                <w:sz w:val="20"/>
              </w:rPr>
              <w:t>Contexto: última investigação</w:t>
            </w:r>
          </w:p>
        </w:tc>
        <w:tc>
          <w:tcPr>
            <w:tcW w:type="dxa" w:w="6912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 w:val="0"/>
                <w:color w:val="000000"/>
                <w:sz w:val="20"/>
              </w:rPr>
              <w:t>Bloco opcional que reaproveita a investigação mais recente salva no ambiente. Confira se corresponde ao caso que deseja consultar.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2F4F8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 w:val="0"/>
                <w:color w:val="000000"/>
                <w:sz w:val="20"/>
              </w:rPr>
              <w:t>Componente</w:t>
            </w:r>
          </w:p>
        </w:tc>
        <w:tc>
          <w:tcPr>
            <w:tcW w:type="dxa" w:w="6912"/>
            <w:vAlign w:val="center"/>
            <w:shd w:fill="F2F4F8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 w:val="0"/>
                <w:color w:val="000000"/>
                <w:sz w:val="20"/>
              </w:rPr>
              <w:t>Host investigado no resultado salvo. Pode ser diferente daquele que você pretendia consultar agora.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 w:val="0"/>
                <w:color w:val="000000"/>
                <w:sz w:val="20"/>
              </w:rPr>
              <w:t>janela e data/hora</w:t>
            </w:r>
          </w:p>
        </w:tc>
        <w:tc>
          <w:tcPr>
            <w:tcW w:type="dxa" w:w="6912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 w:val="0"/>
                <w:color w:val="000000"/>
                <w:sz w:val="20"/>
              </w:rPr>
              <w:t>Período usado na investigação e momento em que ela foi registrada; não indicam uma nova coleta de eventos.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2F4F8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 w:val="0"/>
                <w:color w:val="000000"/>
                <w:sz w:val="20"/>
              </w:rPr>
              <w:t>Resumo no bloco</w:t>
            </w:r>
          </w:p>
        </w:tc>
        <w:tc>
          <w:tcPr>
            <w:tcW w:type="dxa" w:w="6912"/>
            <w:vAlign w:val="center"/>
            <w:shd w:fill="F2F4F8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 w:val="0"/>
                <w:color w:val="000000"/>
                <w:sz w:val="20"/>
              </w:rPr>
              <w:t>Exibe até 600 caracteres da análise. Há rolagem interna quando necessário. A consulta usa o texto completo salvo.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 w:val="0"/>
                <w:color w:val="000000"/>
                <w:sz w:val="20"/>
              </w:rPr>
              <w:t>Pergunte sobre o projeto...</w:t>
            </w:r>
          </w:p>
        </w:tc>
        <w:tc>
          <w:tcPr>
            <w:tcW w:type="dxa" w:w="6912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 w:val="0"/>
                <w:color w:val="000000"/>
                <w:sz w:val="20"/>
              </w:rPr>
              <w:t>Campo da pergunta. Pode vir preenchido com uma sugestão baseada no componente da última investigação; você pode editá-la.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2F4F8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 w:val="0"/>
                <w:color w:val="000000"/>
                <w:sz w:val="20"/>
              </w:rPr>
              <w:t>Perguntar</w:t>
            </w:r>
          </w:p>
        </w:tc>
        <w:tc>
          <w:tcPr>
            <w:tcW w:type="dxa" w:w="6912"/>
            <w:vAlign w:val="center"/>
            <w:shd w:fill="F2F4F8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 w:val="0"/>
                <w:color w:val="000000"/>
                <w:sz w:val="20"/>
              </w:rPr>
              <w:t>Envia a pergunta à IA com documentos recuperados e, quando presente, a última investigação.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 w:val="0"/>
                <w:color w:val="000000"/>
                <w:sz w:val="20"/>
              </w:rPr>
              <w:t>Perguntando... e indicador de espera</w:t>
            </w:r>
          </w:p>
        </w:tc>
        <w:tc>
          <w:tcPr>
            <w:tcW w:type="dxa" w:w="6912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 w:val="0"/>
                <w:color w:val="000000"/>
                <w:sz w:val="20"/>
              </w:rPr>
              <w:t>Mostram que a consulta está em processamento. Só abrir a página com a sugestão não dispara a pergunta.</w:t>
            </w:r>
          </w:p>
        </w:tc>
      </w:tr>
    </w:tbl>
    <w:p>
      <w:pPr>
        <w:spacing w:after="140" w:line="259" w:lineRule="auto"/>
      </w:pPr>
      <w:r>
        <w:rPr>
          <w:rFonts w:ascii="Helvetica Neue" w:hAnsi="Helvetica Neue"/>
          <w:b w:val="0"/>
          <w:sz w:val="4"/>
        </w:rPr>
      </w:r>
    </w:p>
    <w:p>
      <w:pPr>
        <w:spacing w:after="140" w:line="259" w:lineRule="auto"/>
      </w:pPr>
      <w:r>
        <w:rPr>
          <w:rFonts w:ascii="Helvetica Neue" w:hAnsi="Helvetica Neue"/>
          <w:b w:val="0"/>
          <w:sz w:val="20"/>
        </w:rPr>
        <w:t>Exemplo: “O que significa unavailable no Monitor e quais verificações devo fazer antes de iniciar a Production?” Faça perguntas específicas e confira as fontes antes de aplicar uma orientação.</w:t>
      </w:r>
    </w:p>
    <w:p>
      <w:r>
        <w:br w:type="page"/>
      </w:r>
    </w:p>
    <w:p>
      <w:pPr>
        <w:pStyle w:val="Heading1"/>
        <w:spacing w:before="120" w:after="160"/>
      </w:pPr>
      <w:r>
        <w:t>9 Respostas e falhas do RAG</w:t>
      </w:r>
    </w:p>
    <w:p>
      <w:pPr>
        <w:keepNext/>
        <w:spacing w:after="60"/>
      </w:pPr>
      <w:r>
        <w:drawing>
          <wp:inline xmlns:a="http://schemas.openxmlformats.org/drawingml/2006/main" xmlns:pic="http://schemas.openxmlformats.org/drawingml/2006/picture">
            <wp:extent cx="5943600" cy="2029232"/>
            <wp:docPr id="7" name="Picture 7" descr="Figura 7. Consulta real retornou HTTP 429 do Gemini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rag-resposta.png"/>
                    <pic:cNvPicPr/>
                  </pic:nvPicPr>
                  <pic:blipFill>
                    <a:blip r:embed="rId18"/>
                    <a:srcRect l="32800" t="61800" r="15500" b="800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9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 w:line="259" w:lineRule="auto"/>
      </w:pPr>
      <w:r>
        <w:rPr>
          <w:rFonts w:ascii="Helvetica Neue" w:hAnsi="Helvetica Neue"/>
          <w:b w:val="0"/>
          <w:i/>
          <w:color w:val="606060"/>
          <w:sz w:val="18"/>
        </w:rPr>
        <w:t>Figura 7. Consulta real retornou HTTP 429 do Gemini.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48"/>
        <w:gridCol w:w="6912"/>
      </w:tblGrid>
      <w:tr>
        <w:trPr>
          <w:cantSplit/>
          <w:tblHeader/>
        </w:trPr>
        <w:tc>
          <w:tcPr>
            <w:tcW w:type="dxa" w:w="2448"/>
            <w:vAlign w:val="center"/>
            <w:shd w:fill="112075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/>
                <w:color w:val="FFFFFF"/>
                <w:sz w:val="20"/>
              </w:rPr>
              <w:t>Campo ou elemento</w:t>
            </w:r>
          </w:p>
        </w:tc>
        <w:tc>
          <w:tcPr>
            <w:tcW w:type="dxa" w:w="6912"/>
            <w:vAlign w:val="center"/>
            <w:shd w:fill="112075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/>
                <w:color w:val="FFFFFF"/>
                <w:sz w:val="20"/>
              </w:rPr>
              <w:t>O que representa e como usar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 w:val="0"/>
                <w:color w:val="000000"/>
                <w:sz w:val="20"/>
              </w:rPr>
              <w:t>Resposta</w:t>
            </w:r>
          </w:p>
        </w:tc>
        <w:tc>
          <w:tcPr>
            <w:tcW w:type="dxa" w:w="6912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 w:val="0"/>
                <w:color w:val="000000"/>
                <w:sz w:val="20"/>
              </w:rPr>
              <w:t>Texto produzido com o contexto disponível. A interface apresenta a resposta após o envio; não é um chat com histórico completo de conversa.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2F4F8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 w:val="0"/>
                <w:color w:val="000000"/>
                <w:sz w:val="20"/>
              </w:rPr>
              <w:t>Fontes usadas</w:t>
            </w:r>
          </w:p>
        </w:tc>
        <w:tc>
          <w:tcPr>
            <w:tcW w:type="dxa" w:w="6912"/>
            <w:vAlign w:val="center"/>
            <w:shd w:fill="F2F4F8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 w:val="0"/>
                <w:color w:val="000000"/>
                <w:sz w:val="20"/>
              </w:rPr>
              <w:t>Quando há resposta sem abstenção e fontes recuperadas, lista os trechos documentais. Título, arquivo, similaridade e texto têm o mesmo significado da página 8 deste manual.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 w:val="0"/>
                <w:color w:val="000000"/>
                <w:sz w:val="20"/>
              </w:rPr>
              <w:t>Limiar 0.58</w:t>
            </w:r>
          </w:p>
        </w:tc>
        <w:tc>
          <w:tcPr>
            <w:tcW w:type="dxa" w:w="6912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 w:val="0"/>
                <w:color w:val="000000"/>
                <w:sz w:val="20"/>
              </w:rPr>
              <w:t>Referência da regra de abstenção por baixa similaridade. É uma heurística inicial, não uma garantia de qualidade ou percentual de confiança.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2F4F8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 w:val="0"/>
                <w:color w:val="000000"/>
                <w:sz w:val="20"/>
              </w:rPr>
              <w:t>Não sei ou contexto insuficiente</w:t>
            </w:r>
          </w:p>
        </w:tc>
        <w:tc>
          <w:tcPr>
            <w:tcW w:type="dxa" w:w="6912"/>
            <w:vAlign w:val="center"/>
            <w:shd w:fill="F2F4F8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 w:val="0"/>
                <w:color w:val="000000"/>
                <w:sz w:val="20"/>
              </w:rPr>
              <w:t>Sem documentos suficientemente próximos e sem investigação para apoiar a consulta, o sistema pode se abster. Reformule a pergunta ou reveja a base indexada.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 w:val="0"/>
                <w:color w:val="000000"/>
                <w:sz w:val="20"/>
              </w:rPr>
              <w:t>Não foi possível consultar o modelo de IA agora</w:t>
            </w:r>
          </w:p>
        </w:tc>
        <w:tc>
          <w:tcPr>
            <w:tcW w:type="dxa" w:w="6912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 w:val="0"/>
                <w:color w:val="000000"/>
                <w:sz w:val="20"/>
              </w:rPr>
              <w:t>A chamada à IA falhou. A mensagem exibe o erro real; isso não significa automaticamente que a Production parou.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2F4F8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 w:val="0"/>
                <w:color w:val="000000"/>
                <w:sz w:val="20"/>
              </w:rPr>
              <w:t>HTTP 429 e quota exceeded</w:t>
            </w:r>
          </w:p>
        </w:tc>
        <w:tc>
          <w:tcPr>
            <w:tcW w:type="dxa" w:w="6912"/>
            <w:vAlign w:val="center"/>
            <w:shd w:fill="F2F4F8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 w:val="0"/>
                <w:color w:val="000000"/>
                <w:sz w:val="20"/>
              </w:rPr>
              <w:t>No exemplo, o provedor informa limite de uso excedido. Verifique a cota com o responsável pela integração; siga a orientação de nova tentativa apresentada pelo serviço.</w:t>
            </w:r>
          </w:p>
        </w:tc>
      </w:tr>
    </w:tbl>
    <w:p>
      <w:pPr>
        <w:spacing w:after="140" w:line="259" w:lineRule="auto"/>
      </w:pPr>
      <w:r>
        <w:rPr>
          <w:rFonts w:ascii="Helvetica Neue" w:hAnsi="Helvetica Neue"/>
          <w:b w:val="0"/>
          <w:sz w:val="4"/>
        </w:rPr>
      </w:r>
    </w:p>
    <w:p>
      <w:pPr>
        <w:spacing w:after="140" w:line="259" w:lineRule="auto"/>
      </w:pPr>
      <w:r>
        <w:rPr>
          <w:rFonts w:ascii="Helvetica Neue" w:hAnsi="Helvetica Neue"/>
          <w:b w:val="0"/>
          <w:sz w:val="22"/>
        </w:rPr>
        <w:t>Quando existe investigação salva, o RAG pode responder apoiado nela mesmo sem documentos acima do limiar. Assim, a ausência de “Fontes usadas” não deve ser interpretada isoladamente como ausência de qualquer contexto.</w:t>
      </w:r>
    </w:p>
    <w:p>
      <w:pPr>
        <w:spacing w:after="140" w:line="259" w:lineRule="auto"/>
      </w:pPr>
      <w:r>
        <w:rPr>
          <w:rFonts w:ascii="Helvetica Neue" w:hAnsi="Helvetica Neue"/>
          <w:b w:val="0"/>
          <w:sz w:val="20"/>
        </w:rPr>
        <w:t>A frase do rodapé sobre não inventar informações descreve o comportamento pretendido. Confira a resposta: a IA pode errar ou reproduzir uma interpretação inadequada de uma investigação anterior.</w:t>
      </w:r>
    </w:p>
    <w:p>
      <w:r>
        <w:br w:type="page"/>
      </w:r>
    </w:p>
    <w:p>
      <w:pPr>
        <w:pStyle w:val="Heading1"/>
        <w:spacing w:before="120" w:after="160"/>
      </w:pPr>
      <w:r>
        <w:t>10 A opção novo modelo</w:t>
      </w:r>
    </w:p>
    <w:p>
      <w:pPr>
        <w:keepNext/>
        <w:spacing w:after="60"/>
      </w:pPr>
      <w:r>
        <w:drawing>
          <wp:inline xmlns:a="http://schemas.openxmlformats.org/drawingml/2006/main" xmlns:pic="http://schemas.openxmlformats.org/drawingml/2006/picture">
            <wp:extent cx="5943600" cy="3539429"/>
            <wp:docPr id="8" name="Picture 8" descr="Figura 8. Segunda opção de RAG disponível no menu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rag-alternativo.png"/>
                    <pic:cNvPicPr/>
                  </pic:nvPicPr>
                  <pic:blipFill>
                    <a:blip r:embed="rId19"/>
                    <a:srcRect l="32000" t="17000" r="15000" b="2900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9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 w:line="259" w:lineRule="auto"/>
      </w:pPr>
      <w:r>
        <w:rPr>
          <w:rFonts w:ascii="Helvetica Neue" w:hAnsi="Helvetica Neue"/>
          <w:b w:val="0"/>
          <w:i/>
          <w:color w:val="606060"/>
          <w:sz w:val="18"/>
        </w:rPr>
        <w:t>Figura 8. Segunda opção de RAG disponível no menu.</w:t>
      </w:r>
    </w:p>
    <w:p>
      <w:pPr>
        <w:spacing w:after="140" w:line="259" w:lineRule="auto"/>
      </w:pPr>
      <w:r>
        <w:rPr>
          <w:rFonts w:ascii="Helvetica Neue" w:hAnsi="Helvetica Neue"/>
          <w:b w:val="0"/>
          <w:sz w:val="22"/>
        </w:rPr>
        <w:t>Nesta edição, RAG Assistant (novo modelo) é uma segunda página que utiliza a mesma consulta e o mesmo provedor Gemini da opção principal. O rodapé informa que o segundo provedor ainda não foi escolhido.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48"/>
        <w:gridCol w:w="6912"/>
      </w:tblGrid>
      <w:tr>
        <w:trPr>
          <w:cantSplit/>
          <w:tblHeader/>
        </w:trPr>
        <w:tc>
          <w:tcPr>
            <w:tcW w:type="dxa" w:w="2448"/>
            <w:vAlign w:val="center"/>
            <w:shd w:fill="112075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/>
                <w:color w:val="FFFFFF"/>
                <w:sz w:val="20"/>
              </w:rPr>
              <w:t>Campo ou elemento</w:t>
            </w:r>
          </w:p>
        </w:tc>
        <w:tc>
          <w:tcPr>
            <w:tcW w:type="dxa" w:w="6912"/>
            <w:vAlign w:val="center"/>
            <w:shd w:fill="112075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/>
                <w:color w:val="FFFFFF"/>
                <w:sz w:val="20"/>
              </w:rPr>
              <w:t>O que representa e como usar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 w:val="0"/>
                <w:color w:val="000000"/>
                <w:sz w:val="20"/>
              </w:rPr>
              <w:t>Título e menu selecionado</w:t>
            </w:r>
          </w:p>
        </w:tc>
        <w:tc>
          <w:tcPr>
            <w:tcW w:type="dxa" w:w="6912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 w:val="0"/>
                <w:color w:val="000000"/>
                <w:sz w:val="20"/>
              </w:rPr>
              <w:t>Identificam a segunda página. Não comprovam uma troca de modelo.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2F4F8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 w:val="0"/>
                <w:color w:val="000000"/>
                <w:sz w:val="20"/>
              </w:rPr>
              <w:t>Contexto da investigação</w:t>
            </w:r>
          </w:p>
        </w:tc>
        <w:tc>
          <w:tcPr>
            <w:tcW w:type="dxa" w:w="6912"/>
            <w:vAlign w:val="center"/>
            <w:shd w:fill="F2F4F8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 w:val="0"/>
                <w:color w:val="000000"/>
                <w:sz w:val="20"/>
              </w:rPr>
              <w:t>Usa a mesma última investigação salva no ambiente.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 w:val="0"/>
                <w:color w:val="000000"/>
                <w:sz w:val="20"/>
              </w:rPr>
              <w:t>Pergunta e botão Perguntar</w:t>
            </w:r>
          </w:p>
        </w:tc>
        <w:tc>
          <w:tcPr>
            <w:tcW w:type="dxa" w:w="6912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 w:val="0"/>
                <w:color w:val="000000"/>
                <w:sz w:val="20"/>
              </w:rPr>
              <w:t>Funcionam como na opção Gemini, incluindo sugestão automática e envio explícito.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2F4F8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 w:val="0"/>
                <w:color w:val="000000"/>
                <w:sz w:val="20"/>
              </w:rPr>
              <w:t>Resposta e Fontes usadas</w:t>
            </w:r>
          </w:p>
        </w:tc>
        <w:tc>
          <w:tcPr>
            <w:tcW w:type="dxa" w:w="6912"/>
            <w:vAlign w:val="center"/>
            <w:shd w:fill="F2F4F8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 w:val="0"/>
                <w:color w:val="000000"/>
                <w:sz w:val="20"/>
              </w:rPr>
              <w:t>Seguem as mesmas regras de geração, recuperação e abstenção.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 w:val="0"/>
                <w:color w:val="000000"/>
                <w:sz w:val="20"/>
              </w:rPr>
              <w:t>Rodapé do segundo provedor</w:t>
            </w:r>
          </w:p>
        </w:tc>
        <w:tc>
          <w:tcPr>
            <w:tcW w:type="dxa" w:w="6912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 w:val="0"/>
                <w:color w:val="000000"/>
                <w:sz w:val="20"/>
              </w:rPr>
              <w:t>Explica que a opção é provisória e compartilha o backend atual.</w:t>
            </w:r>
          </w:p>
        </w:tc>
      </w:tr>
    </w:tbl>
    <w:p>
      <w:pPr>
        <w:spacing w:after="140" w:line="259" w:lineRule="auto"/>
      </w:pPr>
      <w:r>
        <w:rPr>
          <w:rFonts w:ascii="Helvetica Neue" w:hAnsi="Helvetica Neue"/>
          <w:b w:val="0"/>
          <w:sz w:val="4"/>
        </w:rPr>
      </w:r>
    </w:p>
    <w:p>
      <w:pPr>
        <w:spacing w:after="140" w:line="259" w:lineRule="auto"/>
      </w:pPr>
      <w:r>
        <w:rPr>
          <w:rFonts w:ascii="Helvetica Neue" w:hAnsi="Helvetica Neue"/>
          <w:b w:val="0"/>
          <w:sz w:val="22"/>
        </w:rPr>
        <w:t>Trocar para essa opção não é uma solução para a cota esgotada do Gemini. A indisponibilidade do mesmo provedor pode afetar ambas as páginas. Use a opção principal como referência de operação até que um provedor alternativo seja efetivamente configurado.</w:t>
      </w:r>
    </w:p>
    <w:p>
      <w:r>
        <w:br w:type="page"/>
      </w:r>
    </w:p>
    <w:p>
      <w:pPr>
        <w:pStyle w:val="Heading1"/>
        <w:spacing w:before="120" w:after="160"/>
      </w:pPr>
      <w:r>
        <w:t>11 Roteiro para unavailable</w:t>
      </w:r>
    </w:p>
    <w:p>
      <w:pPr>
        <w:spacing w:after="140" w:line="259" w:lineRule="auto"/>
      </w:pPr>
      <w:r>
        <w:rPr>
          <w:rFonts w:ascii="Helvetica Neue" w:hAnsi="Helvetica Neue"/>
          <w:b w:val="0"/>
          <w:sz w:val="22"/>
        </w:rPr>
        <w:t>1. Abra Monitor e confirme o nome da Production, o Estado e o horário de coleta. Se todos os hosts estiverem unavailable, comece pelo estado geral. Se apenas um estiver indisponível, confira também se ele está habilitado.</w:t>
      </w:r>
    </w:p>
    <w:p>
      <w:pPr>
        <w:spacing w:after="140" w:line="259" w:lineRule="auto"/>
      </w:pPr>
      <w:r>
        <w:rPr>
          <w:rFonts w:ascii="Helvetica Neue" w:hAnsi="Helvetica Neue"/>
          <w:b w:val="0"/>
          <w:sz w:val="22"/>
        </w:rPr>
        <w:t>2. Abra o Portal de Administração em http://localhost:53773/csp/sys/UtilHome.csp. Selecione GUARDIAN e acesse Interoperabilidade → Configurar → Production. Confira Guardian.Production.GuardianProduction.</w:t>
      </w:r>
    </w:p>
    <w:p>
      <w:pPr>
        <w:spacing w:after="140" w:line="259" w:lineRule="auto"/>
      </w:pPr>
      <w:r>
        <w:rPr>
          <w:rFonts w:ascii="Helvetica Neue" w:hAnsi="Helvetica Neue"/>
          <w:b w:val="0"/>
          <w:sz w:val="22"/>
        </w:rPr>
        <w:t>3. Consulte o Log de Eventos e o estado dos componentes para identificar por que a Production está Com problema. O Monitor não revela sozinho a causa desse estado. Iniciar, parar e habilitar são ações administrativas no Portal.</w:t>
      </w:r>
    </w:p>
    <w:p>
      <w:pPr>
        <w:spacing w:after="140" w:line="259" w:lineRule="auto"/>
      </w:pPr>
      <w:r>
        <w:rPr>
          <w:rFonts w:ascii="Helvetica Neue" w:hAnsi="Helvetica Neue"/>
          <w:b w:val="0"/>
          <w:sz w:val="22"/>
        </w:rPr>
        <w:t>4. No Investigator, selecione o componente afetado e a janela que abrange o problema. Revise os eventos e os trechos documentais. Caso não haja eventos, amplie o intervalo e consulte os logs do Portal.</w:t>
      </w:r>
    </w:p>
    <w:p>
      <w:pPr>
        <w:spacing w:after="140" w:line="259" w:lineRule="auto"/>
      </w:pPr>
      <w:r>
        <w:rPr>
          <w:rFonts w:ascii="Helvetica Neue" w:hAnsi="Helvetica Neue"/>
          <w:b w:val="0"/>
          <w:sz w:val="22"/>
        </w:rPr>
        <w:t>5. No RAG, confirme o componente e o horário da última investigação, escreva uma pergunta específica e valide a orientação com as fontes. Falha da IA não impede a leitura dos dados já apresentados.</w:t>
      </w:r>
    </w:p>
    <w:p>
      <w:pPr>
        <w:spacing w:after="140" w:line="259" w:lineRule="auto"/>
      </w:pPr>
      <w:r>
        <w:rPr>
          <w:rFonts w:ascii="Helvetica Neue" w:hAnsi="Helvetica Neue"/>
          <w:b w:val="0"/>
          <w:sz w:val="22"/>
        </w:rPr>
        <w:t>6. Depois de uma correção operacional, retorne ao Monitor e acompanhe o estado geral, a fila e as mensagens. Erros recentes podem manter degraded por até 15 minutos; não reenvie mensagens apenas para mudar a cor do cartão.</w:t>
      </w:r>
    </w:p>
    <w:p>
      <w:pPr>
        <w:pStyle w:val="Heading2"/>
        <w:spacing w:before="120" w:after="160"/>
      </w:pPr>
      <w:r>
        <w:t>Cuidados de leitura</w:t>
      </w:r>
    </w:p>
    <w:p>
      <w:pPr>
        <w:spacing w:after="140" w:line="259" w:lineRule="auto"/>
      </w:pPr>
      <w:r>
        <w:rPr>
          <w:rFonts w:ascii="Helvetica Neue" w:hAnsi="Helvetica Neue"/>
          <w:b w:val="0"/>
          <w:sz w:val="20"/>
        </w:rPr>
        <w:t>Uma tela aberta prova acesso à aplicação, não execução da Production. Fila zero não comprova entrega. Documento de experimento não é evento atual. Similaridade não é confiança. Amostras não têm intervalo necessariamente uniforme. Atualizar uma URL que contém a pergunta ou os parâmetros da investigação pode executar a consulta novamente.</w:t>
      </w:r>
    </w:p>
    <w:p>
      <w:pPr>
        <w:pStyle w:val="Heading2"/>
        <w:spacing w:before="120" w:after="160"/>
      </w:pPr>
      <w:r>
        <w:t>Referências e versão</w:t>
      </w:r>
    </w:p>
    <w:p>
      <w:pPr>
        <w:spacing w:after="140" w:line="259" w:lineRule="auto"/>
      </w:pPr>
      <w:r>
        <w:rPr>
          <w:rFonts w:ascii="Helvetica Neue" w:hAnsi="Helvetica Neue"/>
          <w:b w:val="0"/>
          <w:sz w:val="18"/>
        </w:rPr>
        <w:t>Telas capturadas em 12/09/2026 no ambiente local. Definições conferidas em Guardian.UI.MonitorPage, InvestigatorPage, RAGPage, RAGAltPage e Shared; regras em Guardian.Monitor.StatusCollector, Guardian.Investigator.EvidenceCollector e Guardian.RAG.Query; fluxo em GuardianProduction e IncidentRoutingRule.</w:t>
      </w:r>
    </w:p>
    <w:p>
      <w:pPr>
        <w:spacing w:after="140" w:line="259" w:lineRule="auto"/>
      </w:pPr>
      <w:r>
        <w:rPr>
          <w:rFonts w:ascii="Helvetica Neue" w:hAnsi="Helvetica Neue"/>
          <w:b w:val="0"/>
          <w:sz w:val="18"/>
        </w:rPr>
        <w:t>Arquivos do projeto: src/Guardian/UI; src/Guardian/Monitor/StatusCollector.cls; src/Guardian/Investigator/EvidenceCollector.cls; src/Guardian/RAG/Query.cls. O comportamento documentado deve ser revisto quando essas classes ou a configuração da Production forem alteradas.</w:t>
      </w:r>
    </w:p>
    <w:sectPr>
      <w:headerReference w:type="default" r:id="rId9"/>
      <w:footerReference w:type="default" r:id="rId10"/>
      <w:pgSz w:w="12240" w:h="15840"/>
      <w:pgMar w:top="1440" w:right="1440" w:bottom="1440" w:left="1440" w:header="705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90939A4" w14:textId="77777777">
      <w:r>
        <w:separator/>
      </w:r>
    </w:p>
  </w:endnote>
  <w:endnote w:type="continuationSeparator" w:id="0">
    <w:p w14:paraId="56A038BD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DD3E6FD9-D3EA-0B48-A55F-C080D5A51BF2}"/>
    <w:embedBold r:id="rId2" w:fontKey="{DDFB625A-45BE-CE44-B15E-DF5BB7815FF7}"/>
    <w:embedItalic r:id="rId3" w:fontKey="{6119CEB5-DE25-6D4D-B2F9-50E47E40CFE1}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7" w:fontKey="{F3731299-A1D5-B542-9E67-1B0FA6F28CD4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8" w:fontKey="{682841DE-6A2C-764D-8B8B-541E954AD362}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  <w:embedRegular r:id="rId9" w:fontKey="{D4D164A4-8B83-F44E-A13B-A0908815976C}"/>
  </w:font>
  <w:font w:name="Cambria">
    <w:panose1 w:val="02040503050406030204"/>
    <w:charset w:val="00"/>
    <w:family w:val="roman"/>
    <w:notTrueType/>
    <w:pitch w:val="default"/>
    <w:embedRegular r:id="rId10" w:fontKey="{129DD48A-EFF5-1A47-8CFE-E7D5F089F46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5178A6B" w14:textId="77777777">
    <w:pPr>
      <w:pBdr>
        <w:top w:val="nil"/>
      </w:pBdr>
      <w:tabs>
        <w:tab w:val="right" w:pos="9360"/>
      </w:tabs>
      <w:rPr>
        <w:color w:val="112075"/>
      </w:rPr>
    </w:pPr>
    <w:r>
      <w:rPr>
        <w:color w:val="112075"/>
        <w:sz w:val="16"/>
        <w:szCs w:val="16"/>
      </w:rPr>
      <w:t xml:space="preserve">Manual de uso — </w:t>
    </w:r>
    <w:r>
      <w:rPr>
        <w:color w:val="112075"/>
        <w:sz w:val="16"/>
        <w:szCs w:val="16"/>
      </w:rPr>
      <w:fldChar w:fldCharType="begin"/>
    </w:r>
    <w:r>
      <w:rPr>
        <w:color w:val="112075"/>
        <w:sz w:val="16"/>
        <w:szCs w:val="16"/>
      </w:rPr>
      <w:instrText>PAGE</w:instrText>
    </w:r>
    <w:r>
      <w:rPr>
        <w:color w:val="112075"/>
        <w:sz w:val="16"/>
        <w:szCs w:val="16"/>
      </w:rPr>
      <w:fldChar w:fldCharType="separate"/>
    </w:r>
    <w:r>
      <w:rPr>
        <w:noProof/>
        <w:color w:val="112075"/>
        <w:sz w:val="16"/>
        <w:szCs w:val="16"/>
      </w:rPr>
      <w:t>1</w:t>
    </w:r>
    <w:r>
      <w:rPr>
        <w:color w:val="112075"/>
        <w:sz w:val="16"/>
        <w:szCs w:val="16"/>
      </w:rPr>
      <w:fldChar w:fldCharType="end"/>
    </w:r>
    <w:r>
      <w:rPr>
        <w:color w:val="112075"/>
        <w:sz w:val="16"/>
        <w:szCs w:val="16"/>
      </w:rPr>
      <w:t xml:space="preserve"> de </w:t>
    </w:r>
    <w:r>
      <w:rPr>
        <w:color w:val="112075"/>
        <w:sz w:val="16"/>
        <w:szCs w:val="16"/>
      </w:rPr>
      <w:fldChar w:fldCharType="begin"/>
    </w:r>
    <w:r>
      <w:rPr>
        <w:color w:val="112075"/>
        <w:sz w:val="16"/>
        <w:szCs w:val="16"/>
      </w:rPr>
      <w:instrText>NUMPAGES</w:instrText>
    </w:r>
    <w:r>
      <w:rPr>
        <w:color w:val="112075"/>
        <w:sz w:val="16"/>
        <w:szCs w:val="16"/>
      </w:rPr>
      <w:fldChar w:fldCharType="separate"/>
    </w:r>
    <w:r>
      <w:rPr>
        <w:noProof/>
        <w:color w:val="112075"/>
        <w:sz w:val="16"/>
        <w:szCs w:val="16"/>
      </w:rPr>
      <w:t>2</w:t>
    </w:r>
    <w:r>
      <w:rPr>
        <w:color w:val="112075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394D08F" w14:textId="77777777">
      <w:r>
        <w:separator/>
      </w:r>
    </w:p>
  </w:footnote>
  <w:footnote w:type="continuationSeparator" w:id="0">
    <w:p w14:paraId="4AF4CD87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24F3B78" w14:textId="77777777">
    <w:pPr>
      <w:tabs>
        <w:tab w:val="right" w:pos="9360"/>
      </w:tabs>
      <w:rPr>
        <w:color w:val="1A1BAA"/>
        <w:sz w:val="16"/>
        <w:szCs w:val="16"/>
      </w:rPr>
    </w:pPr>
  </w:p>
  <w:tbl>
    <w:tblPr>
      <w:tblStyle w:val="a4"/>
      <w:tblW w:w="9360" w:type="dxa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Look w:val="0600" w:firstRow="0" w:lastRow="0" w:firstColumn="0" w:lastColumn="0" w:noHBand="1" w:noVBand="1"/>
    </w:tblPr>
    <w:tblGrid>
      <w:gridCol w:w="9360"/>
    </w:tblGrid>
    <w:tr w14:paraId="2CCD06D5" w14:textId="77777777">
      <w:tc>
        <w:tcPr>
          <w:tcW w:w="9360" w:type="dxa"/>
          <w:tcBorders>
            <w:top w:val="single" w:sz="48" w:space="0" w:color="112075"/>
            <w:left w:val="single" w:sz="8" w:space="0" w:color="FFFFFF"/>
            <w:bottom w:val="single" w:sz="8" w:space="0" w:color="FFFFFF"/>
            <w:right w:val="single" w:sz="8" w:space="0" w:color="FFFFFF"/>
          </w:tcBorders>
          <w:tcMar>
            <w:top w:w="0" w:type="dxa"/>
            <w:left w:w="0" w:type="dxa"/>
            <w:bottom w:w="0" w:type="dxa"/>
            <w:right w:w="0" w:type="dxa"/>
          </w:tcMar>
        </w:tcPr>
        <w:p w14:paraId="44A9451B" w14:textId="77777777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rPr>
              <w:color w:val="1A1BAA"/>
              <w:sz w:val="16"/>
              <w:szCs w:val="16"/>
            </w:rPr>
          </w:pPr>
        </w:p>
      </w:tc>
    </w:tr>
  </w:tbl>
  <w:p w14:paraId="508BF40B" w14:textId="77777777">
    <w:pPr>
      <w:tabs>
        <w:tab w:val="right" w:pos="9360"/>
      </w:tabs>
      <w:rPr>
        <w:b/>
        <w:bCs/>
        <w:color w:val="112075"/>
        <w:sz w:val="16"/>
        <w:szCs w:val="16"/>
      </w:rPr>
    </w:pPr>
    <w:r>
      <w:rPr>
        <w:color w:val="112075"/>
        <w:sz w:val="16"/>
        <w:szCs w:val="16"/>
      </w:rPr>
      <w:t>IRIS Production Guardian</w:t>
    </w:r>
  </w:p>
  <w:p w14:paraId="241E1B98" w14:textId="77777777">
    <w:pPr>
      <w:tabs>
        <w:tab w:val="right" w:pos="9360"/>
      </w:tabs>
      <w:rPr>
        <w:b/>
        <w:bCs/>
        <w:color w:val="2224C5"/>
        <w:sz w:val="16"/>
        <w:szCs w:val="16"/>
      </w:rPr>
    </w:pPr>
  </w:p>
  <w:p w14:paraId="321568A4" w14:textId="77777777">
    <w:pPr>
      <w:tabs>
        <w:tab w:val="right" w:pos="9360"/>
      </w:tabs>
      <w:rPr>
        <w:b/>
        <w:bCs/>
        <w:color w:val="2224C5"/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7D01B79"/>
    <w:multiLevelType w:val="multilevel"/>
    <w:tmpl w:val="66202F6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6A8E1372"/>
    <w:multiLevelType w:val="multilevel"/>
    <w:tmpl w:val="CAB63DA0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760104273">
    <w:abstractNumId w:val="1"/>
  </w:num>
  <w:num w:numId="2" w16cid:durableId="56256202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2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480917"/>
  <w15:docId w15:val="{05643887-4187-7F4D-B23A-57FBA86AE336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280" w:after="160"/>
      <w:outlineLvl w:val="0"/>
    </w:pPr>
    <w:rPr>
      <w:rFonts w:ascii="Helvetica Neue" w:eastAsia="Helvetica Neue" w:hAnsi="Helvetica Neue" w:cs="Helvetica Neue"/>
      <w:b/>
      <w:bCs/>
      <w:color w:val="112075"/>
      <w:sz w:val="30"/>
      <w:szCs w:val="30"/>
    </w:rPr>
  </w:style>
  <w:style w:type="paragraph" w:styleId="Heading2">
    <w:name w:val="heading 2"/>
    <w:basedOn w:val="Normal"/>
    <w:next w:val="Normal"/>
    <w:uiPriority w:val="9"/>
    <w:unhideWhenUsed/>
    <w:qFormat/>
    <w:pPr>
      <w:spacing w:before="200" w:after="100"/>
      <w:outlineLvl w:val="1"/>
    </w:pPr>
    <w:rPr>
      <w:rFonts w:ascii="Helvetica Neue" w:eastAsia="Helvetica Neue" w:hAnsi="Helvetica Neue" w:cs="Helvetica Neue"/>
      <w:b/>
      <w:bCs/>
      <w:color w:val="112075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140" w:after="80"/>
      <w:outlineLvl w:val="2"/>
    </w:pPr>
    <w:rPr>
      <w:b/>
      <w:bCs/>
      <w:color w:val="404040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before="280" w:after="160"/>
      <w:jc w:val="center"/>
    </w:pPr>
    <w:rPr>
      <w:rFonts w:ascii="Helvetica Neue" w:eastAsia="Helvetica Neue" w:hAnsi="Helvetica Neue" w:cs="Helvetica Neue"/>
      <w:b/>
      <w:bCs/>
      <w:color w:val="112075"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1658</Words>
  <Characters>9454</Characters>
  <Application>Microsoft Office Word</Application>
  <DocSecurity>0</DocSecurity>
  <Lines>78</Lines>
  <Paragraphs>22</Paragraphs>
  <ScaleCrop>false</ScaleCrop>
  <Company/>
  <LinksUpToDate>false</LinksUpToDate>
  <CharactersWithSpaces>11090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