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Title"/>
        <w:spacing w:before="1300"/>
        <w:jc w:val="center"/>
      </w:pPr>
      <w:r>
        <w:t>MANUAL DE USO</w:t>
      </w:r>
    </w:p>
    <w:p>
      <w:pPr>
        <w:pStyle w:val="Heading1"/>
        <w:jc w:val="center"/>
      </w:pPr>
      <w:r>
        <w:t>IRIS Production Guardian</w:t>
      </w:r>
    </w:p>
    <w:p>
      <w:pPr>
        <w:spacing w:after="140" w:line="259" w:lineRule="auto"/>
        <w:jc w:val="center"/>
      </w:pPr>
      <w:r>
        <w:rPr>
          <w:rFonts w:ascii="Helvetica Neue" w:hAnsi="Helvetica Neue"/>
          <w:b w:val="0"/>
          <w:sz w:val="28"/>
        </w:rPr>
        <w:t>Monitoramento da Production e investigação assistida por IA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Este manual ensina a navegar pela aplicação, interpretar cada campo e usar o Investigator e o RAG Assistant. As capturas mostram o ambiente real em 12 de setembro de 2026; os números e as respostas podem mudar a cada consulta.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O caminho de uso é Monitor → Investigator → RAG Assistant. Alterações operacionais, como iniciar a Production, são realizadas no Portal de Administração do IRIS.</w:t>
      </w:r>
    </w:p>
    <w:p>
      <w:pPr>
        <w:spacing w:after="140" w:line="259" w:lineRule="auto"/>
      </w:pPr>
      <w:r>
        <w:rPr>
          <w:rFonts w:ascii="Helvetica Neue" w:hAnsi="Helvetica Neue"/>
          <w:b/>
          <w:sz w:val="22"/>
        </w:rPr>
        <w:t>Edição 1 • 12 de setembro de 2026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Identificação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Descrição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Aplicação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IRIS Production Guardian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Ambiente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Local • namespace GUARDIAN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Público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Operadores, suporte e administradores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Cobertura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Quatro telas, indicadores, campos de entrada, resultados, fontes e orientações para indisponibilidade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pStyle w:val="Heading2"/>
        <w:spacing w:before="120" w:after="160"/>
      </w:pPr>
      <w:r>
        <w:t>Como consultar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Acesso e navegação: página 2. Monitor: páginas 3 a 5. Investigator: páginas 6 a 8. RAG Assistant: páginas 9 a 11. Roteiro operacional e referências: página 12.</w:t>
      </w:r>
    </w:p>
    <w:p>
      <w:r>
        <w:br w:type="page"/>
      </w:r>
    </w:p>
    <w:p>
      <w:pPr>
        <w:pStyle w:val="Heading1"/>
        <w:spacing w:before="120" w:after="160"/>
      </w:pPr>
      <w:r>
        <w:t>1 Acesso e navegação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No computador em que o IRIS está publicado, abra o endereço abaixo. Se aparecer uma solicitação de login, use seu usuário autorizado do IRIS.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0"/>
        </w:rPr>
        <w:t>http://localhost:53773/csp/guardian/Guardian.UI.MonitorPage.cls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O endereço localhost se refere ao próprio computador. Em outra máquina, é necessário o endereço do servidor fornecido pelo administrador.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1920240" cy="1390161"/>
            <wp:docPr id="1" name="Picture 1" descr="Figura 1. Opções do menu lateral. O resumo da Production aparece abaixo del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monitor.png"/>
                    <pic:cNvPicPr/>
                  </pic:nvPicPr>
                  <pic:blipFill>
                    <a:blip r:embed="rId13"/>
                    <a:srcRect l="0" t="14641" r="82400" b="60145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390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</w:pPr>
      <w:r>
        <w:rPr>
          <w:rFonts w:ascii="Helvetica Neue" w:hAnsi="Helvetica Neue"/>
          <w:b w:val="0"/>
          <w:i/>
          <w:color w:val="606060"/>
          <w:sz w:val="18"/>
        </w:rPr>
        <w:t>Figura 1. Opções do menu lateral. O resumo da Production aparece abaixo delas.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Campo ou elemento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O que representa e como usar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Monitor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Abre a visão completa dos componentes, filas, mensagens e erros.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Investigator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Abre o formulário para investigar um componente em uma janela de tempo.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RAG Assistant (Gemini)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Consulta a documentação indexada e pode usar a última investigação como contexto.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RAG Assistant (novo modelo)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Segunda interface de consulta. Nesta edição, usa o mesmo Gemini; não é um provedor alternativo ativo.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Production Monitor lateral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Mostra o nome da Production, estado, horário de coleta e uma linha por componente.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Ponto colorido e nome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 cor resume a saúde. Nomes longos podem aparecer cortados; passe o ponteiro sobre o nome para ver o completo.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Ver detalhes completos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Retorna à tela Monitor.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r>
        <w:br w:type="page"/>
      </w:r>
    </w:p>
    <w:p>
      <w:pPr>
        <w:pStyle w:val="Heading1"/>
        <w:spacing w:before="120" w:after="160"/>
      </w:pPr>
      <w:r>
        <w:t>2 Visão geral do Monitor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43600" cy="2997962"/>
            <wp:docPr id="2" name="Picture 2" descr="Figura 2. Monitor real com a Production em estado Com problem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monitor.png"/>
                    <pic:cNvPicPr/>
                  </pic:nvPicPr>
                  <pic:blipFill>
                    <a:blip r:embed="rId13"/>
                    <a:srcRect l="0" t="1370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</w:pPr>
      <w:r>
        <w:rPr>
          <w:rFonts w:ascii="Helvetica Neue" w:hAnsi="Helvetica Neue"/>
          <w:b w:val="0"/>
          <w:i/>
          <w:color w:val="606060"/>
          <w:sz w:val="18"/>
        </w:rPr>
        <w:t>Figura 2. Monitor real com a Production em estado Com problema.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Leia a tela da esquerda para a direita: entrada de mensagens, processamento e saída. Cada cartão representa um componente configurado, também chamado de host. Neste contexto, host não significa necessariamente um servidor físico.</w:t>
      </w:r>
    </w:p>
    <w:p>
      <w:pPr>
        <w:pStyle w:val="Heading2"/>
        <w:spacing w:before="120" w:after="160"/>
      </w:pPr>
      <w:r>
        <w:t>Como ler o exemplo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Na captura, FileIncidentService tem 17 mensagens; IncidentRouterProcess, 53; FileOutputOperation, 26; PriorityOutputOperation, 10. Todas as filas e os contadores de erros recentes estão zerados. Ainda assim, todos os cartões estão unavailable porque a Production monitorada não está em execução normal.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Essas contagens não devem ser somadas para obter o número de incidentes. Uma mensagem participa de mais de um componente, e o histórico pode incluir respostas entre eles.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O Monitor atualiza a cada 10 segundos. A barra lateral das outras telas é coletada quando a página é carregada; ela não é atualizada continuamente enquanto você lê uma análise longa.</w:t>
      </w:r>
    </w:p>
    <w:p>
      <w:r>
        <w:br w:type="page"/>
      </w:r>
    </w:p>
    <w:p>
      <w:pPr>
        <w:pStyle w:val="Heading1"/>
        <w:spacing w:before="120" w:after="160"/>
      </w:pPr>
      <w:r>
        <w:t>3 Campos e indicadores do Monitor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Campo ou elemento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O que representa e como usar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Production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Nome exato da Production acompanhada: Guardian.Production.GuardianProduction. Não existe seletor de Production nesta interface.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Estado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Texto retornado pelo IRIS, como Com problema. Descreve a Production inteira; difere do selo de saúde de cada host.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Coletado em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Data e hora do servidor IRIS em que os dados foram consultados. A interface não mostra o fuso nem faz conversão para o horário do navegador.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Atualiza a cada 10s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Intervalo de recarregamento automático da tela principal do Monitor.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Hosts de entrada (Service)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Componentes que recebem dados para iniciar o fluxo.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Hosts de processamento (Process)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Componentes que tratam e encaminham as mensagens.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Hosts de saída (Operation)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Componentes que entregam dados ao destino.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Nome no cartão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Nome do item configurado na Production. Use o mesmo nome ao selecionar um componente no Investigator.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Selo de saúde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Resultado das regras de unavailable, unknown, degraded e healthy, explicadas na próxima página.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Fila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Quantidade pendente na fila consultada naquele instante. Zero não prova que todo processamento foi concluído com sucesso.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Mensagens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Quantidade de cabeçalhos de mensagem ainda registrados em que o host aparece como origem ou destino. É histórico acumulado, não taxa nem total da janela do Investigator.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Erros recentes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Quantidade de cabeçalhos com erro envolvendo o host e criados nos últimos 900 segundos, equivalentes a 15 minutos.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Tendência de fila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Até 10 amostras persistidas, da mais antiga para a mais recente. Por exemplo, 7, 3, 0 indica redução da fila.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Travado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Selo adicional: as últimas três amostras têm fila positiva e sem diminuir. Indica acúmulo; não confirma um processo do sistema operacional travado.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0"/>
        </w:rPr>
        <w:t>As amostras são gravadas quando o coletor é chamado. Uma navegação pode gerar mais de uma coleta; três amostras não equivalem obrigatoriamente a 30 segundos. Não há coletor independente agendado nesta versão.</w:t>
      </w:r>
    </w:p>
    <w:p>
      <w:r>
        <w:br w:type="page"/>
      </w:r>
    </w:p>
    <w:p>
      <w:pPr>
        <w:pStyle w:val="Heading1"/>
        <w:spacing w:before="120" w:after="160"/>
      </w:pPr>
      <w:r>
        <w:t>4 Estados e componentes do fluxo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As regras são aplicadas nesta ordem. A primeira condição atendida determina o selo do cartão.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Regra e interpretação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1 unavailable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 Production esperada não está em execução ou o componente está desabilitado. Verifique primeiro o estado geral e depois a configuração do host.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2 unknown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Production em execução e host habilitado, mas sem mensagens no histórico disponível. Ainda não há base de tráfego para classificá-lo como saudável.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3 degraded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Host habilitado, Production em execução e histórico existente; há fila positiva ou erro nos últimos 15 minutos.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4 healthy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Host habilitado, Production em execução, histórico existente, fila zerada e nenhum erro recente.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Um erro já resolvido pode manter degraded até sair da janela de 15 minutos. O selo não prova uma falha ativa. Da mesma forma, healthy não é uma verificação direta de todos os processos e destinos externos.</w:t>
      </w:r>
    </w:p>
    <w:p>
      <w:pPr>
        <w:pStyle w:val="Heading2"/>
        <w:spacing w:before="120" w:after="160"/>
      </w:pPr>
      <w:r>
        <w:t>O papel dos quatro componentes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Nome abreviado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Função na definição do projeto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FileIncidentService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Recebe arquivos .txt em /durable/guardian/in e usa /durable/guardian/archive para arquivamento.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IncidentRouterProcess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Trata a mensagem de incidente e aplica a regra de roteamento por severidade.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FileOutputOperation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Grava a saída normal em /durable/guardian/out.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PriorityOutputOperation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Grava a saída priorizada em /durable/guardian/out_priority. Na regra do projeto, recebe MEDIUM, HIGH e CRITICAL; os demais valores seguem para a saída normal.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0"/>
        </w:rPr>
        <w:t>Os caminhos pertencem ao ambiente do IRIS. A definição carregada no Portal pode ter alterações; consulte a configuração efetiva antes de operar. PublicHealthProduction é outra Production e não é acompanhada por este Monitor.</w:t>
      </w:r>
    </w:p>
    <w:p>
      <w:r>
        <w:br w:type="page"/>
      </w:r>
    </w:p>
    <w:p>
      <w:pPr>
        <w:pStyle w:val="Heading1"/>
        <w:spacing w:before="120" w:after="160"/>
      </w:pPr>
      <w:r>
        <w:t>5 Preencher uma investigação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43600" cy="1750619"/>
            <wp:docPr id="3" name="Picture 3" descr="Figura 3. Formulário inicial do AI Incident Investigat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investigator.png"/>
                    <pic:cNvPicPr/>
                  </pic:nvPicPr>
                  <pic:blipFill>
                    <a:blip r:embed="rId14"/>
                    <a:srcRect l="28500" t="4000" r="8000" b="589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0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</w:pPr>
      <w:r>
        <w:rPr>
          <w:rFonts w:ascii="Helvetica Neue" w:hAnsi="Helvetica Neue"/>
          <w:b w:val="0"/>
          <w:i/>
          <w:color w:val="606060"/>
          <w:sz w:val="18"/>
        </w:rPr>
        <w:t>Figura 3. Formulário inicial do AI Incident Investigator.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Campo ou elemento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O que representa e como usar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Componente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Lista dos hosts da Production monitorada. Selecione o nome visto no cartão; o tipo aparece entre parênteses.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Selecione...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Opção inicial sem componente escolhido. Selecione um item para obter resultado.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Janela (minutos)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Período retrospectivo dos eventos, contado a partir da consulta. O padrão da tela é 60 minutos; o formulário aceita no mínimo 1.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Investigar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Coleta saúde atual, até 20 mensagens recentes da janela e documentação relacionada; solicita uma análise à IA.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Investigando...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Estado temporário do botão após o envio. O botão fica desabilitado enquanto a solicitação é processada.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Coletando evidência e analisando com IA...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Indica processamento em andamento. Aguarde o resultado para evitar consultas repetidas.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pStyle w:val="Heading2"/>
        <w:spacing w:before="120" w:after="160"/>
      </w:pPr>
      <w:r>
        <w:t>Exemplo de uso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1. Abra Investigator.</w:t>
        <w:br/>
        <w:t>2. Escolha Guardian.Operation.FileOutputOperation.</w:t>
        <w:br/>
        <w:t>3. Mantenha 60 minutos para examinar a última hora.</w:t>
        <w:br/>
        <w:t>4. Clique em Investigar.</w:t>
        <w:br/>
        <w:t>5. Leia Saúde atual e Eventos na janela antes de avaliar a Análise.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Para ampliar a busca, use por exemplo 1440 minutos para um dia. A janela altera os eventos recuperados; não altera o histórico de Mensagens nem a janela fixa de 15 minutos de Erros recentes.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0"/>
        </w:rPr>
        <w:t>A investigação não inicia, para, habilita ou corrige componentes. O resultado é salvo para consulta contextual pelo RAG; esta interface ainda não oferece uma lista navegável de investigações anteriores.</w:t>
      </w:r>
    </w:p>
    <w:p>
      <w:r>
        <w:br w:type="page"/>
      </w:r>
    </w:p>
    <w:p>
      <w:pPr>
        <w:pStyle w:val="Heading1"/>
        <w:spacing w:before="120" w:after="160"/>
      </w:pPr>
      <w:r>
        <w:t>6 Interpretar o resultado da investigação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43600" cy="2936746"/>
            <wp:docPr id="4" name="Picture 4" descr="Figura 4. Resultado real para FileOutputOperation, com janela de 60 minut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vestigacao-resultado.png"/>
                    <pic:cNvPicPr/>
                  </pic:nvPicPr>
                  <pic:blipFill>
                    <a:blip r:embed="rId15"/>
                    <a:srcRect l="28500" t="30255" r="12000" b="115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</w:pPr>
      <w:r>
        <w:rPr>
          <w:rFonts w:ascii="Helvetica Neue" w:hAnsi="Helvetica Neue"/>
          <w:b w:val="0"/>
          <w:i/>
          <w:color w:val="606060"/>
          <w:sz w:val="18"/>
        </w:rPr>
        <w:t>Figura 4. Resultado real para FileOutputOperation, com janela de 60 minutos.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Campo ou elemento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O que representa e como usar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Saúde atual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Repete a classificação e as métricas do coletor do Monitor: selo, Fila, Mensagens e Erros recentes.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Eventos na janela (N)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Número de mensagens recuperadas para o componente no período. São no máximo 20, da mais recente para a mais antiga; não é necessariamente o total do período.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Nenhum evento registrado nesta janela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Nenhuma mensagem correspondente foi recuperada no intervalo. Não significa que o componente nunca tenha processado dados.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msg # e data/hora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Quando há eventos, mostra o identificador do cabeçalho de mensagem e o momento de criação.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Origem → destino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Mostra quem enviou e quem recebeu a mensagem. Permite localizar o trecho do fluxo envolvido.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sucesso ou texto de erro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Apresenta a interpretação do status do cabeçalho. O erro legível ajuda a buscar a causa e a documentação correspondente.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0"/>
        </w:rPr>
        <w:t>A lista de eventos vem do histórico de mensagens. Ela não substitui o Log de Eventos completo do Portal IRIS. Na captura, N = 0 e Mensagens = 26 são compatíveis: há histórico, mas nenhum registro na última hora.</w:t>
      </w:r>
    </w:p>
    <w:p>
      <w:r>
        <w:br w:type="page"/>
      </w:r>
    </w:p>
    <w:p>
      <w:pPr>
        <w:pStyle w:val="Heading1"/>
        <w:spacing w:before="120" w:after="160"/>
      </w:pPr>
      <w:r>
        <w:t>7 Análise e documentação relacionada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43600" cy="1117684"/>
            <wp:docPr id="5" name="Picture 5" descr="Figura 5. Documentação recuperada para apoiar a investigaçã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vestigacao-fontes.png"/>
                    <pic:cNvPicPr/>
                  </pic:nvPicPr>
                  <pic:blipFill>
                    <a:blip r:embed="rId16"/>
                    <a:srcRect l="30000" t="1108" r="12500" b="774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</w:pPr>
      <w:r>
        <w:rPr>
          <w:rFonts w:ascii="Helvetica Neue" w:hAnsi="Helvetica Neue"/>
          <w:b w:val="0"/>
          <w:i/>
          <w:color w:val="606060"/>
          <w:sz w:val="18"/>
        </w:rPr>
        <w:t>Figura 5. Documentação recuperada para apoiar a investigação.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Campo ou elemento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O que representa e como usar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Análise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Texto gerado por IA a partir da saúde, eventos e documentos recuperados. Pode conter interpretações incorretas; confirme com os dados mostrados.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Resumo e observações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Resumo do caso e fatos que o modelo identifica na evidência.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Hipóteses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Possíveis explicações. Não equivalem a causa confirmada.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Lacunas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Informações que faltam para concluir o diagnóstico.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Próximos passos sugeridos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Ações de verificação propostas. Nenhuma é executada automaticamente.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Documentação relacionada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Trechos da base indexada selecionados para apoiar o caso. Se não houver resultados, a tela informa isso.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Título da fonte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Nome do documento de origem do trecho.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Fonte entre parênteses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Identificador ou nome do arquivo de origem. É uma referência textual, não necessariamente um link clicável.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similaridade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Pontuação de proximidade entre a busca e o trecho, mostrada com três casas decimais. Não é probabilidade de acerto da análise.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Texto da fonte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Trecho recuperado, que pode conter exemplos históricos. Um erro descrito ali não prova que o mesmo erro esteja acontecendo agora.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spacing w:after="140" w:line="259" w:lineRule="auto"/>
      </w:pPr>
      <w:r>
        <w:rPr>
          <w:rFonts w:ascii="Helvetica Neue" w:hAnsi="Helvetica Neue"/>
          <w:b/>
          <w:sz w:val="20"/>
        </w:rPr>
        <w:t>Atenção ao exemplo real: a análise chamou as métricas de “Últimos 60 min”. A regra correta é: Fila e saúde são atuais; Mensagens é acumulado; Erros recentes usa 15 minutos; apenas os eventos seguem os 60 minutos escolhidos.</w:t>
      </w:r>
    </w:p>
    <w:p>
      <w:r>
        <w:br w:type="page"/>
      </w:r>
    </w:p>
    <w:p>
      <w:pPr>
        <w:pStyle w:val="Heading1"/>
        <w:spacing w:before="120" w:after="160"/>
      </w:pPr>
      <w:r>
        <w:t>8 Usar o RAG Assistant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43600" cy="2824560"/>
            <wp:docPr id="6" name="Picture 6" descr="Figura 6. RAG com contexto de uma investigação anterior que registrou erro de cot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ag.png"/>
                    <pic:cNvPicPr/>
                  </pic:nvPicPr>
                  <pic:blipFill>
                    <a:blip r:embed="rId17"/>
                    <a:srcRect l="31500" t="4000" r="15000" b="456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</w:pPr>
      <w:r>
        <w:rPr>
          <w:rFonts w:ascii="Helvetica Neue" w:hAnsi="Helvetica Neue"/>
          <w:b w:val="0"/>
          <w:i/>
          <w:color w:val="606060"/>
          <w:sz w:val="18"/>
        </w:rPr>
        <w:t>Figura 6. RAG com contexto de uma investigação anterior que registrou erro de cota.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Campo ou elemento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O que representa e como usar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Contexto: última investigação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Bloco opcional que reaproveita a investigação mais recente salva no ambiente. Confira se corresponde ao caso que deseja consultar.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Componente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Host investigado no resultado salvo. Pode ser diferente daquele que você pretendia consultar agora.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janela e data/hora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Período usado na investigação e momento em que ela foi registrada; não indicam uma nova coleta de eventos.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Resumo no bloco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Exibe até 600 caracteres da análise. Há rolagem interna quando necessário. A consulta usa o texto completo salvo.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Pergunte sobre o projeto...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Campo da pergunta. Pode vir preenchido com uma sugestão baseada no componente da última investigação; você pode editá-la.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Perguntar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Envia a pergunta à IA com documentos recuperados e, quando presente, a última investigação.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Perguntando... e indicador de espera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Mostram que a consulta está em processamento. Só abrir a página com a sugestão não dispara a pergunta.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0"/>
        </w:rPr>
        <w:t>Exemplo: “O que significa unavailable no Monitor e quais verificações devo fazer antes de iniciar a Production?” Faça perguntas específicas e confira as fontes antes de aplicar uma orientação.</w:t>
      </w:r>
    </w:p>
    <w:p>
      <w:r>
        <w:br w:type="page"/>
      </w:r>
    </w:p>
    <w:p>
      <w:pPr>
        <w:pStyle w:val="Heading1"/>
        <w:spacing w:before="120" w:after="160"/>
      </w:pPr>
      <w:r>
        <w:t>9 Respostas e falhas do RAG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43600" cy="2029232"/>
            <wp:docPr id="7" name="Picture 7" descr="Figura 7. Consulta real retornou HTTP 429 do Gemin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ag-resposta.png"/>
                    <pic:cNvPicPr/>
                  </pic:nvPicPr>
                  <pic:blipFill>
                    <a:blip r:embed="rId18"/>
                    <a:srcRect l="32800" t="55817" r="15500" b="92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9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</w:pPr>
      <w:r>
        <w:rPr>
          <w:rFonts w:ascii="Helvetica Neue" w:hAnsi="Helvetica Neue"/>
          <w:b w:val="0"/>
          <w:i/>
          <w:color w:val="606060"/>
          <w:sz w:val="18"/>
        </w:rPr>
        <w:t>Figura 7. Consulta real retornou HTTP 429 do Gemini.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Campo ou elemento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O que representa e como usar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Resposta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Texto produzido com o contexto disponível. A interface apresenta a resposta após o envio; não é um chat com histórico completo de conversa.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Fontes usadas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Quando há resposta sem abstenção e fontes recuperadas, lista os trechos documentais. Título, arquivo, similaridade e texto têm o mesmo significado da página 8 deste manual.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Limiar 0.58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Referência da regra de abstenção por baixa similaridade. É uma heurística inicial, não uma garantia de qualidade ou percentual de confiança.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Não sei ou contexto insuficiente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Sem documentos suficientemente próximos e sem investigação para apoiar a consulta, o sistema pode se abster. Reformule a pergunta ou reveja a base indexada.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Não foi possível consultar o modelo de IA agora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 chamada à IA falhou. A mensagem exibe o erro real; isso não significa automaticamente que a Production parou.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HTTP 429 e quota exceeded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No exemplo, o provedor informa limite de uso excedido. Verifique a cota com o responsável pela integração; siga a orientação de nova tentativa apresentada pelo serviço.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Quando existe investigação salva, o RAG pode responder apoiado nela mesmo sem documentos acima do limiar. Assim, a ausência de “Fontes usadas” não deve ser interpretada isoladamente como ausência de qualquer contexto.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0"/>
        </w:rPr>
        <w:t>A frase do rodapé sobre não inventar informações descreve o comportamento pretendido. Confira a resposta: a IA pode errar ou reproduzir uma interpretação inadequada de uma investigação anterior.</w:t>
      </w:r>
    </w:p>
    <w:p>
      <w:r>
        <w:br w:type="page"/>
      </w:r>
    </w:p>
    <w:p>
      <w:pPr>
        <w:pStyle w:val="Heading1"/>
        <w:spacing w:before="120" w:after="160"/>
      </w:pPr>
      <w:r>
        <w:t>10 A opção novo modelo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43600" cy="3539429"/>
            <wp:docPr id="8" name="Picture 8" descr="Figura 8. Segunda opção de RAG disponível no menu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ag-alternativo.png"/>
                    <pic:cNvPicPr/>
                  </pic:nvPicPr>
                  <pic:blipFill>
                    <a:blip r:embed="rId19"/>
                    <a:srcRect l="32000" t="4000" r="15000" b="335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9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</w:pPr>
      <w:r>
        <w:rPr>
          <w:rFonts w:ascii="Helvetica Neue" w:hAnsi="Helvetica Neue"/>
          <w:b w:val="0"/>
          <w:i/>
          <w:color w:val="606060"/>
          <w:sz w:val="18"/>
        </w:rPr>
        <w:t>Figura 8. Segunda opção de RAG disponível no menu.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Nesta edição, RAG Assistant (novo modelo) é uma segunda página que utiliza a mesma consulta e o mesmo provedor Gemini da opção principal. O rodapé informa que o segundo provedor ainda não foi escolhido.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Campo ou elemento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O que representa e como usar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Título e menu selecionado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Identificam a segunda página. Não comprovam uma troca de modelo.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Contexto da investigação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Usa a mesma última investigação salva no ambiente.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Pergunta e botão Perguntar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Funcionam como na opção Gemini, incluindo sugestão automática e envio explícito.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Resposta e Fontes usadas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Seguem as mesmas regras de geração, recuperação e abstenção.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Rodapé do segundo provedor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Explica que a opção é provisória e compartilha o backend atual.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Trocar para essa opção não é uma solução para a cota esgotada do Gemini. A indisponibilidade do mesmo provedor pode afetar ambas as páginas. Use a opção principal como referência de operação até que um provedor alternativo seja efetivamente configurado.</w:t>
      </w:r>
    </w:p>
    <w:p>
      <w:r>
        <w:br w:type="page"/>
      </w:r>
    </w:p>
    <w:p>
      <w:pPr>
        <w:pStyle w:val="Heading1"/>
        <w:spacing w:before="120" w:after="160"/>
      </w:pPr>
      <w:r>
        <w:t>11 Roteiro para unavailable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1. Abra Monitor e confirme o nome da Production, o Estado e o horário de coleta. Se todos os hosts estiverem unavailable, comece pelo estado geral. Se apenas um estiver indisponível, confira também se ele está habilitado.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2. Abra o Portal de Administração em http://localhost:53773/csp/sys/UtilHome.csp. Selecione GUARDIAN e acesse Interoperabilidade → Configurar → Production. Confira Guardian.Production.GuardianProduction.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3. Consulte o Log de Eventos e o estado dos componentes para identificar por que a Production está Com problema. O Monitor não revela sozinho a causa desse estado. Iniciar, parar e habilitar são ações administrativas no Portal.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4. No Investigator, selecione o componente afetado e a janela que abrange o problema. Revise os eventos e os trechos documentais. Caso não haja eventos, amplie o intervalo e consulte os logs do Portal.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5. No RAG, confirme o componente e o horário da última investigação, escreva uma pergunta específica e valide a orientação com as fontes. Falha da IA não impede a leitura dos dados já apresentados.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6. Depois de uma correção operacional, retorne ao Monitor e acompanhe o estado geral, a fila e as mensagens. Erros recentes podem manter degraded por até 15 minutos; não reenvie mensagens apenas para mudar a cor do cartão.</w:t>
      </w:r>
    </w:p>
    <w:p>
      <w:pPr>
        <w:pStyle w:val="Heading2"/>
        <w:spacing w:before="120" w:after="160"/>
      </w:pPr>
      <w:r>
        <w:t>Cuidados de leitura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0"/>
        </w:rPr>
        <w:t>Uma tela aberta prova acesso à aplicação, não execução da Production. Fila zero não comprova entrega. Documento de experimento não é evento atual. Similaridade não é confiança. Amostras não têm intervalo necessariamente uniforme. Atualizar uma URL que contém a pergunta ou os parâmetros da investigação pode executar a consulta novamente.</w:t>
      </w:r>
    </w:p>
    <w:p>
      <w:pPr>
        <w:pStyle w:val="Heading2"/>
        <w:spacing w:before="120" w:after="160"/>
      </w:pPr>
      <w:r>
        <w:t>Referências e versão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18"/>
        </w:rPr>
        <w:t>Telas capturadas em 12/09/2026 no ambiente local. Definições conferidas em Guardian.UI.MonitorPage, InvestigatorPage, RAGPage, RAGAltPage e Shared; regras em Guardian.Monitor.StatusCollector, Guardian.Investigator.EvidenceCollector e Guardian.RAG.Query; fluxo em GuardianProduction e IncidentRoutingRule.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18"/>
        </w:rPr>
        <w:t>Arquivos do projeto: src/Guardian/UI; src/Guardian/Monitor/StatusCollector.cls; src/Guardian/Investigator/EvidenceCollector.cls; src/Guardian/RAG/Query.cls. O comportamento documentado deve ser revisto quando essas classes ou a configuração da Production forem alteradas.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5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0939A4" w14:textId="77777777">
      <w:r>
        <w:separator/>
      </w:r>
    </w:p>
  </w:endnote>
  <w:endnote w:type="continuationSeparator" w:id="0">
    <w:p w14:paraId="56A038BD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DD3E6FD9-D3EA-0B48-A55F-C080D5A51BF2}"/>
    <w:embedBold r:id="rId2" w:fontKey="{DDFB625A-45BE-CE44-B15E-DF5BB7815FF7}"/>
    <w:embedItalic r:id="rId3" w:fontKey="{6119CEB5-DE25-6D4D-B2F9-50E47E40CFE1}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7" w:fontKey="{F3731299-A1D5-B542-9E67-1B0FA6F28CD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682841DE-6A2C-764D-8B8B-541E954AD362}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  <w:embedRegular r:id="rId9" w:fontKey="{D4D164A4-8B83-F44E-A13B-A0908815976C}"/>
  </w:font>
  <w:font w:name="Cambria">
    <w:panose1 w:val="02040503050406030204"/>
    <w:charset w:val="00"/>
    <w:family w:val="roman"/>
    <w:notTrueType/>
    <w:pitch w:val="default"/>
    <w:embedRegular r:id="rId10" w:fontKey="{129DD48A-EFF5-1A47-8CFE-E7D5F089F46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178A6B" w14:textId="77777777">
    <w:pPr>
      <w:pBdr>
        <w:top w:val="nil"/>
      </w:pBdr>
      <w:tabs>
        <w:tab w:val="right" w:pos="9360"/>
      </w:tabs>
      <w:rPr>
        <w:color w:val="112075"/>
      </w:rPr>
    </w:pPr>
    <w:r>
      <w:rPr>
        <w:color w:val="112075"/>
        <w:sz w:val="16"/>
        <w:szCs w:val="16"/>
      </w:rPr>
      <w:t xml:space="preserve">Manual de uso — </w:t>
    </w:r>
    <w:r>
      <w:rPr>
        <w:color w:val="112075"/>
        <w:sz w:val="16"/>
        <w:szCs w:val="16"/>
      </w:rPr>
      <w:fldChar w:fldCharType="begin"/>
    </w:r>
    <w:r>
      <w:rPr>
        <w:color w:val="112075"/>
        <w:sz w:val="16"/>
        <w:szCs w:val="16"/>
      </w:rPr>
      <w:instrText>PAGE</w:instrText>
    </w:r>
    <w:r>
      <w:rPr>
        <w:color w:val="112075"/>
        <w:sz w:val="16"/>
        <w:szCs w:val="16"/>
      </w:rPr>
      <w:fldChar w:fldCharType="separate"/>
    </w:r>
    <w:r>
      <w:rPr>
        <w:noProof/>
        <w:color w:val="112075"/>
        <w:sz w:val="16"/>
        <w:szCs w:val="16"/>
      </w:rPr>
      <w:t>1</w:t>
    </w:r>
    <w:r>
      <w:rPr>
        <w:color w:val="112075"/>
        <w:sz w:val="16"/>
        <w:szCs w:val="16"/>
      </w:rPr>
      <w:fldChar w:fldCharType="end"/>
    </w:r>
    <w:r>
      <w:rPr>
        <w:color w:val="112075"/>
        <w:sz w:val="16"/>
        <w:szCs w:val="16"/>
      </w:rPr>
      <w:t xml:space="preserve"> de </w:t>
    </w:r>
    <w:r>
      <w:rPr>
        <w:color w:val="112075"/>
        <w:sz w:val="16"/>
        <w:szCs w:val="16"/>
      </w:rPr>
      <w:fldChar w:fldCharType="begin"/>
    </w:r>
    <w:r>
      <w:rPr>
        <w:color w:val="112075"/>
        <w:sz w:val="16"/>
        <w:szCs w:val="16"/>
      </w:rPr>
      <w:instrText>NUMPAGES</w:instrText>
    </w:r>
    <w:r>
      <w:rPr>
        <w:color w:val="112075"/>
        <w:sz w:val="16"/>
        <w:szCs w:val="16"/>
      </w:rPr>
      <w:fldChar w:fldCharType="separate"/>
    </w:r>
    <w:r>
      <w:rPr>
        <w:noProof/>
        <w:color w:val="112075"/>
        <w:sz w:val="16"/>
        <w:szCs w:val="16"/>
      </w:rPr>
      <w:t>2</w:t>
    </w:r>
    <w:r>
      <w:rPr>
        <w:color w:val="11207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394D08F" w14:textId="77777777">
      <w:r>
        <w:separator/>
      </w:r>
    </w:p>
  </w:footnote>
  <w:footnote w:type="continuationSeparator" w:id="0">
    <w:p w14:paraId="4AF4CD87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4F3B78" w14:textId="77777777">
    <w:pPr>
      <w:tabs>
        <w:tab w:val="right" w:pos="9360"/>
      </w:tabs>
      <w:rPr>
        <w:color w:val="1A1BAA"/>
        <w:sz w:val="16"/>
        <w:szCs w:val="16"/>
      </w:rPr>
    </w:pPr>
  </w:p>
  <w:tbl>
    <w:tblPr>
      <w:tblStyle w:val="a4"/>
      <w:tblW w:w="936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9360"/>
    </w:tblGrid>
    <w:tr w14:paraId="2CCD06D5" w14:textId="77777777">
      <w:tc>
        <w:tcPr>
          <w:tcW w:w="9360" w:type="dxa"/>
          <w:tcBorders>
            <w:top w:val="single" w:sz="48" w:space="0" w:color="112075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0" w:type="dxa"/>
            <w:bottom w:w="0" w:type="dxa"/>
            <w:right w:w="0" w:type="dxa"/>
          </w:tcMar>
        </w:tcPr>
        <w:p w14:paraId="44A9451B" w14:textId="77777777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color w:val="1A1BAA"/>
              <w:sz w:val="16"/>
              <w:szCs w:val="16"/>
            </w:rPr>
          </w:pPr>
        </w:p>
      </w:tc>
    </w:tr>
  </w:tbl>
  <w:p w14:paraId="508BF40B" w14:textId="77777777">
    <w:pPr>
      <w:tabs>
        <w:tab w:val="right" w:pos="9360"/>
      </w:tabs>
      <w:rPr>
        <w:b/>
        <w:bCs/>
        <w:color w:val="112075"/>
        <w:sz w:val="16"/>
        <w:szCs w:val="16"/>
      </w:rPr>
    </w:pPr>
    <w:r>
      <w:rPr>
        <w:color w:val="112075"/>
        <w:sz w:val="16"/>
        <w:szCs w:val="16"/>
      </w:rPr>
      <w:t>IRIS Production Guardian</w:t>
    </w:r>
  </w:p>
  <w:p w14:paraId="241E1B98" w14:textId="77777777">
    <w:pPr>
      <w:tabs>
        <w:tab w:val="right" w:pos="9360"/>
      </w:tabs>
      <w:rPr>
        <w:b/>
        <w:bCs/>
        <w:color w:val="2224C5"/>
        <w:sz w:val="16"/>
        <w:szCs w:val="16"/>
      </w:rPr>
    </w:pPr>
  </w:p>
  <w:p w14:paraId="321568A4" w14:textId="77777777">
    <w:pPr>
      <w:tabs>
        <w:tab w:val="right" w:pos="9360"/>
      </w:tabs>
      <w:rPr>
        <w:b/>
        <w:bCs/>
        <w:color w:val="2224C5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7D01B79"/>
    <w:multiLevelType w:val="multilevel"/>
    <w:tmpl w:val="66202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6A8E1372"/>
    <w:multiLevelType w:val="multilevel"/>
    <w:tmpl w:val="CAB63DA0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760104273">
    <w:abstractNumId w:val="1"/>
  </w:num>
  <w:num w:numId="2" w16cid:durableId="56256202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2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480917"/>
  <w15:docId w15:val="{05643887-4187-7F4D-B23A-57FBA86AE33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280" w:after="160"/>
      <w:outlineLvl w:val="0"/>
    </w:pPr>
    <w:rPr>
      <w:rFonts w:ascii="Helvetica Neue" w:eastAsia="Helvetica Neue" w:hAnsi="Helvetica Neue" w:cs="Helvetica Neue"/>
      <w:b/>
      <w:bCs/>
      <w:color w:val="112075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00" w:after="100"/>
      <w:outlineLvl w:val="1"/>
    </w:pPr>
    <w:rPr>
      <w:rFonts w:ascii="Helvetica Neue" w:eastAsia="Helvetica Neue" w:hAnsi="Helvetica Neue" w:cs="Helvetica Neue"/>
      <w:b/>
      <w:bCs/>
      <w:color w:val="112075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40" w:after="80"/>
      <w:outlineLvl w:val="2"/>
    </w:pPr>
    <w:rPr>
      <w:b/>
      <w:bCs/>
      <w:color w:val="40404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280" w:after="160"/>
      <w:jc w:val="center"/>
    </w:pPr>
    <w:rPr>
      <w:rFonts w:ascii="Helvetica Neue" w:eastAsia="Helvetica Neue" w:hAnsi="Helvetica Neue" w:cs="Helvetica Neue"/>
      <w:b/>
      <w:bCs/>
      <w:color w:val="112075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1658</Words>
  <Characters>9454</Characters>
  <Application>Microsoft Office Word</Application>
  <DocSecurity>0</DocSecurity>
  <Lines>78</Lines>
  <Paragraphs>22</Paragraphs>
  <ScaleCrop>false</ScaleCrop>
  <Company/>
  <LinksUpToDate>false</LinksUpToDate>
  <CharactersWithSpaces>11090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