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Automatización de Escaneos de Vulnerabilidades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8700"/>
          <w:sz w:val="24"/>
          <w:szCs w:val="24"/>
        </w:rPr>
        <w:t xml:space="preserve">Tenable Security Center · Infraestructura On-Premise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0d1b2a"/>
          <w:sz w:val="21"/>
          <w:szCs w:val="21"/>
        </w:rPr>
        <w:t xml:space="preserve">Este documento detalla la implementación de la herramienta de automatización para el lanzamiento de escaneos de vulnerabilidades sobre la infraestructura Tenable on-premise (Security Center y los 3 Nessus Manager), así como los casos de uso proyectados para maximizar su valor mediante la integración futura con ServiceNow.</w:t>
      </w:r>
    </w:p>
    <w:p>
      <w:pPr>
        <w:pStyle w:val="Heading1"/>
        <w:pBdr>
          <w:bottom w:val="single" w:color="F5A80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7"/>
          <w:szCs w:val="27"/>
        </w:rPr>
        <w:t xml:space="preserve">1. Objetivo del Servicio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0d1b2a"/>
          <w:sz w:val="21"/>
          <w:szCs w:val="21"/>
        </w:rPr>
        <w:t xml:space="preserve">Centralizar y automatizar el proceso de lanzamiento de escaneos de vulnerabilidades contra la infraestructura on-premise de Banco Base — 3 Nessus Manager (Querétaro, Monterrey y Torre Base) y un Security Center central — eliminando la necesidad de que el analista entre manualmente a cada consola, cree el grupo de agente correspondiente y después lance el scan por separado desde Security Center. Esto reduce el tiempo de respuesta operativo, minimiza el error humano y estandariza el proceso de extremo a extremo.</w:t>
      </w:r>
    </w:p>
    <w:p>
      <w:pPr>
        <w:pStyle w:val="Heading1"/>
        <w:pBdr>
          <w:bottom w:val="single" w:color="F5A80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7"/>
          <w:szCs w:val="27"/>
        </w:rPr>
        <w:t xml:space="preserve">2. Flujo de Automatización Actual (Fase Implementada)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0d1b2a"/>
          <w:sz w:val="21"/>
          <w:szCs w:val="21"/>
        </w:rPr>
        <w:t xml:space="preserve">Al solicitar un escaneo sobre un host, la herramienta ejecuta en un flujo guiado lo que antes requería varios pasos manuales distribuidos en distintas consolas: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Detección automática del Nessus Manager: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La herramienta identifica automáticamente a cuál de los 3 Nessus Manager pertenece el host objetivo (por nomenclatura del hostname o resolución DNS), eliminando la necesidad de saber de antemano en cuál consola trabajar.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Preparación automática del Agent Group: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busca si ya existe el grupo correspondiente en el Nessus Manager detectado y, si no existe, lo crea; localiza el agente del host y lo agrega al grupo — con un solo botón, en vez de los pasos manuales de entrar al Nessus Manager, crear el grupo y agregar el agente uno por uno.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Lanzamiento directo en Security Center: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localiza el grupo ya sincronizado en Security Center vía el Agent Scanner correcto y lanza el scan de agente directamente, sin tocar la consola web de Security Center por separado.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Seguimiento en vivo del progreso: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muestra el avance real (IPs, porcentaje de checks, host en escaneo) y, si el scan falla, el detalle exacto que reporta Security Center — en vez de tener que revisarlo manualmente en la web.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Caché local de búsqueda: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consulta instantánea de en qué scan y en cuál Nessus Manager ha aparecido un host, sin tener que golpear las 3 APIs cada vez que se necesita esa información.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Historial local: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cada scan lanzado desde la herramienta queda registrado con nombre, IPs, política, estado y fecha/hora, consultable en cualquier momento.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Doble interfaz (GUI y CLI):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GUI para uso interactivo del día a día y CLI para scripting, ambas sobre la misma base de datos — cubriendo tanto la operación manual como la automatización adicional.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F5A80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7"/>
          <w:szCs w:val="27"/>
        </w:rPr>
        <w:t xml:space="preserve">3. Matriz de Componentes Integrados</w:t>
      </w:r>
    </w:p>
    <w:tbl>
      <w:tblPr>
        <w:tblW w:type="dxa" w:w="9460"/>
        <w:tblBorders>
          <w:top w:val="single" w:color="dde2ec" w:sz="4"/>
          <w:left w:val="single" w:color="dde2ec" w:sz="4"/>
          <w:bottom w:val="single" w:color="dde2ec" w:sz="4"/>
          <w:right w:val="single" w:color="dde2ec" w:sz="4"/>
          <w:insideH w:val="single" w:color="dde2ec" w:sz="4"/>
          <w:insideV w:val="single" w:color="dde2ec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0d1b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 / Componente</w:t>
            </w:r>
          </w:p>
        </w:tc>
        <w:tc>
          <w:tcPr>
            <w:tcW w:type="dxa" w:w="6260"/>
            <w:shd w:fill="0d1b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Principal en el Flujo</w:t>
            </w:r>
          </w:p>
        </w:tc>
      </w:tr>
      <w:tr>
        <w:tc>
          <w:tcPr>
            <w:tcW w:type="dxa" w:w="3200"/>
            <w:shd w:fill="ee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Herramienta de automatización (GUI + CLI)</w:t>
            </w:r>
          </w:p>
        </w:tc>
        <w:tc>
          <w:tcPr>
            <w:tcW w:type="dxa" w:w="6260"/>
            <w:shd w:fill="ee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Orquestador central: detecta el Nessus Manager correcto, prepara el Agent Group y lanza el scan en Security Center sin intervención manual en cada consola.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Nessus Manager (Querétaro, Monterrey, Torre Base)</w:t>
            </w:r>
          </w:p>
        </w:tc>
        <w:tc>
          <w:tcPr>
            <w:tcW w:type="dxa" w:w="62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Ejecuta el escaneo real a través del agente Nessus instalado en cada host, agrupado por Agent Group.</w:t>
            </w:r>
          </w:p>
        </w:tc>
      </w:tr>
      <w:tr>
        <w:tc>
          <w:tcPr>
            <w:tcW w:type="dxa" w:w="3200"/>
            <w:shd w:fill="ee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Tenable Security Center</w:t>
            </w:r>
          </w:p>
        </w:tc>
        <w:tc>
          <w:tcPr>
            <w:tcW w:type="dxa" w:w="6260"/>
            <w:shd w:fill="ee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Sincroniza los Agent Groups como scan de agente, gestiona políticas/repositorios/zonas y ejecuta el job de escaneo.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Caché e historial local (SQLite)</w:t>
            </w:r>
          </w:p>
        </w:tc>
        <w:tc>
          <w:tcPr>
            <w:tcW w:type="dxa" w:w="62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Búsqueda instantánea de qué host apareció en qué scan/Nessus Manager, y registro de todos los scans lanzados desde la herramienta.</w:t>
            </w:r>
          </w:p>
        </w:tc>
      </w:tr>
    </w:tbl>
    <w:p>
      <w:pPr>
        <w:pStyle w:val="Heading1"/>
        <w:pBdr>
          <w:bottom w:val="single" w:color="F5A80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7"/>
          <w:szCs w:val="27"/>
        </w:rPr>
        <w:t xml:space="preserve">4. Beneficios de Negocio y Operativos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Reducción del Tiempo de Respuesta (MTTR operativo):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un proceso que antes implicaba entrar a 3 consolas distintas de Nessus Manager y después a Security Center ahora se completa en un flujo guiado de minutos.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Reducción de Error Humano: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la herramienta detecta y valida automáticamente el Nessus Manager, la zona, el repositorio y el tipo de scan (activo vs. agente), eliminando la ambigüedad que antes causaba scans lanzados contra el repositorio o grupo equivocado.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Estandarización y Trazabilidad: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cada escaneo lanzado queda documentado automáticamente con su configuración, estado y resultado en el historial local, sin depender de que el analista lo registre a mano.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Escalabilidad hacia otros flujos: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el mismo backend sirve tanto para uso interactivo (GUI) como para integrarse en flujos de automatización adicionales (CLI), sin duplicar la lógica de negocio.</w:t>
      </w:r>
    </w:p>
    <w:p>
      <w:pPr>
        <w:pStyle w:val="Heading1"/>
        <w:pBdr>
          <w:bottom w:val="single" w:color="F5A80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7"/>
          <w:szCs w:val="27"/>
        </w:rPr>
        <w:t xml:space="preserve">5. Próxima Fase — Casos de Uso Proyectados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0d1b2a"/>
          <w:sz w:val="21"/>
          <w:szCs w:val="21"/>
        </w:rPr>
        <w:t xml:space="preserve">Para maximizar el valor de la herramienta, se proyecta integrarla con ServiceNow de forma que el lanzamiento de un scan se documente y se conecte automáticamente con el resto de la suite de seguridad de la organización: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Auto-documentación vía ServiceNow: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al lanzar un scan desde la herramienta, se generará y adjuntará automáticamente un ticket de ServiceNow con el detalle del escaneo (objetivo, política, resultado), sin que el analista tenga que documentarlo manualmente por separado.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Suite de seguridad completa por request: </w:t>
      </w:r>
      <w:r>
        <w:rPr>
          <w:rFonts w:ascii="Calibri" w:cs="Calibri" w:eastAsia="Calibri" w:hAnsi="Calibri"/>
          <w:color w:val="0d1b2a"/>
          <w:sz w:val="21"/>
          <w:szCs w:val="21"/>
        </w:rPr>
        <w:t xml:space="preserve"> el mismo ticket permitirá seleccionar, además del escaneo de vulnerabilidades (Nessus), otros servicios de seguridad ya automatizados en la organización — SCA, SAST, DAST, API Security y Triage — de forma que una sola solicitud dispare toda la suite de seguridad necesaria para un activo, en vez de gestionar cada servicio por separado.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5"/>
        <w:sz w:val="16"/>
        <w:szCs w:val="16"/>
      </w:rPr>
      <w:t xml:space="preserve">Confidencial — Uso interno · Banco Base    </w:t>
    </w:r>
    <w:r>
      <w:rPr>
        <w:rFonts w:ascii="Calibri" w:cs="Calibri" w:eastAsia="Calibri" w:hAnsi="Calibri"/>
        <w:color w:val="5a6475"/>
        <w:sz w:val="16"/>
        <w:szCs w:val="16"/>
      </w:rPr>
      <w:t xml:space="preserve">Página </w:t>
    </w:r>
    <w:r>
      <w:rPr>
        <w:rFonts w:ascii="Calibri" w:cs="Calibri" w:eastAsia="Calibri" w:hAnsi="Calibri"/>
        <w:color w:val="5a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2ec" w:sz="4" w:space="4"/>
      </w:pBdr>
    </w:pPr>
    <w:r>
      <w:rPr>
        <w:rFonts w:ascii="Calibri" w:cs="Calibri" w:eastAsia="Calibri" w:hAnsi="Calibri"/>
        <w:b/>
        <w:bCs/>
        <w:color w:val="c48700"/>
        <w:sz w:val="18"/>
        <w:szCs w:val="18"/>
      </w:rPr>
      <w:t xml:space="preserve">SecOps Tenable · Banco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40d82423d020041eaaabfca944964c909baa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2026-08-26T16:47:04.284Z</dcterms:created>
  <dcterms:modified xsi:type="dcterms:W3CDTF">2026-08-26T16:47:04.298Z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