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79.png" ContentType="image/png"/>
  <Override PartName="/word/media/rId82.png" ContentType="image/png"/>
  <Override PartName="/word/media/rId76.png" ContentType="image/png"/>
  <Override PartName="/word/media/rId87.png" ContentType="image/png"/>
  <Override PartName="/word/media/rId90.png" ContentType="image/png"/>
  <Override PartName="/word/media/rId21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0.7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731"/>
        <w:gridCol w:w="4142"/>
        <w:gridCol w:w="219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 — o professor</w:t>
      </w:r>
      <w:r>
        <w:rPr>
          <w:i/>
          <w:iCs/>
        </w:rPr>
        <w:t xml:space="preserve"> </w:t>
      </w:r>
      <w:r>
        <w:rPr>
          <w:i/>
          <w:iCs/>
        </w:rPr>
        <w:t xml:space="preserve">usa este quadro para ver a divisão de trabalho do grupo.]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sequência para o [UC019].</w:t>
      </w:r>
      <w:r>
        <w:br/>
      </w:r>
      <w:r>
        <w:t xml:space="preserve">Figura 39. Diagrama de sequência para o [UC020].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Descrição do caso de uso UC019.</w:t>
      </w:r>
      <w:r>
        <w:br/>
      </w:r>
      <w:r>
        <w:t xml:space="preserve">Quadro 20. Descrição do caso de uso UC020.</w:t>
      </w:r>
      <w:r>
        <w:br/>
      </w:r>
      <w:r>
        <w:t xml:space="preserve">Quadro 21. Dicionário de informações da classe Usuario.</w:t>
      </w:r>
      <w:r>
        <w:br/>
      </w:r>
      <w:r>
        <w:t xml:space="preserve">Quadro 22. Dicionário de informações da classe Ativo (abstrata).</w:t>
      </w:r>
      <w:r>
        <w:br/>
      </w:r>
      <w:r>
        <w:t xml:space="preserve">Quadro 23. Dicionário de informações da classe Acao.</w:t>
      </w:r>
      <w:r>
        <w:br/>
      </w:r>
      <w:r>
        <w:t xml:space="preserve">Quadro 24. Dicionário de informações da classe FundoImobiliario.</w:t>
      </w:r>
      <w:r>
        <w:br/>
      </w:r>
      <w:r>
        <w:t xml:space="preserve">Quadro 25. Dicionário de informações da classe Cotacao.</w:t>
      </w:r>
      <w:r>
        <w:br/>
      </w:r>
      <w:r>
        <w:t xml:space="preserve">Quadro 26. Dicionário de informações da classe Indicador.</w:t>
      </w:r>
      <w:r>
        <w:br/>
      </w:r>
      <w:r>
        <w:t xml:space="preserve">Quadro 27. Dicionário de informações da classe Carteira.</w:t>
      </w:r>
      <w:r>
        <w:br/>
      </w:r>
      <w:r>
        <w:t xml:space="preserve">Quadro 28. Dicionário de informações da classe Posicao.</w:t>
      </w:r>
      <w:r>
        <w:br/>
      </w:r>
      <w:r>
        <w:t xml:space="preserve">Quadro 29. Dicionário de informações da classe Alerta.</w:t>
      </w:r>
      <w:r>
        <w:br/>
      </w:r>
      <w:r>
        <w:t xml:space="preserve">Quadro 30. Dicionário de informações da classe Recomendacao.</w:t>
      </w:r>
      <w:r>
        <w:br/>
      </w:r>
      <w:r>
        <w:t xml:space="preserve">Quadro 31. Dicionário de informações da classe RegraConfigurada.</w:t>
      </w:r>
      <w:r>
        <w:br/>
      </w:r>
      <w:r>
        <w:t xml:space="preserve">Quadro 32. Dicionário de informações da classe Importacao.</w:t>
      </w:r>
      <w:r>
        <w:br/>
      </w:r>
      <w:r>
        <w:t xml:space="preserve">Quadro 33. Dicionário de informações da interface RegraAnalise.</w:t>
      </w:r>
      <w:r>
        <w:br/>
      </w:r>
      <w:r>
        <w:t xml:space="preserve">Quadro 34. Dicionário de informações da classe RegraCruzamentoMedias.</w:t>
      </w:r>
      <w:r>
        <w:br/>
      </w:r>
      <w:r>
        <w:t xml:space="preserve">Quadro 35. Dicionário de informações da classe RegraRsi.</w:t>
      </w:r>
      <w:r>
        <w:br/>
      </w:r>
      <w:r>
        <w:t xml:space="preserve">Quadro 36. Dicionário de informações da classe RegraDividendYield.</w:t>
      </w:r>
      <w:r>
        <w:br/>
      </w:r>
      <w:r>
        <w:t xml:space="preserve">Quadro 37. Dicionário de informações da classe RegraPrecoLucro.</w:t>
      </w:r>
      <w:r>
        <w:br/>
      </w:r>
      <w:r>
        <w:t xml:space="preserve">Quadro 38. Dicionário de informações da classe MotorAnalise.</w:t>
      </w:r>
      <w:r>
        <w:br/>
      </w:r>
      <w:r>
        <w:t xml:space="preserve">Quadro 39. Dicionário de informações da classe CalculadoraIndicadores.</w:t>
      </w:r>
      <w:r>
        <w:br/>
      </w:r>
      <w:r>
        <w:t xml:space="preserve">Quadro 40. Dicionário de informações da classe Backtester.</w:t>
      </w:r>
      <w:r>
        <w:br/>
      </w:r>
      <w:r>
        <w:t xml:space="preserve">Quadro 41. Dicionário de informações da classe ResultadoBacktestRegra.</w:t>
      </w:r>
      <w:r>
        <w:br/>
      </w:r>
      <w:r>
        <w:t xml:space="preserve">Quadro 42. Dicionário de informações da classe ResultadoBacktest.</w:t>
      </w:r>
      <w:r>
        <w:br/>
      </w:r>
      <w:r>
        <w:t xml:space="preserve">Quadro 43. Dicionário de informações da classe BancoDeDados.</w:t>
      </w:r>
      <w:r>
        <w:br/>
      </w:r>
      <w:r>
        <w:t xml:space="preserve">Quadro 44. Dicionário de informações da classe RepositorioUsuario.</w:t>
      </w:r>
      <w:r>
        <w:br/>
      </w:r>
      <w:r>
        <w:t xml:space="preserve">Quadro 45. Dicionário de informações da classe RepositorioAtivo.</w:t>
      </w:r>
      <w:r>
        <w:br/>
      </w:r>
      <w:r>
        <w:t xml:space="preserve">Quadro 46. Dicionário de informações da classe RepositorioCotacao.</w:t>
      </w:r>
      <w:r>
        <w:br/>
      </w:r>
      <w:r>
        <w:t xml:space="preserve">Quadro 47. Dicionário de informações da classe RepositorioCarteira.</w:t>
      </w:r>
      <w:r>
        <w:br/>
      </w:r>
      <w:r>
        <w:t xml:space="preserve">Quadro 48. Dicionário de informações da classe RepositorioAlerta.</w:t>
      </w:r>
      <w:r>
        <w:br/>
      </w:r>
      <w:r>
        <w:t xml:space="preserve">Quadro 49. Dicionário de informações da classe RepositorioRecomendacao.</w:t>
      </w:r>
      <w:r>
        <w:br/>
      </w:r>
      <w:r>
        <w:t xml:space="preserve">Quadro 50. Dicionário de informações da classe RepositorioRegra.</w:t>
      </w:r>
      <w:r>
        <w:br/>
      </w:r>
      <w:r>
        <w:t xml:space="preserve">Quadro 51. Dicionário de informações da classe RepositorioImportacao.</w:t>
      </w:r>
      <w:r>
        <w:br/>
      </w:r>
      <w:r>
        <w:t xml:space="preserve">Quadro 52. Dicionário de informações da classe ServicoAutenticacao.</w:t>
      </w:r>
      <w:r>
        <w:br/>
      </w:r>
      <w:r>
        <w:t xml:space="preserve">Quadro 53. Dicionário de informações da classe ServicoAtivo.</w:t>
      </w:r>
      <w:r>
        <w:br/>
      </w:r>
      <w:r>
        <w:t xml:space="preserve">Quadro 54. Dicionário de informações da classe ServicoImportacao.</w:t>
      </w:r>
      <w:r>
        <w:br/>
      </w:r>
      <w:r>
        <w:t xml:space="preserve">Quadro 55. Dicionário de informações da classe ResultadoImportacao.</w:t>
      </w:r>
      <w:r>
        <w:br/>
      </w:r>
      <w:r>
        <w:t xml:space="preserve">Quadro 56. Dicionário de informações da classe ServicoCarteira.</w:t>
      </w:r>
      <w:r>
        <w:br/>
      </w:r>
      <w:r>
        <w:t xml:space="preserve">Quadro 57. Dicionário de informações da classe ResumoCarteira.</w:t>
      </w:r>
      <w:r>
        <w:br/>
      </w:r>
      <w:r>
        <w:t xml:space="preserve">Quadro 58. Dicionário de informações da classe LinhaResumoCarteira.</w:t>
      </w:r>
      <w:r>
        <w:br/>
      </w:r>
      <w:r>
        <w:t xml:space="preserve">Quadro 59. Dicionário de informações da classe ServicoAlerta.</w:t>
      </w:r>
      <w:r>
        <w:br/>
      </w:r>
      <w:r>
        <w:t xml:space="preserve">Quadro 60. Dicionário de informações da classe ObservadorAlerta.</w:t>
      </w:r>
      <w:r>
        <w:br/>
      </w:r>
      <w:r>
        <w:t xml:space="preserve">Quadro 61. Dicionário de informações da classe ServicoRecomendacao.</w:t>
      </w:r>
      <w:r>
        <w:br/>
      </w:r>
      <w:r>
        <w:t xml:space="preserve">Quadro 62. Dicionário de informações da interface FonteCotacoesRemota.</w:t>
      </w:r>
      <w:r>
        <w:br/>
      </w:r>
      <w:r>
        <w:t xml:space="preserve">Quadro 63. Dicionário de informações da classe FonteYahooFinance.</w:t>
      </w:r>
      <w:r>
        <w:br/>
      </w:r>
      <w:r>
        <w:t xml:space="preserve">Quadro 64. Dicionário de informações da classe ServicoSincronizacao.</w:t>
      </w:r>
      <w:r>
        <w:br/>
      </w:r>
      <w:r>
        <w:t xml:space="preserve">Quadro 65. Dicionário de informações da classe ResultadoSincronizacao.</w:t>
      </w:r>
      <w:r>
        <w:br/>
      </w:r>
      <w:r>
        <w:t xml:space="preserve">Quadro 66. Dicionário de informações da classe Contexto.</w:t>
      </w:r>
      <w:r>
        <w:br/>
      </w:r>
      <w:r>
        <w:t xml:space="preserve">Quadro 67. Dicionário de informações da classe JanelaPrincipal.</w:t>
      </w:r>
      <w:r>
        <w:br/>
      </w:r>
      <w:r>
        <w:t xml:space="preserve">Quadro 68. Dicionário de informações da classe TelaLogin.</w:t>
      </w:r>
      <w:r>
        <w:br/>
      </w:r>
      <w:r>
        <w:t xml:space="preserve">Quadro 69. Dicionário de informações da classe TelaDashboard.</w:t>
      </w:r>
      <w:r>
        <w:br/>
      </w:r>
      <w:r>
        <w:t xml:space="preserve">Quadro 70. Dicionário de informações da classe TelaDetalheAtivo.</w:t>
      </w:r>
      <w:r>
        <w:br/>
      </w:r>
      <w:r>
        <w:t xml:space="preserve">Quadro 71. Dicionário de informações da classe TelaRecomendacoes.</w:t>
      </w:r>
      <w:r>
        <w:br/>
      </w:r>
      <w:r>
        <w:t xml:space="preserve">Quadro 72. Dicionário de informações da classe TelaCarteira.</w:t>
      </w:r>
      <w:r>
        <w:br/>
      </w:r>
      <w:r>
        <w:t xml:space="preserve">Quadro 73. Dicionário de informações da classe TelaAlertas.</w:t>
      </w:r>
      <w:r>
        <w:br/>
      </w:r>
      <w:r>
        <w:t xml:space="preserve">Quadro 74. Dicionário de informações da classe TelaAtivos.</w:t>
      </w:r>
      <w:r>
        <w:br/>
      </w:r>
      <w:r>
        <w:t xml:space="preserve">Quadro 75. Dicionário de informações da classe TelaImportacao.</w:t>
      </w:r>
      <w:r>
        <w:br/>
      </w:r>
      <w:r>
        <w:t xml:space="preserve">Quadro 76. Dicionário de informações da classe TelaRegras.</w:t>
      </w:r>
      <w:r>
        <w:br/>
      </w:r>
      <w:r>
        <w:t xml:space="preserve">Quadro 77. Dicionário de informações da classe TelaUsuarios.</w:t>
      </w:r>
      <w:r>
        <w:br/>
      </w:r>
      <w:r>
        <w:t xml:space="preserve">Quadro 78. Dicionário de informações da classe DialogoAtivo.</w:t>
      </w:r>
      <w:r>
        <w:br/>
      </w:r>
      <w:r>
        <w:t xml:space="preserve">Quadro 79. Dicionário de informações da classe DialogoOperacao.</w:t>
      </w:r>
      <w:r>
        <w:br/>
      </w:r>
      <w:r>
        <w:t xml:space="preserve">Quadro 80. Dicionário de informações da classe OpcaoOperacao.</w:t>
      </w:r>
      <w:r>
        <w:br/>
      </w:r>
      <w:r>
        <w:t xml:space="preserve">Quadro 81. Dicionário de informações da classe DialogoAlerta.</w:t>
      </w:r>
      <w:r>
        <w:br/>
      </w:r>
      <w:r>
        <w:t xml:space="preserve">Quadro 82. Dicionário de informações da classe OpcaoAlerta.</w:t>
      </w:r>
      <w:r>
        <w:br/>
      </w:r>
      <w:r>
        <w:t xml:space="preserve">Quadro 83. Dicionário de informações da classe DialogoRegra.</w:t>
      </w:r>
      <w:r>
        <w:br/>
      </w:r>
      <w:r>
        <w:t xml:space="preserve">Quadro 84. Dicionário de informações da classe DialogoBacktest.</w:t>
      </w:r>
      <w:r>
        <w:br/>
      </w:r>
      <w:r>
        <w:t xml:space="preserve">Quadro 85. Dicionário de informações da classe DialogoUsuario.</w:t>
      </w:r>
      <w:r>
        <w:br/>
      </w:r>
      <w:r>
        <w:t xml:space="preserve">Quadro 86. Dicionário de informações da classe CartaoIndicador.</w:t>
      </w:r>
      <w:r>
        <w:br/>
      </w:r>
      <w:r>
        <w:t xml:space="preserve">Quadro 87. Dicionário de informações da classe GraficoCandlestick.</w:t>
      </w:r>
      <w:r>
        <w:br/>
      </w:r>
      <w:r>
        <w:t xml:space="preserve">Quadro 88.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Compact"/>
        <w:numPr>
          <w:ilvl w:val="0"/>
          <w:numId w:val="1031"/>
        </w:numPr>
      </w:pPr>
      <w:r>
        <w:t xml:space="preserve">[RF020] O administrador deve ser capaz de sincronizar cotações online, com o sistema baixando apenas o período posterior à última cotação de cada ativo.</w:t>
      </w:r>
    </w:p>
    <w:p>
      <w:pPr>
        <w:pStyle w:val="Compact"/>
        <w:numPr>
          <w:ilvl w:val="0"/>
          <w:numId w:val="1031"/>
        </w:numPr>
      </w:pPr>
      <w:r>
        <w:t xml:space="preserve">[RF021] O administrador deve ser capaz de executar o backtesting das regras de análise, medindo a taxa de acerto e o retorno médio de cada regra sobre o histórico.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Compact"/>
        <w:numPr>
          <w:ilvl w:val="0"/>
          <w:numId w:val="1032"/>
        </w:numPr>
      </w:pPr>
      <w:r>
        <w:t xml:space="preserve">[RNF008] A sincronização online deve ser opcional: sem conexão o sistema apenas informa a indisponibilidade e todas as demais funções seguem operando com os dados locais.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158060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  <w:keepNext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[RF020]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132 horas</w:t>
      </w:r>
      <w:r>
        <w:t xml:space="preserve"> </w:t>
      </w:r>
      <w:r>
        <w:t xml:space="preserve">— cerca de 33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negócio, seguidas da sincronização online [RF020] e do backtesting [RF021], que</w:t>
      </w:r>
      <w:r>
        <w:t xml:space="preserve"> </w:t>
      </w:r>
      <w:r>
        <w:t xml:space="preserve">envolvem integração externa e reprocessamento do histórico.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  <w:keepNext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  <w:keepNext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UC019 Sincronizar cotações online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UC020 Executar backtesting das regras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+ 200 =</w:t>
      </w:r>
      <w:r>
        <w:t xml:space="preserve"> </w:t>
      </w:r>
      <w:r>
        <w:rPr>
          <w:b/>
          <w:bCs/>
        </w:rPr>
        <w:t xml:space="preserve">206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  <w:keepNext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  <w:keepNext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206 × 0,85 × 0,92 =</w:t>
      </w:r>
      <w:r>
        <w:t xml:space="preserve"> </w:t>
      </w:r>
      <w:r>
        <w:rPr>
          <w:b/>
          <w:bCs/>
        </w:rPr>
        <w:t xml:space="preserve">161,09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3.222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(132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156" w:name="resultados"/>
    <w:p>
      <w:pPr>
        <w:pStyle w:val="Heading1"/>
      </w:pPr>
      <w:r>
        <w:t xml:space="preserve">4 RESULTADOS</w:t>
      </w:r>
    </w:p>
    <w:bookmarkStart w:id="70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já construído na tecnologia definitiva (C++ com</w:t>
      </w:r>
      <w:r>
        <w:t xml:space="preserve"> </w:t>
      </w:r>
      <w:r>
        <w:t xml:space="preserve">Qt 6) e navegável de ponta a ponta, cobrindo todos os casos de uso levantados.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9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dados reais</w:t>
      </w:r>
      <w:r>
        <w:t xml:space="preserve"> </w:t>
      </w:r>
      <w:r>
        <w:t xml:space="preserve">importados de arquivos CSV de cotações.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9"/>
    <w:bookmarkEnd w:id="70"/>
    <w:bookmarkStart w:id="155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4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572470"/>
            <wp:effectExtent b="0" l="0" r="0" t="0"/>
            <wp:docPr descr="Figura 14. Diagrama de casos de uso." title="" id="72" name="Picture"/>
            <a:graphic>
              <a:graphicData uri="http://schemas.openxmlformats.org/drawingml/2006/picture">
                <pic:pic>
                  <pic:nvPicPr>
                    <pic:cNvPr descr="figuras/uc-casos-de-uso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4"/>
    <w:bookmarkStart w:id="75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pPr>
        <w:pStyle w:val="BodyText"/>
        <w:keepNext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19. Descrição do caso de uso UC019.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UC019: Sincronizar cotações online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atualizar as cotações dos ativos cadastrados diretamente da fonte online, baixando apenas o período que falta em cada ativo, sem depender do arquivo CSV.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computador deve possuir conexão com a internet e backend TLS disponível para o Qt.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período faltante gravadas para cada ativo atualizado, sem duplicar pregões já existentes; um registro de auditoria por tentativa de sincronização na classe Importacao; histórico de importações e telas dependentes das cotações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“Importar cotações”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desabilita as opções de importação e de sincronização e apresenta o cursor de espera, de modo que a consulta em curso não seja disparada novamente.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todos os ativos cadastrados (classe Ativo).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ativo, o sistema recupera a última cotação gravada (classe Cotacao) e calcula o início da janela faltante: o dia seguinte à data da última cotação ou, quando o ativo ainda não possui histórico, 365 dias antes da data corrente, conforme a Regra de Negócio RN023.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monta a consulta à fonte remota, acrescentando o sufixo</w:t>
            </w:r>
            <w:r>
              <w:t xml:space="preserve"> </w:t>
            </w:r>
            <w:r>
              <w:t xml:space="preserve">“.SA”</w:t>
            </w:r>
            <w:r>
              <w:t xml:space="preserve"> </w:t>
            </w:r>
            <w:r>
              <w:t xml:space="preserve">ao ticker (classe Ativo) e delimitando o intervalo entre o início da janela e a data corrente (classe FonteYahooFinance).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requisita à fonte remota as cotações diárias do intervalo, aguardando no máximo 15 segundos pela resposta (classe FonteCotacoesRemota).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converte a resposta recebida em cotações do domínio, arredondando abertura, maxima, minima e fechamento aos centavos e convertendo o volume (classe Cotacao), descartando os pregões com campo ausente ou com valores inconsistentes e ordenando a série por data crescente. (sistema) (atributo) (7a) (7b)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baixadas, ignorando aquelas cuja data já exista para o mesmo ativo, conforme a Regra de Negócio RN010.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auditoria da sincronização, identificando a origem no campo arquivo como</w:t>
            </w:r>
            <w:r>
              <w:t xml:space="preserve"> </w:t>
            </w:r>
            <w:r>
              <w:t xml:space="preserve">“Yahoo Finance (TICKER)”</w:t>
            </w:r>
            <w:r>
              <w:t xml:space="preserve">, gravando linhasLidas e linhasInseridas e transitando o registro para o estado Concluida (classe Importacao).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confirma a transação, acumula as cotações inseridas e as ignoradas e acrescenta ao relatório a linha</w:t>
            </w:r>
            <w:r>
              <w:t xml:space="preserve"> </w:t>
            </w:r>
            <w:r>
              <w:t xml:space="preserve">“TICKER: N novas, M ignoradas”</w:t>
            </w:r>
            <w:r>
              <w:t xml:space="preserve">. 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repete os passos 4 a 10 para os demais ativos cadastrados, sem interromper a sincronização quando um ativo isolado falha, conforme o Requisito Não Funcional RNF008.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reabilita as opções, recarrega o histórico de importações e apresenta em verde o resumo</w:t>
            </w:r>
            <w:r>
              <w:t xml:space="preserve"> </w:t>
            </w:r>
            <w:r>
              <w:t xml:space="preserve">“Sincronização online: X ativo(s) verificado(s), Y cotação(ões) nova(s), Z ignorada(s) por já existirem.”</w:t>
            </w:r>
            <w:r>
              <w:t xml:space="preserve">, seguido do detalhamento por ativo. (sistema)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Havendo ao menos uma cotação nova, o sistema avisa as demais telas para que recarreguem os dados dependentes das cotações.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existente: a gravação em lote adota o mesmo critério da importação por arquivo, de modo que acionar a sincronização duas vezes seguidas não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RN023 — A sincronização busca apenas o período posterior à última cotação local — do dia seguinte à última cotação gravada até a data corrente — ou os últimos 365 dias quando o ativo ainda não possui cotação, e nunca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internet: a importação por CSV permanece como caminho primário e independe deste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RNF008 — A sincronização online é opcional: sem internet o sistema apenas informa e todas as demais funções seguem operando; a falha de um ativo nunca interrompe 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a última cotação gravada de um ativo já alcança a data corrente: o sistema não gasta requisição com esse ativo, acrescenta ao relatório a linha</w:t>
            </w:r>
            <w:r>
              <w:t xml:space="preserve"> </w:t>
            </w:r>
            <w:r>
              <w:t xml:space="preserve">“TICKER: já atualizado (última cotação em DD/MM/AAAA).”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prefere o caminho offline: aciona</w:t>
            </w:r>
            <w:r>
              <w:t xml:space="preserve"> </w:t>
            </w:r>
            <w:r>
              <w:t xml:space="preserve">“Importar arquivo”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“Importar pasta inteira”</w:t>
            </w:r>
            <w:r>
              <w:t xml:space="preserve"> </w:t>
            </w:r>
            <w:r>
              <w:t xml:space="preserve">e executa o caso de uso UC005, que grava as mesmas cotações a partir de arquivos CSV, sem consultar a fonte online.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3a - Caso não exista nenhum ativo cadastrado,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 </w:t>
            </w:r>
            <w:r>
              <w:t xml:space="preserve">permanece desabilitada; acionada a sincronização sem ativos, nenhuma requisição é feita e o sistema exibe o resumo</w:t>
            </w:r>
            <w:r>
              <w:t xml:space="preserve"> </w:t>
            </w:r>
            <w:r>
              <w:t xml:space="preserve">“Nenhum ativo cadastrado para sincronizar.”</w:t>
            </w:r>
            <w:r>
              <w:t xml:space="preserve"> </w:t>
            </w:r>
            <w:r>
              <w:t xml:space="preserve">com o detalhamento</w:t>
            </w:r>
            <w:r>
              <w:t xml:space="preserve"> </w:t>
            </w:r>
            <w:r>
              <w:t xml:space="preserve">“Nenhum ativo cadastrado: cadastre os ativos antes de sincronizar.”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esteja sem ticker, o sistema registra</w:t>
            </w:r>
            <w:r>
              <w:t xml:space="preserve"> </w:t>
            </w:r>
            <w:r>
              <w:t xml:space="preserve">“Ativo sem ticker: impossível consultar a fonte online.”</w:t>
            </w:r>
            <w:r>
              <w:t xml:space="preserve">; caso o intervalo calculado seja inválido, registra</w:t>
            </w:r>
            <w:r>
              <w:t xml:space="preserve"> </w:t>
            </w:r>
            <w:r>
              <w:t xml:space="preserve">“Intervalo de datas inválido para a consulta online.”</w:t>
            </w:r>
            <w:r>
              <w:t xml:space="preserve">; em ambos os casos contabiliza o ativo com falha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computador não possua backend TLS (OpenSSL) disponível para o Qt, o sistema não realiza a consulta e registra</w:t>
            </w:r>
            <w:r>
              <w:t xml:space="preserve"> </w:t>
            </w:r>
            <w:r>
              <w:t xml:space="preserve">“Este computador não tem backend TLS (OpenSSL) disponível para o Qt; a sincronização online exige HTTPS. Use a importação por CSV.”</w:t>
            </w:r>
            <w:r>
              <w:t xml:space="preserve">, contabiliza o ativo com falha e retorna ao passo 4, conforme o Requisito Não Funcional RNF008.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não haja conexão com a internet ou a fonte não responda, o sistema registra</w:t>
            </w:r>
            <w:r>
              <w:t xml:space="preserve"> </w:t>
            </w:r>
            <w:r>
              <w:t xml:space="preserve">“A fonte online não respondeu em 15 segundos.”</w:t>
            </w:r>
            <w:r>
              <w:t xml:space="preserve"> </w:t>
            </w:r>
            <w:r>
              <w:t xml:space="preserve">no esgotamento do tempo limite, ou</w:t>
            </w:r>
            <w:r>
              <w:t xml:space="preserve"> </w:t>
            </w:r>
            <w:r>
              <w:t xml:space="preserve">“Falha de rede ao consultar a fonte online: DESCRIÇÃO.”</w:t>
            </w:r>
            <w:r>
              <w:t xml:space="preserve"> </w:t>
            </w:r>
            <w:r>
              <w:t xml:space="preserve">nas demais falhas; contabiliza o ativo com falha, acrescenta ao relatório a linha</w:t>
            </w:r>
            <w:r>
              <w:t xml:space="preserve"> </w:t>
            </w:r>
            <w:r>
              <w:t xml:space="preserve">“TICKER: falha — MOTIVO”</w:t>
            </w:r>
            <w:r>
              <w:t xml:space="preserve">, grava a auditoria no estado Rejeitada com o motivo (classe Importacao)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resposta esteja fora do formato esperado, o sistema registra</w:t>
            </w:r>
            <w:r>
              <w:t xml:space="preserve"> </w:t>
            </w:r>
            <w:r>
              <w:t xml:space="preserve">“Resposta da fonte não é um JSON válido (DETALHE).”</w:t>
            </w:r>
            <w:r>
              <w:t xml:space="preserve">,</w:t>
            </w:r>
            <w:r>
              <w:t xml:space="preserve"> </w:t>
            </w:r>
            <w:r>
              <w:t xml:space="preserve">“Resposta da fonte fora do formato esperado (sem”</w:t>
            </w:r>
            <w:r>
              <w:t xml:space="preserve">chart”).”,</w:t>
            </w:r>
            <w:r>
              <w:t xml:space="preserve"> </w:t>
            </w:r>
            <w:r>
              <w:t xml:space="preserve">“A fonte não devolveu nenhum resultado para o ativo.”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“Resposta da fonte sem o bloco de preços (indicators.quote).”</w:t>
            </w:r>
            <w:r>
              <w:t xml:space="preserve">; caso a própria fonte recuse a consulta sem esclarecer, registra a descrição devolvida por ela ou</w:t>
            </w:r>
            <w:r>
              <w:t xml:space="preserve"> </w:t>
            </w:r>
            <w:r>
              <w:t xml:space="preserve">“a fonte recusou a consulta sem detalhar o motivo.”</w:t>
            </w:r>
            <w:r>
              <w:t xml:space="preserve">; em todos os casos o ativo é contabilizado com falha, a auditoria é gravada no estado Rejeitada e o sistema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não tenha havido pregão no intervalo consultado — fim de semana ou feriado prolongado —, a fonte devolve a série vazia, nada é gravado nem auditado e o sistema acrescenta ao relatório a linha</w:t>
            </w:r>
            <w:r>
              <w:t xml:space="preserve"> </w:t>
            </w:r>
            <w:r>
              <w:t xml:space="preserve">“TICKER: nenhuma cotação nova entre DD/MM/AAAA e DD/MM/AAAA.”</w:t>
            </w:r>
            <w:r>
              <w:t xml:space="preserve">, retornando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 ou a gravação em lote falhe, o sistema desfaz a transação, grava a auditoria no estado Rejeitada com o motivo —</w:t>
            </w:r>
            <w:r>
              <w:t xml:space="preserve"> </w:t>
            </w:r>
            <w:r>
              <w:t xml:space="preserve">“Falha ao gravar as cotações baixadas.”</w:t>
            </w:r>
            <w:r>
              <w:t xml:space="preserve"> </w:t>
            </w:r>
            <w:r>
              <w:t xml:space="preserve">ou a mensagem devolvida pelo banco de dados —, acrescenta ao relatório a linha</w:t>
            </w:r>
            <w:r>
              <w:t xml:space="preserve"> </w:t>
            </w:r>
            <w:r>
              <w:t xml:space="preserve">“TICKER: falha ao gravar — MOTIVO”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do próprio registro de auditoria falhe, o sistema desfaz a transação — para que as cotações do ativo não fiquem gravadas sem auditoria — e retorna ao passo 4 com a mensagem devolvida pelo repositório de importações.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a confirmação da transação seja recusada, o sistema desfaz a transação, registra a mensagem devolvida pelo banco de dados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ao menos um ativo não tenha podido ser atualizado, o sistema acrescenta ao resumo a frase</w:t>
            </w:r>
            <w:r>
              <w:t xml:space="preserve"> </w:t>
            </w:r>
            <w:r>
              <w:t xml:space="preserve">“N ativo(s) não puderam ser atualizados.”</w:t>
            </w:r>
            <w:r>
              <w:t xml:space="preserve"> </w:t>
            </w:r>
            <w:r>
              <w:t xml:space="preserve">e apresenta o texto em vermelho, mantendo gravadas as cotações dos ativos bem-sucedidos.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20. Descrição do caso de uso UC020.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UC020: Executar backtesting das regras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medir o desempenho histórico das regras de análise, reaplicando-as em cada pregão do histórico importado e conferindo cada sinal emitido contra o que o preço fez no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deve existir ao menos uma regra de análise ativa; o ativo avaliado deve possuir histórico de cotações importado com pelo menos 30 pregões de formação mais 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de sinais, quantidade de acertos, taxa de acerto e retorno médio apresentados para cada regra ativa e para o parecer consolidado de cada ativo avaliado.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“Regras de análise”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“Backtesting…”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janela</w:t>
            </w:r>
            <w:r>
              <w:t xml:space="preserve"> </w:t>
            </w:r>
            <w:r>
              <w:t xml:space="preserve">“Backtesting das regras”</w:t>
            </w:r>
            <w:r>
              <w:t xml:space="preserve"> </w:t>
            </w:r>
            <w:r>
              <w:t xml:space="preserve">com a explicação</w:t>
            </w:r>
            <w:r>
              <w:t xml:space="preserve"> </w:t>
            </w:r>
            <w:r>
              <w:t xml:space="preserve">“As regras ativas são reaplicadas em cada pregão do histórico importado, usando apenas os dados disponíveis naquela data. Cada sinal é conferido contra o que o preço fez no horizonte escolhido.”</w:t>
            </w:r>
            <w:r>
              <w:t xml:space="preserve"> </w:t>
            </w:r>
            <w:r>
              <w:t xml:space="preserve">e o rodapé</w:t>
            </w:r>
            <w:r>
              <w:t xml:space="preserve"> </w:t>
            </w:r>
            <w:r>
              <w:t xml:space="preserve">“Backtesting reexecuta as regras em cada ponto do histórico e mede o resultado no horizonte escolhido. Apoio ao estudo, não é garantia de resultado futuro.”</w:t>
            </w:r>
            <w:r>
              <w:t xml:space="preserve">, conforme o Requisito de Usabilidade REU004.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preenche o seletor de ativo com a opção</w:t>
            </w:r>
            <w:r>
              <w:t xml:space="preserve"> </w:t>
            </w:r>
            <w:r>
              <w:t xml:space="preserve">“Todos os ativos”</w:t>
            </w:r>
            <w:r>
              <w:t xml:space="preserve"> </w:t>
            </w:r>
            <w:r>
              <w:t xml:space="preserve">e com o rótulo completo de cada ativo cadastrado, composto por ticker e nomeEmpresa (classe Ativo), e apresenta o campo de horizonte com o valor padrão de 10 pregões, limitado ao intervalo de 1 a 60.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o ativo — um em particular ou todos —, informa o horizonte de avaliação e aciona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as regras de análise em estado ativo, com nomeRegra, parametroPrincipal, parametroSecundario e peso (classe RegraConfigurada), conforme as Regras de Negócio RN018 e RN025.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 uma única vez, instanciando a estratégia de cada regra configurada, e prepara uma linha de apuração por regra registrada, além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 </w:t>
            </w:r>
            <w:r>
              <w:t xml:space="preserve">(classe Backtester).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Para cada ativo selecionado, o sistema recupera o histórico completo de cotações, ordenado por data crescente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percorre o histórico a partir do 30º pregão até o último pregão que ainda comporta o horizonte informado e, em cada ponto, recorta a série com tudo o que estava disponível naquela data, de modo que nenhum dado futuro participe da decisão das regras. (sistema) (8a) 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calcula o retorno realizado entre o fechamento do pregão do sinal e o fechamento do pregão situado ao fim do horizonte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reaplica o motor sobre o recorte, obtendo o parecer consolidado e o parecer individual de cada regra ativa, com tipo, pontuacao e regraAplicada (classe Recomendacao), conforme a Regra de Negócio RN019.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contabiliza cada parecer conforme a Regra de Negócio RN024: pareceres Neutro não constituem sinal; pareceres Compra e Venda acrescentam um sinal, somam o retorno de quem seguisse o sinal — com o valor invertido na venda — e contam um acerto quando a direção se confirmou.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repete os passos 9 a 11 para os demais pregões do histórico e os passos 7 a 11 para os demais ativos selecionados.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apresenta a tabela com Ativo, Regra, Sinais, Acertos, Taxa de acerto e Retorno médio, uma linha por regra e a linha consolidada em negrito, com a taxa em percentual inteiro e o retorno médio com sinal, destacado em verde quando positivo e em vermelho quando negativo, conforme o Requisito de Usabilidade REU002.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14 - O sistema informa</w:t>
            </w:r>
            <w:r>
              <w:t xml:space="preserve"> </w:t>
            </w:r>
            <w:r>
              <w:t xml:space="preserve">“N ativo(s) avaliado(s) com M regra(s) ativa(s) e horizonte de H pregão(ões).”</w:t>
            </w:r>
            <w:r>
              <w:t xml:space="preserve"> </w:t>
            </w:r>
            <w:r>
              <w:t xml:space="preserve">(sistema) (14a)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os dois limiares, Neutro — critério que define se o parecer consolidado de cada pregão constitui sinal.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recebem linha na apuração.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naquele pregão ela não emite parecer e, portanto, nenhum sinal lhe é contabilizado.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RN024 — No backtesting, Compra acerta quando o retorno no horizonte é positivo e Venda acerta quando é negativo; pareceres Neutro não geram sinal. O retorno acumulado é o de quem seguiu o sinal, de modo que operar vendido em uma queda conta como ganho.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RN025 — O peso de uma regra deve ser maior que zero e a pontuação consolidada é a média ponderada pelos pesos, base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Retorno médio no passo 13.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rodapé apresentado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troca o ativo ou o horizonte e aciona novamente</w:t>
            </w:r>
            <w:r>
              <w:t xml:space="preserve"> </w:t>
            </w:r>
            <w:r>
              <w:t xml:space="preserve">“Executar backtesting”</w:t>
            </w:r>
            <w:r>
              <w:t xml:space="preserve">: o sistema limpa a tabela e repete os passos 5 a 14 com a nova configuração.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edita os parâmetros de uma regra ou a ativa e desativa na tela de regras e reabre o backtesting: o sistema utiliza a configuração que está valendo naquele momento, permitindo comparar o efeito do ajuste sobre o mesmo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 </w:t>
            </w:r>
            <w:r>
              <w:t xml:space="preserve">e exibe</w:t>
            </w:r>
            <w:r>
              <w:t xml:space="preserve"> </w:t>
            </w:r>
            <w:r>
              <w:t xml:space="preserve">“Nenhum ativo cadastrado: cadastre ativos e importe cotações para usar o backtesting.”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histórico do ativo não alcance os 30 pregões de formação mais o horizonte informado, nenhum pregão é avaliado e o sistema apresenta, em linha única para aquele ativo, a observação</w:t>
            </w:r>
            <w:r>
              <w:t xml:space="preserve"> </w:t>
            </w:r>
            <w:r>
              <w:t xml:space="preserve">“Histórico com apenas N pregão(ões). O backtesting exige M: 30 para as regras se formarem e mais H para medir o resultado de cada sinal.”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nenhum pregão possa ser avaliado por não haver preço de fechamento válido no período, o sistema apresenta, em linha única para aquele ativo, a observação</w:t>
            </w:r>
            <w:r>
              <w:t xml:space="preserve"> </w:t>
            </w:r>
            <w:r>
              <w:t xml:space="preserve">“Nenhum pregão pôde ser avaliado: as cotações do período não têm preços válidos.”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14a - Caso nenhum ativo tenha sido avaliado — por exemplo, quando o ativo escolhido foi removido do cadastro entre os passos 3 e 4 —, o sistema apresenta a tabela vazia com a mensagem</w:t>
            </w:r>
            <w:r>
              <w:t xml:space="preserve"> </w:t>
            </w:r>
            <w:r>
              <w:t xml:space="preserve">“Nenhum ativo selecionado para o backtesting.”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bookmarkEnd w:id="75"/>
    <w:bookmarkStart w:id="85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7" name="Picture"/>
            <a:graphic>
              <a:graphicData uri="http://schemas.openxmlformats.org/drawingml/2006/picture">
                <pic:pic>
                  <pic:nvPicPr>
                    <pic:cNvPr descr="figuras/cls-domini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3167486"/>
            <wp:effectExtent b="0" l="0" r="0" t="0"/>
            <wp:docPr descr="Figura 16. Diagrama de classes do núcleo de análise, com o padrão Strategy." title="" id="80" name="Picture"/>
            <a:graphic>
              <a:graphicData uri="http://schemas.openxmlformats.org/drawingml/2006/picture">
                <pic:pic>
                  <pic:nvPicPr>
                    <pic:cNvPr descr="figuras/cls-analis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1817961"/>
            <wp:effectExtent b="0" l="0" r="0" t="0"/>
            <wp:docPr descr="Figura 17. Diagrama de classes da arquitetura em camadas." title="" id="83" name="Picture"/>
            <a:graphic>
              <a:graphicData uri="http://schemas.openxmlformats.org/drawingml/2006/picture">
                <pic:pic>
                  <pic:nvPicPr>
                    <pic:cNvPr descr="figuras/cls-arquitetur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5"/>
    <w:bookmarkStart w:id="86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</w:pPr>
      <w:r>
        <w:rPr>
          <w:b/>
          <w:bCs/>
        </w:rPr>
        <w:t xml:space="preserve">Quadro 21.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22.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23.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24.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25.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26.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27.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28.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29.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30.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31.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m_peso</w:t>
            </w:r>
          </w:p>
        </w:tc>
        <w:tc>
          <w:tcPr/>
          <w:p>
            <w:pPr>
              <w:pStyle w:val="Compact"/>
            </w:pPr>
            <w:r>
              <w:t xml:space="preserve">Peso da regra na média ponderada com que o MotorAnalise consolida os pareceres; deve ser maior que zero (RN025)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Contínuo: maior que 0,0, de 0,1 a 5,0 na tela de configuração; valor padrão 1,0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32.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33.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704"/>
        <w:gridCol w:w="965"/>
        <w:gridCol w:w="1545"/>
        <w:gridCol w:w="154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34.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35.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36.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37.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38.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39.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40. Dicionário de informações da classe Backtester.</w:t>
      </w:r>
    </w:p>
    <w:p>
      <w:pPr>
        <w:pStyle w:val="BodyText"/>
      </w:pPr>
      <w:r>
        <w:rPr>
          <w:i/>
          <w:iCs/>
        </w:rPr>
        <w:t xml:space="preserve">Backtester: reexecuta o MotorAnalise em cada ponto da série histórica já importada, como se aquele pregão fosse o mais recente, e confere o parecer emitido contra o comportamento do preço nos pregões seguintes (RF021); é uma classe pura, que não conhece banco de dados nem interface gráfica.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configurações de regras com que o motor é remontado a cada ponto do histórico avaliado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(RegraConfigurada)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RegraConfigurada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HORIZONTE_PADRAO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à frente considerada para medir o resultado de um sinal (10)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MINIMO_DE_PREGOES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de histórico exigida antes do primeiro sinal (30), para que as médias móveis e o RSI tenham série suficiente para se formar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30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NOME_CONSOLIDADO</w:t>
            </w:r>
          </w:p>
        </w:tc>
        <w:tc>
          <w:tcPr/>
          <w:p>
            <w:pPr>
              <w:pStyle w:val="Compact"/>
            </w:pPr>
            <w:r>
              <w:t xml:space="preserve">Constante de classe: rótulo da linha do parecer consolidado nos resultados apurados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Consolidado (média ponderada)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41. Dicionário de informações da classe ResultadoBacktestRegra.</w:t>
      </w:r>
    </w:p>
    <w:p>
      <w:pPr>
        <w:pStyle w:val="BodyText"/>
      </w:pPr>
      <w:r>
        <w:rPr>
          <w:i/>
          <w:iCs/>
        </w:rPr>
        <w:t xml:space="preserve">ResultadoBacktestRegra: estrutura de dados com o desempenho histórico de uma única regra, ou do parecer consolidado, apurado pelo Backtester ao longo de todo o período avaliado.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Nome canônico da regra a que a apuração se refere, ou o rótulo do parecer consolidado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Consolidado (média ponderada)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sinais</w:t>
            </w:r>
          </w:p>
        </w:tc>
        <w:tc>
          <w:tcPr/>
          <w:p>
            <w:pPr>
              <w:pStyle w:val="Compact"/>
            </w:pPr>
            <w:r>
              <w:t xml:space="preserve">Quantidade de pareceres diferentes de Neutro emitidos ao longo do histórico; pareceres Neutro não são sinal e não entram na contabilidade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acertos</w:t>
            </w:r>
          </w:p>
        </w:tc>
        <w:tc>
          <w:tcPr/>
          <w:p>
            <w:pPr>
              <w:pStyle w:val="Compact"/>
            </w:pPr>
            <w:r>
              <w:t xml:space="preserve">Quantidade de sinais cuja direção se confirmou no horizonte avaliado: Compra com retorno futuro positivo e Venda com retorno futuro negativo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sinais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somaDosRetornos</w:t>
            </w:r>
          </w:p>
        </w:tc>
        <w:tc>
          <w:tcPr/>
          <w:p>
            <w:pPr>
              <w:pStyle w:val="Compact"/>
            </w:pPr>
            <w:r>
              <w:t xml:space="preserve">Soma dos retornos obtidos ao seguir cada sinal, expressa em fração e não em percentual; a venda contribui com o retorno de sinal invertido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−{9}9,99 a {9}9,99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taxaDeAcerto()</w:t>
            </w:r>
          </w:p>
        </w:tc>
        <w:tc>
          <w:tcPr/>
          <w:p>
            <w:pPr>
              <w:pStyle w:val="Compact"/>
            </w:pPr>
            <w:r>
              <w:t xml:space="preserve">Operação derivada: proporção de acertos sobre os sinais emitidos;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0,00 a 1,00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retornoMedio()</w:t>
            </w:r>
          </w:p>
        </w:tc>
        <w:tc>
          <w:tcPr/>
          <w:p>
            <w:pPr>
              <w:pStyle w:val="Compact"/>
            </w:pPr>
            <w:r>
              <w:t xml:space="preserve">Operação derivada: retorno médio por sinal, em fração, obtido da divisão da soma dos retornos pelo número de sinais;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42. Dicionário de informações da classe ResultadoBacktest.</w:t>
      </w:r>
    </w:p>
    <w:p>
      <w:pPr>
        <w:pStyle w:val="BodyText"/>
      </w:pPr>
      <w:r>
        <w:rPr>
          <w:i/>
          <w:iCs/>
        </w:rPr>
        <w:t xml:space="preserve">ResultadoBacktest: estrutura de dados com o resultado completo do backtesting de um ativo, reunindo a apuração consolidada e a apuração de cada regra ativa, apresentadas no DialogoBacktest.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submetido ao backtesting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Discreto: tickers cadastrados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pregoesAvaliados</w:t>
            </w:r>
          </w:p>
        </w:tc>
        <w:tc>
          <w:tcPr/>
          <w:p>
            <w:pPr>
              <w:pStyle w:val="Compact"/>
            </w:pPr>
            <w:r>
              <w:t xml:space="preserve">Quantidade de pregões em que houve reavaliação das regras ao longo do histórico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Quantidade de pregões à frente usada para medir o resultado de cada sinal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1 a 60 pregões; valor padrão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consolidado</w:t>
            </w:r>
          </w:p>
        </w:tc>
        <w:tc>
          <w:tcPr/>
          <w:p>
            <w:pPr>
              <w:pStyle w:val="Compact"/>
            </w:pPr>
            <w:r>
              <w:t xml:space="preserve">Apuração do parecer consolidado do motor, isto é, da média ponderada de todas as regras ativas (RN025)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 válida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porRegra</w:t>
            </w:r>
          </w:p>
        </w:tc>
        <w:tc>
          <w:tcPr/>
          <w:p>
            <w:pPr>
              <w:pStyle w:val="Compact"/>
            </w:pPr>
            <w:r>
              <w:t xml:space="preserve">Coleção com uma apuração por regra ativa, na ordem em que o motor as registrou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observacao</w:t>
            </w:r>
          </w:p>
        </w:tc>
        <w:tc>
          <w:tcPr/>
          <w:p>
            <w:pPr>
              <w:pStyle w:val="Compact"/>
            </w:pPr>
            <w:r>
              <w:t xml:space="preserve">Motivo pelo qual o ativo não pôde ser avaliado, como histórico curto demais; permanece vazio quando a avaliação foi realizada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o ativo foi avaliado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43.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44.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45.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46.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47.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48.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49.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50.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51.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52.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53.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54.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55.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56.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57.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58.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59.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60.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61.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62. Dicionário de informações da interface FonteCotacoesRemota.</w:t>
      </w:r>
    </w:p>
    <w:p>
      <w:pPr>
        <w:pStyle w:val="BodyText"/>
      </w:pPr>
      <w:r>
        <w:rPr>
          <w:i/>
          <w:iCs/>
        </w:rPr>
        <w:t xml:space="preserve">Interface que abstrai o provedor remoto de cotações diárias (RF020), isolando o ServicoSincronizacao da API concreta: hoje a implementação é a FonteYahooFinance, e trocar de provedor não exige alteração no serviço nem na interface gráfica; nos testes, a mesma interface permite injetar uma fonte falsa, sem rede.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legível do provedor, empregado no registro de auditoria e nas mensagens apresentadas ao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Contínuo: até 60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buscar()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 as cotações diárias do ticker no intervalo informado, já com o identificador do ativo preenchido em cada candle; não grava nada no banco de dados e nunca lança exceção, devolvendo falso com a causa em erro nas falhas de rede ou de formato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 (QString), ativoId (qint64), de e ate (QDate), destino (coleção de Cotacao), erro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Discreto: 1 = Sim, cotações obtidas; 0 = Não, falha descrita em erro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~FonteCotacoesRemota()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das fontes concretas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63. Dicionário de informações da classe FonteYahooFinance.</w:t>
      </w:r>
    </w:p>
    <w:p>
      <w:pPr>
        <w:pStyle w:val="BodyText"/>
      </w:pPr>
      <w:r>
        <w:rPr>
          <w:i/>
          <w:iCs/>
        </w:rPr>
        <w:t xml:space="preserve">Implementação concreta da FonteCotacoesRemota apoiada na chart API v8 do Yahoo Finance: monta um pedido por ativo, com intervalo diário e o sufixo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.SA</w:t>
      </w:r>
      <w:r>
        <w:rPr>
          <w:i/>
          <w:iCs/>
        </w:rPr>
        <w:t xml:space="preserve"> </w:t>
      </w:r>
      <w:r>
        <w:rPr>
          <w:i/>
          <w:iCs/>
        </w:rPr>
        <w:t xml:space="preserve">dos tickers da B3, e converte a resposta JSON em cotações do domínio. A requisição é síncrona, pois a sincronização é disparada por um clique; a conversão do JSON é estática e pura, para poder ser testada sem rede.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TEMPO_LIMITE_MS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tempo máximo de espera pela resposta da API, em milissegundos. Valor 15000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SUFIXO_B3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sufixo acrescentado aos tickers brasileiros na API do Yahoo. Valor</w:t>
            </w:r>
            <w:r>
              <w:t xml:space="preserve"> </w:t>
            </w:r>
            <w:r>
              <w:rPr>
                <w:rStyle w:val="VerbatimChar"/>
              </w:rPr>
              <w:t xml:space="preserve">.SA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Gerenciador de acesso à rede utilizado nas requisições ao endpoint do provedor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QNetworkAccessManager*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64. Dicionário de informações da classe ServicoSincronizacao.</w:t>
      </w:r>
    </w:p>
    <w:p>
      <w:pPr>
        <w:pStyle w:val="BodyText"/>
      </w:pPr>
      <w:r>
        <w:rPr>
          <w:i/>
          <w:iCs/>
        </w:rPr>
        <w:t xml:space="preserve">Responsável pela sincronização online das cotações (RF020), complementar à importação de arquivos CSV. Para cada ativo cadastrado calcula a janela faltante — do dia seguinte à última cotação local até hoje —, pede somente esse intervalo à fonte remota e grava o resultado de forma transacional, reaproveitando a inserção idempotente da importação, de modo que acionar a sincronização duas vezes não duplica pregões (RN023). A falha de um ativo nunca interrompe os demais (RNF008), e cada tentativa é registrada na tabela de importações, que assim guarda a auditoria única do CSV e da sincronização.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JANELA_INICIAL_DIAS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dias de histórico buscada quando o ativo ainda não possui nenhuma cotação local (RN023). Valor 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fornece a relação dos ativos a sincronizar e os respectivos 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local de cada ativo e gravar as cotações baixadas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registrada a auditoria de cada sincronização, com o estado Concluida ou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à fonte remota de cotações, declarada pela interface FonteCotacoesRemota para permitir a troca de provedor e o uso de fonte falsa nos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FonteCotacoesRemota&amp;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65. Dicionário de informações da classe ResultadoSincronizacao.</w:t>
      </w:r>
    </w:p>
    <w:p>
      <w:pPr>
        <w:pStyle w:val="BodyText"/>
      </w:pPr>
      <w:r>
        <w:rPr>
          <w:i/>
          <w:iCs/>
        </w:rPr>
        <w:t xml:space="preserve">Estrutura de dados devolvida pelo ServicoSincronizacao ao término da sincronização; reúne as contagens da operação e a relação de mensagens por ativo apresentada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cujas cotações foram efetivamente atualizadas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ativosComFalha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que falharam, por indisponibilidade da rede ou erro do provedor; a falha de um ativo não interrompe os demais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cotações novas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com uma linha por ativo, no formato</w:t>
            </w:r>
            <w:r>
              <w:t xml:space="preserve"> </w:t>
            </w:r>
            <w:r>
              <w:rPr>
                <w:rStyle w:val="VerbatimChar"/>
              </w:rPr>
              <w:t xml:space="preserve">PETR4: 12 novas, 0 ignoradas</w:t>
            </w:r>
            <w:r>
              <w:t xml:space="preserve">, ou com o motivo da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resumo()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devolve o texto consolidado da operação, pronto para exibição no rótulo de resumo da 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66.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fonteCotacoes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remota de cotações empregada na sincronização online, declarada antes do serviço que a recebe por referência (RF020)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FonteYahooFinance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sincronização online das cotações, que baixa da fonte remota apenas o período faltante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67.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68.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69.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70.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71.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72.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73.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74.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75.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 Oferece também a sincronização online das cotações (UC019), atalho opcional que baixa da fonte remota apenas o período faltante de cada ativo; o arquivo CSV permanece como caminho primário, pois a sincronização pode falhar na ausência de rede (RNF008).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m_botaoEscolher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seletor de arquivos para a escolha do CSV a 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m_botaoDiretorio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de um diretório inteiro, casando cada arquivo TICKER.csv com o ativo cadastrado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m_botaoSincronizar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sincronização online das cotações (UC019, RF020), habilitado somente quando há ativo cadastrado e desabilitado enquanto a operação está 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76.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 É também o ponto de entrada do backtesting (UC020), que mede no histórico já importado o desempenho da configuração vigente.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m_botaoBacktest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DialogoBacktest para avaliar no histórico o desempenho da configuração de regras vigente (UC020, RF021)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77.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78.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79.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80.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81.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82.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83.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peso da regra na média ponderada do MotorAnalise, com uma casa decimal e faixa de 0,1 a 5,0, de modo que o peso é sempre maior que zero (RN025)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84. Dicionário de informações da classe DialogoBacktest.</w:t>
      </w:r>
    </w:p>
    <w:p>
      <w:pPr>
        <w:pStyle w:val="BodyText"/>
      </w:pPr>
      <w:r>
        <w:rPr>
          <w:i/>
          <w:iCs/>
        </w:rPr>
        <w:t xml:space="preserve">Diálogo de backtesting das regras de análise (UC020, RF021), aberto pela TelaRegras: permite escolher um ativo, ou todos, e o horizonte de avaliação, e apresenta, regra por regra, quantos sinais a configuração vigente teria emitido no histórico importado, quantos acertaram a direção (RN024) e qual o retorno médio. O cálculo permanece no Backtester; ao diálogo cabe apenas a coleta dos dados nos repositórios e a apresentação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o diálogo alcança os repositórios de ativos, de cotações e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avaliado, com a opção de submeter todos os ativos cadastrados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horizonte de avaliação, em pregões à frente, com faixa de 1 a 60 e valor inicial igual a Backtester::HORIZONTE_PADRAO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execução do backtesting com o ativo e o horizonte escolhidos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resultados, com uma linha por regra e a linha do parecer consolidado em destaque, apresentando sinais, acertos, taxa de acerto e retorno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 operação, informando o andamento ou o motivo de o ativo não ter sido avaliado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m_rotuloRodape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a explicação da convenção de acerto adotada na apuração (RN024)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6"/>
    <w:bookmarkStart w:id="93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8" name="Picture"/>
            <a:graphic>
              <a:graphicData uri="http://schemas.openxmlformats.org/drawingml/2006/picture">
                <pic:pic>
                  <pic:nvPicPr>
                    <pic:cNvPr descr="figuras/obj-analis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1" name="Picture"/>
            <a:graphic>
              <a:graphicData uri="http://schemas.openxmlformats.org/drawingml/2006/picture">
                <pic:pic>
                  <pic:nvPicPr>
                    <pic:cNvPr descr="figuras/obj-carteira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3"/>
    <w:bookmarkStart w:id="154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5" name="Picture"/>
            <a:graphic>
              <a:graphicData uri="http://schemas.openxmlformats.org/drawingml/2006/picture">
                <pic:pic>
                  <pic:nvPicPr>
                    <pic:cNvPr descr="figuras/seq-uc00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8" name="Picture"/>
            <a:graphic>
              <a:graphicData uri="http://schemas.openxmlformats.org/drawingml/2006/picture">
                <pic:pic>
                  <pic:nvPicPr>
                    <pic:cNvPr descr="figuras/seq-uc00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1" name="Picture"/>
            <a:graphic>
              <a:graphicData uri="http://schemas.openxmlformats.org/drawingml/2006/picture">
                <pic:pic>
                  <pic:nvPicPr>
                    <pic:cNvPr descr="figuras/seq-uc00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4" name="Picture"/>
            <a:graphic>
              <a:graphicData uri="http://schemas.openxmlformats.org/drawingml/2006/picture">
                <pic:pic>
                  <pic:nvPicPr>
                    <pic:cNvPr descr="figuras/seq-uc004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7" name="Picture"/>
            <a:graphic>
              <a:graphicData uri="http://schemas.openxmlformats.org/drawingml/2006/picture">
                <pic:pic>
                  <pic:nvPicPr>
                    <pic:cNvPr descr="figuras/seq-uc00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10" name="Picture"/>
            <a:graphic>
              <a:graphicData uri="http://schemas.openxmlformats.org/drawingml/2006/picture">
                <pic:pic>
                  <pic:nvPicPr>
                    <pic:cNvPr descr="figuras/seq-uc006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3" name="Picture"/>
            <a:graphic>
              <a:graphicData uri="http://schemas.openxmlformats.org/drawingml/2006/picture">
                <pic:pic>
                  <pic:nvPicPr>
                    <pic:cNvPr descr="figuras/seq-uc007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6" name="Picture"/>
            <a:graphic>
              <a:graphicData uri="http://schemas.openxmlformats.org/drawingml/2006/picture">
                <pic:pic>
                  <pic:nvPicPr>
                    <pic:cNvPr descr="figuras/seq-uc00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9" name="Picture"/>
            <a:graphic>
              <a:graphicData uri="http://schemas.openxmlformats.org/drawingml/2006/picture">
                <pic:pic>
                  <pic:nvPicPr>
                    <pic:cNvPr descr="figuras/seq-uc00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2" name="Picture"/>
            <a:graphic>
              <a:graphicData uri="http://schemas.openxmlformats.org/drawingml/2006/picture">
                <pic:pic>
                  <pic:nvPicPr>
                    <pic:cNvPr descr="figuras/seq-uc01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5" name="Picture"/>
            <a:graphic>
              <a:graphicData uri="http://schemas.openxmlformats.org/drawingml/2006/picture">
                <pic:pic>
                  <pic:nvPicPr>
                    <pic:cNvPr descr="figuras/seq-uc01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8" name="Picture"/>
            <a:graphic>
              <a:graphicData uri="http://schemas.openxmlformats.org/drawingml/2006/picture">
                <pic:pic>
                  <pic:nvPicPr>
                    <pic:cNvPr descr="figuras/seq-uc01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1" name="Picture"/>
            <a:graphic>
              <a:graphicData uri="http://schemas.openxmlformats.org/drawingml/2006/picture">
                <pic:pic>
                  <pic:nvPicPr>
                    <pic:cNvPr descr="figuras/seq-uc013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4" name="Picture"/>
            <a:graphic>
              <a:graphicData uri="http://schemas.openxmlformats.org/drawingml/2006/picture">
                <pic:pic>
                  <pic:nvPicPr>
                    <pic:cNvPr descr="figuras/seq-uc0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7" name="Picture"/>
            <a:graphic>
              <a:graphicData uri="http://schemas.openxmlformats.org/drawingml/2006/picture">
                <pic:pic>
                  <pic:nvPicPr>
                    <pic:cNvPr descr="figuras/seq-uc01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40" name="Picture"/>
            <a:graphic>
              <a:graphicData uri="http://schemas.openxmlformats.org/drawingml/2006/picture">
                <pic:pic>
                  <pic:nvPicPr>
                    <pic:cNvPr descr="figuras/seq-uc016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3" name="Picture"/>
            <a:graphic>
              <a:graphicData uri="http://schemas.openxmlformats.org/drawingml/2006/picture">
                <pic:pic>
                  <pic:nvPicPr>
                    <pic:cNvPr descr="figuras/seq-uc017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6" name="Picture"/>
            <a:graphic>
              <a:graphicData uri="http://schemas.openxmlformats.org/drawingml/2006/picture">
                <pic:pic>
                  <pic:nvPicPr>
                    <pic:cNvPr descr="figuras/seq-uc018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pPr>
        <w:pStyle w:val="CaptionedFigure"/>
      </w:pPr>
      <w:r>
        <w:drawing>
          <wp:inline>
            <wp:extent cx="5334000" cy="2163120"/>
            <wp:effectExtent b="0" l="0" r="0" t="0"/>
            <wp:docPr descr="Figura 38. Diagrama de sequência para o [UC019]." title="" id="149" name="Picture"/>
            <a:graphic>
              <a:graphicData uri="http://schemas.openxmlformats.org/drawingml/2006/picture">
                <pic:pic>
                  <pic:nvPicPr>
                    <pic:cNvPr descr="figuras/seq-uc019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sequência para o [UC019].</w:t>
      </w:r>
    </w:p>
    <w:p>
      <w:pPr>
        <w:pStyle w:val="CaptionedFigure"/>
      </w:pPr>
      <w:r>
        <w:drawing>
          <wp:inline>
            <wp:extent cx="5334000" cy="3000511"/>
            <wp:effectExtent b="0" l="0" r="0" t="0"/>
            <wp:docPr descr="Figura 39. Diagrama de sequência para o [UC020]." title="" id="152" name="Picture"/>
            <a:graphic>
              <a:graphicData uri="http://schemas.openxmlformats.org/drawingml/2006/picture">
                <pic:pic>
                  <pic:nvPicPr>
                    <pic:cNvPr descr="figuras/seq-uc020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sequência para o [UC020].</w:t>
      </w:r>
    </w:p>
    <w:p>
      <w:r>
        <w:br w:type="page"/>
      </w:r>
    </w:p>
    <w:bookmarkEnd w:id="154"/>
    <w:bookmarkEnd w:id="155"/>
    <w:bookmarkEnd w:id="156"/>
    <w:bookmarkStart w:id="158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 entrevista com o cliente foram levantados 21 requisitos</w:t>
      </w:r>
      <w:r>
        <w:t xml:space="preserve"> </w:t>
      </w:r>
      <w:r>
        <w:t xml:space="preserve">funcionais, 8 não funcionais, 4 restrições de projeto e 4 requisitos de experiência</w:t>
      </w:r>
      <w:r>
        <w:t xml:space="preserve"> </w:t>
      </w:r>
      <w:r>
        <w:t xml:space="preserve">do usuário, todos rastreáveis aos 20 casos de uso especificados no padrão da</w:t>
      </w:r>
      <w:r>
        <w:t xml:space="preserve"> </w:t>
      </w:r>
      <w:r>
        <w:t xml:space="preserve">disciplina e às classes do Diagrama de Classes — cada informação citada nos fluxos</w:t>
      </w:r>
      <w:r>
        <w:t xml:space="preserve"> </w:t>
      </w:r>
      <w:r>
        <w:t xml:space="preserve">dos casos de uso existe como atributo no dicionário de informações, e cada caso de</w:t>
      </w:r>
      <w:r>
        <w:t xml:space="preserve"> </w:t>
      </w:r>
      <w:r>
        <w:t xml:space="preserve">uso possui seu Diagrama 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 e operação pelos próprios</w:t>
      </w:r>
      <w:r>
        <w:t xml:space="preserve"> </w:t>
      </w:r>
      <w:r>
        <w:t xml:space="preserve">membros do clube. A estimativa de esforço combinou duas técnicas — Planning Poker</w:t>
      </w:r>
      <w:r>
        <w:t xml:space="preserve"> </w:t>
      </w:r>
      <w:r>
        <w:t xml:space="preserve">(116 horas) e Pontos de Caso de Uso (145,45 UCP) — que convergiram na</w:t>
      </w:r>
      <w:r>
        <w:t xml:space="preserve"> </w:t>
      </w:r>
      <w:r>
        <w:t xml:space="preserve">identificação dos pontos de maior complexidade: a importação transacional de</w:t>
      </w:r>
      <w:r>
        <w:t xml:space="preserve"> </w:t>
      </w:r>
      <w:r>
        <w:t xml:space="preserve">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definitiva (C++ com Qt 6 e SQLite), navegável em todos os casos de uso e</w:t>
      </w:r>
      <w:r>
        <w:t xml:space="preserve"> </w:t>
      </w:r>
      <w:r>
        <w:t xml:space="preserve">calculando indicadores reais sobre cotações importadas — o que antecipa riscos</w:t>
      </w:r>
      <w:r>
        <w:t xml:space="preserve"> </w:t>
      </w:r>
      <w:r>
        <w:t xml:space="preserve">técnicos que só apareceriam na implementação e dá segurança às estimativas</w:t>
      </w:r>
      <w:r>
        <w:t xml:space="preserve"> </w:t>
      </w:r>
      <w:r>
        <w:t xml:space="preserve">apresentadas.</w:t>
      </w:r>
    </w:p>
    <w:bookmarkStart w:id="157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novas regras de análise</w:t>
      </w:r>
      <w:r>
        <w:t xml:space="preserve"> </w:t>
      </w:r>
      <w:r>
        <w:t xml:space="preserve">(MACD e Bandas de Bollinger), o agendamento automático da sincronização de</w:t>
      </w:r>
      <w:r>
        <w:t xml:space="preserve"> </w:t>
      </w:r>
      <w:r>
        <w:t xml:space="preserve">cotações e a exportação de relatórios das reuniões do clube.</w:t>
      </w:r>
    </w:p>
    <w:p>
      <w:r>
        <w:br w:type="page"/>
      </w:r>
    </w:p>
    <w:bookmarkEnd w:id="157"/>
    <w:bookmarkEnd w:id="158"/>
    <w:bookmarkStart w:id="159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9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2026-08-23T15:43:43Z</dcterms:created>
  <dcterms:modified xsi:type="dcterms:W3CDTF">2026-08-23T15:43:43Z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