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2B26D" w14:textId="77777777" w:rsidR="00591A81" w:rsidRPr="00F87167" w:rsidRDefault="00000000" w:rsidP="00F87167">
      <w:pPr>
        <w:pStyle w:val="FirstParagraph"/>
        <w:spacing w:line="276" w:lineRule="auto"/>
        <w:jc w:val="center"/>
        <w:rPr>
          <w:rFonts w:asciiTheme="majorHAnsi" w:hAnsiTheme="majorHAnsi" w:cstheme="majorHAnsi"/>
          <w:sz w:val="32"/>
          <w:szCs w:val="32"/>
        </w:rPr>
      </w:pPr>
      <w:r w:rsidRPr="00F87167">
        <w:rPr>
          <w:rFonts w:asciiTheme="majorHAnsi" w:hAnsiTheme="majorHAnsi" w:cstheme="majorHAnsi"/>
          <w:sz w:val="32"/>
          <w:szCs w:val="32"/>
        </w:rPr>
        <w:br/>
      </w:r>
    </w:p>
    <w:p w14:paraId="0EC40725" w14:textId="7EC25D4E" w:rsidR="00591A81" w:rsidRPr="00F87167" w:rsidRDefault="00000000" w:rsidP="00F87167">
      <w:pPr>
        <w:pStyle w:val="Textoindependiente"/>
        <w:spacing w:line="276" w:lineRule="auto"/>
        <w:jc w:val="center"/>
        <w:rPr>
          <w:rFonts w:asciiTheme="majorHAnsi" w:hAnsiTheme="majorHAnsi" w:cstheme="majorHAnsi"/>
          <w:b/>
          <w:bCs/>
          <w:sz w:val="32"/>
          <w:szCs w:val="32"/>
          <w:lang w:val="es-CO"/>
        </w:rPr>
      </w:pPr>
      <w:r w:rsidRPr="00F87167">
        <w:rPr>
          <w:rFonts w:asciiTheme="majorHAnsi" w:hAnsiTheme="majorHAnsi" w:cstheme="majorHAnsi"/>
          <w:b/>
          <w:bCs/>
          <w:sz w:val="32"/>
          <w:szCs w:val="32"/>
          <w:lang w:val="es-CO"/>
        </w:rPr>
        <w:t>ANÁLISIS DE SINIESTROS E IBNR</w:t>
      </w:r>
      <w:r w:rsidR="005D2D73" w:rsidRPr="00F87167">
        <w:rPr>
          <w:rFonts w:asciiTheme="majorHAnsi" w:hAnsiTheme="majorHAnsi" w:cstheme="majorHAnsi"/>
          <w:b/>
          <w:bCs/>
          <w:sz w:val="32"/>
          <w:szCs w:val="32"/>
          <w:lang w:val="es-CO"/>
        </w:rPr>
        <w:t xml:space="preserve"> PARA REASEGURO</w:t>
      </w:r>
      <w:r w:rsidRPr="00F87167">
        <w:rPr>
          <w:rFonts w:asciiTheme="majorHAnsi" w:hAnsiTheme="majorHAnsi" w:cstheme="majorHAnsi"/>
          <w:b/>
          <w:bCs/>
          <w:sz w:val="32"/>
          <w:szCs w:val="32"/>
          <w:lang w:val="es-CO"/>
        </w:rPr>
        <w:t>: DESCRIPCIÓN, ESTIMACIÓN Y SELECCIÓN DE COMISIÓN DE REASEGURO</w:t>
      </w:r>
    </w:p>
    <w:p w14:paraId="43A303A3" w14:textId="77777777" w:rsidR="005D2D73" w:rsidRPr="00F87167" w:rsidRDefault="005D2D73" w:rsidP="00F87167">
      <w:pPr>
        <w:pStyle w:val="Textoindependiente"/>
        <w:spacing w:line="276" w:lineRule="auto"/>
        <w:jc w:val="center"/>
        <w:rPr>
          <w:rFonts w:asciiTheme="majorHAnsi" w:hAnsiTheme="majorHAnsi" w:cstheme="majorHAnsi"/>
          <w:sz w:val="32"/>
          <w:szCs w:val="32"/>
          <w:lang w:val="es-CO"/>
        </w:rPr>
      </w:pPr>
    </w:p>
    <w:p w14:paraId="1152E08C" w14:textId="77777777" w:rsidR="00591A81" w:rsidRPr="00F87167" w:rsidRDefault="00000000" w:rsidP="00F87167">
      <w:pPr>
        <w:pStyle w:val="Textoindependiente"/>
        <w:spacing w:line="276" w:lineRule="auto"/>
        <w:ind w:left="2880" w:firstLine="720"/>
        <w:rPr>
          <w:rFonts w:asciiTheme="majorHAnsi" w:hAnsiTheme="majorHAnsi" w:cstheme="majorHAnsi"/>
          <w:sz w:val="32"/>
          <w:szCs w:val="32"/>
          <w:lang w:val="es-CO"/>
        </w:rPr>
      </w:pPr>
      <w:r w:rsidRPr="00F87167">
        <w:rPr>
          <w:rFonts w:asciiTheme="majorHAnsi" w:hAnsiTheme="majorHAnsi" w:cstheme="majorHAnsi"/>
          <w:sz w:val="32"/>
          <w:szCs w:val="32"/>
          <w:lang w:val="es-CO"/>
        </w:rPr>
        <w:t>Taller 1 – Grupo 3</w:t>
      </w:r>
    </w:p>
    <w:p w14:paraId="305B1C24" w14:textId="77777777" w:rsidR="005D2D73" w:rsidRPr="00F87167" w:rsidRDefault="005D2D73" w:rsidP="00F87167">
      <w:pPr>
        <w:pStyle w:val="Textoindependiente"/>
        <w:spacing w:line="276" w:lineRule="auto"/>
        <w:ind w:left="2880" w:firstLine="720"/>
        <w:rPr>
          <w:rFonts w:asciiTheme="majorHAnsi" w:hAnsiTheme="majorHAnsi" w:cstheme="majorHAnsi"/>
          <w:sz w:val="32"/>
          <w:szCs w:val="32"/>
          <w:lang w:val="es-CO"/>
        </w:rPr>
      </w:pPr>
    </w:p>
    <w:p w14:paraId="500F5F7F" w14:textId="77777777"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 xml:space="preserve">Autores: </w:t>
      </w:r>
    </w:p>
    <w:p w14:paraId="66154FAC" w14:textId="716879A3"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 xml:space="preserve">Manuel Alejandro Morales Botache </w:t>
      </w:r>
    </w:p>
    <w:p w14:paraId="0925AF5A" w14:textId="4648C989"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 xml:space="preserve">Sergio Andrés Díaz Vera </w:t>
      </w:r>
    </w:p>
    <w:p w14:paraId="67806C2A" w14:textId="5C33B237"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 xml:space="preserve">María Paula Pineda Monroy </w:t>
      </w:r>
    </w:p>
    <w:p w14:paraId="733B8969" w14:textId="4E1379C7"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 xml:space="preserve">Dylan Steven Cifuentes  </w:t>
      </w:r>
    </w:p>
    <w:p w14:paraId="337D26FD" w14:textId="44C27627" w:rsidR="00591A81" w:rsidRPr="00F87167" w:rsidRDefault="00000000" w:rsidP="00F87167">
      <w:pPr>
        <w:pStyle w:val="Textoindependiente"/>
        <w:spacing w:line="276" w:lineRule="auto"/>
        <w:jc w:val="center"/>
        <w:rPr>
          <w:rFonts w:asciiTheme="majorHAnsi" w:hAnsiTheme="majorHAnsi" w:cstheme="majorHAnsi"/>
          <w:sz w:val="32"/>
          <w:szCs w:val="32"/>
          <w:lang w:val="es-CO"/>
        </w:rPr>
      </w:pPr>
      <w:proofErr w:type="spellStart"/>
      <w:r w:rsidRPr="00F87167">
        <w:rPr>
          <w:rFonts w:asciiTheme="majorHAnsi" w:hAnsiTheme="majorHAnsi" w:cstheme="majorHAnsi"/>
          <w:sz w:val="32"/>
          <w:szCs w:val="32"/>
          <w:lang w:val="es-CO"/>
        </w:rPr>
        <w:t>Neyl</w:t>
      </w:r>
      <w:proofErr w:type="spellEnd"/>
      <w:r w:rsidRPr="00F87167">
        <w:rPr>
          <w:rFonts w:asciiTheme="majorHAnsi" w:hAnsiTheme="majorHAnsi" w:cstheme="majorHAnsi"/>
          <w:sz w:val="32"/>
          <w:szCs w:val="32"/>
          <w:lang w:val="es-CO"/>
        </w:rPr>
        <w:t> Peñuela Bernate</w:t>
      </w:r>
    </w:p>
    <w:p w14:paraId="45ACB026" w14:textId="77777777" w:rsidR="005D2D73" w:rsidRPr="00F87167" w:rsidRDefault="005D2D73" w:rsidP="00F87167">
      <w:pPr>
        <w:pStyle w:val="Textoindependiente"/>
        <w:spacing w:line="276" w:lineRule="auto"/>
        <w:jc w:val="center"/>
        <w:rPr>
          <w:rFonts w:asciiTheme="majorHAnsi" w:hAnsiTheme="majorHAnsi" w:cstheme="majorHAnsi"/>
          <w:sz w:val="32"/>
          <w:szCs w:val="32"/>
          <w:lang w:val="es-CO"/>
        </w:rPr>
      </w:pPr>
    </w:p>
    <w:p w14:paraId="2F42626D" w14:textId="380C47A0" w:rsidR="005D2D73" w:rsidRPr="00F87167" w:rsidRDefault="00000000" w:rsidP="00F87167">
      <w:pPr>
        <w:pStyle w:val="Textoindependiente"/>
        <w:spacing w:line="276" w:lineRule="auto"/>
        <w:jc w:val="center"/>
        <w:rPr>
          <w:rFonts w:asciiTheme="majorHAnsi" w:hAnsiTheme="majorHAnsi" w:cstheme="majorHAnsi"/>
          <w:sz w:val="32"/>
          <w:szCs w:val="32"/>
          <w:lang w:val="es-CO"/>
        </w:rPr>
      </w:pPr>
      <w:r w:rsidRPr="00F87167">
        <w:rPr>
          <w:rFonts w:asciiTheme="majorHAnsi" w:hAnsiTheme="majorHAnsi" w:cstheme="majorHAnsi"/>
          <w:sz w:val="32"/>
          <w:szCs w:val="32"/>
          <w:lang w:val="es-CO"/>
        </w:rPr>
        <w:t>1</w:t>
      </w:r>
      <w:r w:rsidR="00F87167">
        <w:rPr>
          <w:rFonts w:asciiTheme="majorHAnsi" w:hAnsiTheme="majorHAnsi" w:cstheme="majorHAnsi"/>
          <w:sz w:val="32"/>
          <w:szCs w:val="32"/>
          <w:lang w:val="es-CO"/>
        </w:rPr>
        <w:t xml:space="preserve">6 </w:t>
      </w:r>
      <w:r w:rsidRPr="00F87167">
        <w:rPr>
          <w:rFonts w:asciiTheme="majorHAnsi" w:hAnsiTheme="majorHAnsi" w:cstheme="majorHAnsi"/>
          <w:sz w:val="32"/>
          <w:szCs w:val="32"/>
          <w:lang w:val="es-CO"/>
        </w:rPr>
        <w:t>de agosto de 2025</w:t>
      </w:r>
      <w:r w:rsidR="005D2D73" w:rsidRPr="00F87167">
        <w:rPr>
          <w:rFonts w:asciiTheme="majorHAnsi" w:hAnsiTheme="majorHAnsi" w:cstheme="majorHAnsi"/>
          <w:sz w:val="32"/>
          <w:szCs w:val="32"/>
          <w:lang w:val="es-CO"/>
        </w:rPr>
        <w:br/>
      </w:r>
      <w:r w:rsidR="005D2D73" w:rsidRPr="00F87167">
        <w:rPr>
          <w:rFonts w:asciiTheme="majorHAnsi" w:hAnsiTheme="majorHAnsi" w:cstheme="majorHAnsi"/>
          <w:sz w:val="32"/>
          <w:szCs w:val="32"/>
          <w:lang w:val="es-CO"/>
        </w:rPr>
        <w:br/>
      </w:r>
    </w:p>
    <w:p w14:paraId="42EDEC1D" w14:textId="77777777" w:rsidR="005D2D73" w:rsidRPr="00F87167" w:rsidRDefault="005D2D73" w:rsidP="00F87167">
      <w:pPr>
        <w:spacing w:line="276" w:lineRule="auto"/>
        <w:rPr>
          <w:rFonts w:asciiTheme="majorHAnsi" w:hAnsiTheme="majorHAnsi" w:cstheme="majorHAnsi"/>
          <w:lang w:val="es-CO"/>
        </w:rPr>
      </w:pPr>
      <w:r w:rsidRPr="00F87167">
        <w:rPr>
          <w:rFonts w:asciiTheme="majorHAnsi" w:hAnsiTheme="majorHAnsi" w:cstheme="majorHAnsi"/>
          <w:lang w:val="es-CO"/>
        </w:rPr>
        <w:br w:type="page"/>
      </w:r>
    </w:p>
    <w:p w14:paraId="54D1B2D1" w14:textId="77777777" w:rsidR="00591A81" w:rsidRPr="00F87167" w:rsidRDefault="00591A81" w:rsidP="00F87167">
      <w:pPr>
        <w:pStyle w:val="Textoindependiente"/>
        <w:spacing w:line="276" w:lineRule="auto"/>
        <w:rPr>
          <w:rFonts w:asciiTheme="majorHAnsi" w:hAnsiTheme="majorHAnsi" w:cstheme="majorHAnsi"/>
          <w:lang w:val="es-CO"/>
        </w:rPr>
      </w:pPr>
    </w:p>
    <w:p w14:paraId="20C6C5FE" w14:textId="77777777" w:rsidR="00591A81" w:rsidRPr="00F87167" w:rsidRDefault="00000000" w:rsidP="00F87167">
      <w:pPr>
        <w:pStyle w:val="Ttulo1"/>
        <w:spacing w:line="276" w:lineRule="auto"/>
        <w:rPr>
          <w:rFonts w:cstheme="majorHAnsi"/>
          <w:color w:val="auto"/>
          <w:sz w:val="24"/>
          <w:szCs w:val="24"/>
          <w:lang w:val="es-CO"/>
        </w:rPr>
      </w:pPr>
      <w:bookmarkStart w:id="0" w:name="introducción"/>
      <w:r w:rsidRPr="00F87167">
        <w:rPr>
          <w:rFonts w:cstheme="majorHAnsi"/>
          <w:color w:val="auto"/>
          <w:sz w:val="24"/>
          <w:szCs w:val="24"/>
          <w:lang w:val="es-CO"/>
        </w:rPr>
        <w:t>Introducción</w:t>
      </w:r>
    </w:p>
    <w:p w14:paraId="771ECD83" w14:textId="77777777" w:rsidR="005D2D73" w:rsidRPr="00F87167" w:rsidRDefault="00000000"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 xml:space="preserve">La gestión de siniestros requiere estudiar la evolución de la siniestralidad, estimar reservas y seleccionar adecuadamente la comisión de reaseguro. En este informe se analiza un portafolio de seguros entre 2019 y 2024 a partir de los pagos y siniestros ocurridos. </w:t>
      </w:r>
    </w:p>
    <w:p w14:paraId="04A66550" w14:textId="0784F45E" w:rsidR="00591A81" w:rsidRPr="00F87167" w:rsidRDefault="00000000"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 xml:space="preserve">También se estima la reserva de siniestros </w:t>
      </w:r>
      <w:r w:rsidR="005D2D73" w:rsidRPr="00F87167">
        <w:rPr>
          <w:rFonts w:asciiTheme="majorHAnsi" w:hAnsiTheme="majorHAnsi" w:cstheme="majorHAnsi"/>
          <w:lang w:val="es-CO"/>
        </w:rPr>
        <w:t>ocurridos,</w:t>
      </w:r>
      <w:r w:rsidRPr="00F87167">
        <w:rPr>
          <w:rFonts w:asciiTheme="majorHAnsi" w:hAnsiTheme="majorHAnsi" w:cstheme="majorHAnsi"/>
          <w:lang w:val="es-CO"/>
        </w:rPr>
        <w:t xml:space="preserve"> pero no reportados, se discuten los supuestos aplicados y se compara la comisión fija y la comisión variable de reaseguro para el año 2025. Para estimar el IBNR se emplea el método </w:t>
      </w:r>
      <w:proofErr w:type="spellStart"/>
      <w:r w:rsidRPr="00F87167">
        <w:rPr>
          <w:rFonts w:asciiTheme="majorHAnsi" w:hAnsiTheme="majorHAnsi" w:cstheme="majorHAnsi"/>
          <w:lang w:val="es-CO"/>
        </w:rPr>
        <w:t>Chain</w:t>
      </w:r>
      <w:proofErr w:type="spellEnd"/>
      <w:r w:rsidRPr="00F87167">
        <w:rPr>
          <w:rFonts w:asciiTheme="majorHAnsi" w:hAnsiTheme="majorHAnsi" w:cstheme="majorHAnsi"/>
          <w:lang w:val="es-CO"/>
        </w:rPr>
        <w:t xml:space="preserve"> Ladder, un procedimiento determinista que utiliza triángulos de desarrollo para proyectar pagos futuros; el método se basa en el historial de pagos organizados en forma de </w:t>
      </w:r>
      <w:r w:rsidR="005D2D73" w:rsidRPr="00F87167">
        <w:rPr>
          <w:rFonts w:asciiTheme="majorHAnsi" w:hAnsiTheme="majorHAnsi" w:cstheme="majorHAnsi"/>
          <w:lang w:val="es-CO"/>
        </w:rPr>
        <w:t xml:space="preserve">triángulos (se anexa el proceso en Excel) </w:t>
      </w:r>
      <w:r w:rsidRPr="00F87167">
        <w:rPr>
          <w:rFonts w:asciiTheme="majorHAnsi" w:hAnsiTheme="majorHAnsi" w:cstheme="majorHAnsi"/>
          <w:lang w:val="es-CO"/>
        </w:rPr>
        <w:t>y permite completar el triángulo mediante el análisis de las tendencias históricas</w:t>
      </w:r>
      <w:r w:rsidR="005D2D73" w:rsidRPr="00F87167">
        <w:rPr>
          <w:rFonts w:asciiTheme="majorHAnsi" w:hAnsiTheme="majorHAnsi" w:cstheme="majorHAnsi"/>
          <w:lang w:val="es-CO"/>
        </w:rPr>
        <w:t xml:space="preserve">. </w:t>
      </w:r>
      <w:r w:rsidR="00F87167" w:rsidRPr="00F87167">
        <w:rPr>
          <w:rFonts w:asciiTheme="majorHAnsi" w:hAnsiTheme="majorHAnsi" w:cstheme="majorHAnsi"/>
          <w:lang w:val="es-CO"/>
        </w:rPr>
        <w:t>Además,</w:t>
      </w:r>
      <w:r w:rsidRPr="00F87167">
        <w:rPr>
          <w:rFonts w:asciiTheme="majorHAnsi" w:hAnsiTheme="majorHAnsi" w:cstheme="majorHAnsi"/>
          <w:lang w:val="es-CO"/>
        </w:rPr>
        <w:t xml:space="preserve"> se incluye como anexo un reporte simplificado con el proceso de limpieza de los datos.</w:t>
      </w:r>
    </w:p>
    <w:p w14:paraId="737C60AD" w14:textId="77777777" w:rsidR="005D2D73" w:rsidRPr="00F87167" w:rsidRDefault="005D2D73" w:rsidP="00F87167">
      <w:pPr>
        <w:pStyle w:val="Ttulo2"/>
        <w:spacing w:line="276" w:lineRule="auto"/>
        <w:rPr>
          <w:rFonts w:cstheme="majorHAnsi"/>
          <w:color w:val="auto"/>
          <w:sz w:val="24"/>
          <w:szCs w:val="24"/>
          <w:lang w:val="es-CO"/>
        </w:rPr>
      </w:pPr>
      <w:r w:rsidRPr="00F87167">
        <w:rPr>
          <w:rFonts w:cstheme="majorHAnsi"/>
          <w:color w:val="auto"/>
          <w:sz w:val="24"/>
          <w:szCs w:val="24"/>
          <w:lang w:val="es-CO"/>
        </w:rPr>
        <w:t>Consideraciones y supuestos</w:t>
      </w:r>
    </w:p>
    <w:p w14:paraId="0595C350" w14:textId="77777777" w:rsidR="005D2D73" w:rsidRPr="00F87167" w:rsidRDefault="005D2D73"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Al preparar los datos para el análisis se adoptaron los siguientes criterios:</w:t>
      </w:r>
    </w:p>
    <w:p w14:paraId="5D728E48" w14:textId="77777777" w:rsidR="005D2D73" w:rsidRPr="00F87167" w:rsidRDefault="005D2D73" w:rsidP="00F87167">
      <w:pPr>
        <w:pStyle w:val="Compact"/>
        <w:numPr>
          <w:ilvl w:val="0"/>
          <w:numId w:val="2"/>
        </w:numPr>
        <w:spacing w:line="276" w:lineRule="auto"/>
        <w:rPr>
          <w:rFonts w:asciiTheme="majorHAnsi" w:hAnsiTheme="majorHAnsi" w:cstheme="majorHAnsi"/>
          <w:lang w:val="es-CO"/>
        </w:rPr>
      </w:pPr>
      <w:r w:rsidRPr="00F87167">
        <w:rPr>
          <w:rFonts w:asciiTheme="majorHAnsi" w:hAnsiTheme="majorHAnsi" w:cstheme="majorHAnsi"/>
          <w:b/>
          <w:bCs/>
          <w:lang w:val="es-CO"/>
        </w:rPr>
        <w:t>Transformación de montos negativos:</w:t>
      </w:r>
      <w:r w:rsidRPr="00F87167">
        <w:rPr>
          <w:rFonts w:asciiTheme="majorHAnsi" w:hAnsiTheme="majorHAnsi" w:cstheme="majorHAnsi"/>
          <w:lang w:val="es-CO"/>
        </w:rPr>
        <w:t xml:space="preserve"> los registros con valores negativos de la variable </w:t>
      </w:r>
      <w:r w:rsidRPr="00F87167">
        <w:rPr>
          <w:rFonts w:asciiTheme="majorHAnsi" w:hAnsiTheme="majorHAnsi" w:cstheme="majorHAnsi"/>
          <w:b/>
          <w:bCs/>
          <w:lang w:val="es-CO"/>
        </w:rPr>
        <w:t>Total Siniestro</w:t>
      </w:r>
      <w:r w:rsidRPr="00F87167">
        <w:rPr>
          <w:rFonts w:asciiTheme="majorHAnsi" w:hAnsiTheme="majorHAnsi" w:cstheme="majorHAnsi"/>
          <w:lang w:val="es-CO"/>
        </w:rPr>
        <w:t xml:space="preserve"> se convirtieron a valores absolutos para mantener la coherencia numérica. Esta práctica evita que errores de signo afecten la estimación de reservas y se encuentra alineada con la necesidad de usar datos homogéneos.</w:t>
      </w:r>
    </w:p>
    <w:p w14:paraId="0EC93F2B" w14:textId="77777777" w:rsidR="005D2D73" w:rsidRPr="00F87167" w:rsidRDefault="005D2D73" w:rsidP="00F87167">
      <w:pPr>
        <w:pStyle w:val="Compact"/>
        <w:numPr>
          <w:ilvl w:val="0"/>
          <w:numId w:val="2"/>
        </w:numPr>
        <w:spacing w:line="276" w:lineRule="auto"/>
        <w:rPr>
          <w:rFonts w:asciiTheme="majorHAnsi" w:hAnsiTheme="majorHAnsi" w:cstheme="majorHAnsi"/>
          <w:lang w:val="es-CO"/>
        </w:rPr>
      </w:pPr>
      <w:r w:rsidRPr="00F87167">
        <w:rPr>
          <w:rFonts w:asciiTheme="majorHAnsi" w:hAnsiTheme="majorHAnsi" w:cstheme="majorHAnsi"/>
          <w:b/>
          <w:bCs/>
          <w:lang w:val="es-CO"/>
        </w:rPr>
        <w:t>Corrección de fechas de aviso:</w:t>
      </w:r>
      <w:r w:rsidRPr="00F87167">
        <w:rPr>
          <w:rFonts w:asciiTheme="majorHAnsi" w:hAnsiTheme="majorHAnsi" w:cstheme="majorHAnsi"/>
          <w:lang w:val="es-CO"/>
        </w:rPr>
        <w:t xml:space="preserve"> en algunos registros la fecha de aviso era posterior a la fecha de pago o inexistente. Cuando la fecha de aviso estaba en blanco se reemplazó por la fecha de ocurrencia; además se ajustaron las inconsistencias asignando la fecha de aviso igual a la fecha de siniestro.</w:t>
      </w:r>
    </w:p>
    <w:p w14:paraId="59891462" w14:textId="77777777" w:rsidR="005D2D73" w:rsidRPr="00F87167" w:rsidRDefault="005D2D73" w:rsidP="00F87167">
      <w:pPr>
        <w:pStyle w:val="Compact"/>
        <w:numPr>
          <w:ilvl w:val="0"/>
          <w:numId w:val="2"/>
        </w:numPr>
        <w:spacing w:line="276" w:lineRule="auto"/>
        <w:rPr>
          <w:rFonts w:asciiTheme="majorHAnsi" w:hAnsiTheme="majorHAnsi" w:cstheme="majorHAnsi"/>
          <w:lang w:val="es-CO"/>
        </w:rPr>
      </w:pPr>
      <w:r w:rsidRPr="00F87167">
        <w:rPr>
          <w:rFonts w:asciiTheme="majorHAnsi" w:hAnsiTheme="majorHAnsi" w:cstheme="majorHAnsi"/>
          <w:b/>
          <w:bCs/>
          <w:lang w:val="es-CO"/>
        </w:rPr>
        <w:t>Exclusión de siniestros relacionados con COVID:</w:t>
      </w:r>
      <w:r w:rsidRPr="00F87167">
        <w:rPr>
          <w:rFonts w:asciiTheme="majorHAnsi" w:hAnsiTheme="majorHAnsi" w:cstheme="majorHAnsi"/>
          <w:lang w:val="es-CO"/>
        </w:rPr>
        <w:t xml:space="preserve"> los siniestros registrados como </w:t>
      </w:r>
      <w:r w:rsidRPr="00F87167">
        <w:rPr>
          <w:rFonts w:asciiTheme="majorHAnsi" w:hAnsiTheme="majorHAnsi" w:cstheme="majorHAnsi"/>
          <w:i/>
          <w:iCs/>
          <w:lang w:val="es-CO"/>
        </w:rPr>
        <w:t>si COVID</w:t>
      </w:r>
      <w:r w:rsidRPr="00F87167">
        <w:rPr>
          <w:rFonts w:asciiTheme="majorHAnsi" w:hAnsiTheme="majorHAnsi" w:cstheme="majorHAnsi"/>
          <w:lang w:val="es-CO"/>
        </w:rPr>
        <w:t xml:space="preserve"> se eliminaron de los triángulos para evitar que un evento extraordinario distorsionara los factores de desarrollo.</w:t>
      </w:r>
    </w:p>
    <w:p w14:paraId="7ADFE38B" w14:textId="77777777" w:rsidR="005D2D73" w:rsidRPr="00F87167" w:rsidRDefault="005D2D73" w:rsidP="00F87167">
      <w:pPr>
        <w:pStyle w:val="Compact"/>
        <w:numPr>
          <w:ilvl w:val="0"/>
          <w:numId w:val="2"/>
        </w:numPr>
        <w:spacing w:line="276" w:lineRule="auto"/>
        <w:rPr>
          <w:rFonts w:asciiTheme="majorHAnsi" w:hAnsiTheme="majorHAnsi" w:cstheme="majorHAnsi"/>
          <w:lang w:val="es-CO"/>
        </w:rPr>
      </w:pPr>
      <w:r w:rsidRPr="00F87167">
        <w:rPr>
          <w:rFonts w:asciiTheme="majorHAnsi" w:hAnsiTheme="majorHAnsi" w:cstheme="majorHAnsi"/>
          <w:b/>
          <w:bCs/>
          <w:lang w:val="es-CO"/>
        </w:rPr>
        <w:t>Homologación de vigencias:</w:t>
      </w:r>
      <w:r w:rsidRPr="00F87167">
        <w:rPr>
          <w:rFonts w:asciiTheme="majorHAnsi" w:hAnsiTheme="majorHAnsi" w:cstheme="majorHAnsi"/>
          <w:lang w:val="es-CO"/>
        </w:rPr>
        <w:t xml:space="preserve"> se añadieron columnas con la vigencia de ocurrencia y de pago; si la fecha era anterior al 1 de julio se asignó la vigencia del año anterior, en caso contrario se mantuvo el mismo año.</w:t>
      </w:r>
    </w:p>
    <w:p w14:paraId="11A16FC7" w14:textId="77777777" w:rsidR="005D2D73" w:rsidRPr="00F87167" w:rsidRDefault="005D2D73" w:rsidP="00F87167">
      <w:pPr>
        <w:pStyle w:val="Textoindependiente"/>
        <w:spacing w:line="276" w:lineRule="auto"/>
        <w:rPr>
          <w:rFonts w:asciiTheme="majorHAnsi" w:hAnsiTheme="majorHAnsi" w:cstheme="majorHAnsi"/>
          <w:lang w:val="es-CO"/>
        </w:rPr>
      </w:pPr>
    </w:p>
    <w:p w14:paraId="20DA1191" w14:textId="77777777" w:rsidR="005D2D73" w:rsidRPr="00F87167" w:rsidRDefault="005D2D73" w:rsidP="00F87167">
      <w:pPr>
        <w:pStyle w:val="Textoindependiente"/>
        <w:spacing w:line="276" w:lineRule="auto"/>
        <w:rPr>
          <w:rFonts w:asciiTheme="majorHAnsi" w:hAnsiTheme="majorHAnsi" w:cstheme="majorHAnsi"/>
          <w:lang w:val="es-CO"/>
        </w:rPr>
      </w:pPr>
    </w:p>
    <w:p w14:paraId="7BAA840C" w14:textId="77777777" w:rsidR="005D2D73" w:rsidRPr="00F87167" w:rsidRDefault="005D2D73" w:rsidP="00F87167">
      <w:pPr>
        <w:pStyle w:val="Textoindependiente"/>
        <w:spacing w:line="276" w:lineRule="auto"/>
        <w:rPr>
          <w:rFonts w:asciiTheme="majorHAnsi" w:hAnsiTheme="majorHAnsi" w:cstheme="majorHAnsi"/>
          <w:lang w:val="es-CO"/>
        </w:rPr>
      </w:pPr>
    </w:p>
    <w:p w14:paraId="7E895ED6" w14:textId="77777777" w:rsidR="00591A81" w:rsidRPr="00F87167" w:rsidRDefault="00000000" w:rsidP="00F87167">
      <w:pPr>
        <w:pStyle w:val="Ttulo1"/>
        <w:spacing w:line="276" w:lineRule="auto"/>
        <w:rPr>
          <w:rFonts w:cstheme="majorHAnsi"/>
          <w:color w:val="auto"/>
          <w:sz w:val="24"/>
          <w:szCs w:val="24"/>
          <w:lang w:val="es-CO"/>
        </w:rPr>
      </w:pPr>
      <w:bookmarkStart w:id="1" w:name="análisis-descriptivo"/>
      <w:bookmarkEnd w:id="0"/>
      <w:r w:rsidRPr="00F87167">
        <w:rPr>
          <w:rFonts w:cstheme="majorHAnsi"/>
          <w:color w:val="auto"/>
          <w:sz w:val="24"/>
          <w:szCs w:val="24"/>
          <w:lang w:val="es-CO"/>
        </w:rPr>
        <w:lastRenderedPageBreak/>
        <w:t>Análisis descriptivo</w:t>
      </w:r>
    </w:p>
    <w:p w14:paraId="06D09218" w14:textId="77777777" w:rsidR="005D2D73" w:rsidRPr="005D2D73" w:rsidRDefault="005D2D73" w:rsidP="00F87167">
      <w:pPr>
        <w:pStyle w:val="FirstParagraph"/>
        <w:spacing w:line="276" w:lineRule="auto"/>
        <w:rPr>
          <w:rFonts w:asciiTheme="majorHAnsi" w:hAnsiTheme="majorHAnsi" w:cstheme="majorHAnsi"/>
          <w:lang w:val="es-CO"/>
        </w:rPr>
      </w:pPr>
      <w:r w:rsidRPr="005D2D73">
        <w:rPr>
          <w:rFonts w:asciiTheme="majorHAnsi" w:hAnsiTheme="majorHAnsi" w:cstheme="majorHAnsi"/>
          <w:lang w:val="es-CO"/>
        </w:rPr>
        <w:t>Analizando la RSA, los pagos, y los incurridos  a lo largo de las vigencias descritas, se puede evidenciar que entre 2019 y 2024 se  muestra una evolución destacable.</w:t>
      </w:r>
    </w:p>
    <w:p w14:paraId="5E959905" w14:textId="77777777" w:rsidR="005D2D73" w:rsidRPr="00F87167" w:rsidRDefault="005D2D73" w:rsidP="00F87167">
      <w:pPr>
        <w:pStyle w:val="FirstParagraph"/>
        <w:spacing w:line="276" w:lineRule="auto"/>
        <w:rPr>
          <w:rFonts w:asciiTheme="majorHAnsi" w:hAnsiTheme="majorHAnsi" w:cstheme="majorHAnsi"/>
          <w:lang w:val="es-CO"/>
        </w:rPr>
      </w:pPr>
      <w:r w:rsidRPr="005D2D73">
        <w:rPr>
          <w:rFonts w:asciiTheme="majorHAnsi" w:hAnsiTheme="majorHAnsi" w:cstheme="majorHAnsi"/>
          <w:lang w:val="es-CO"/>
        </w:rPr>
        <w:t>Por un lado los pagos realizados alcanzaron su punto más alto en 2020, con aproximadamente 237,6 mil millones, y fueron disminuyendo progresivamente hasta situarse en 31,2 mil millones en 2024. De manera similar, los siniestros incurridos reflejan esta tendencia, evidenciando la existencia de reservas pendientes en ciertos años, especialmente en 2021 y 2023.</w:t>
      </w:r>
    </w:p>
    <w:p w14:paraId="12C42051" w14:textId="1D158B81" w:rsidR="00591A81" w:rsidRPr="00F87167" w:rsidRDefault="00000000" w:rsidP="00F87167">
      <w:pPr>
        <w:pStyle w:val="FirstParagraph"/>
        <w:spacing w:line="276" w:lineRule="auto"/>
        <w:jc w:val="center"/>
        <w:rPr>
          <w:rFonts w:asciiTheme="majorHAnsi" w:hAnsiTheme="majorHAnsi" w:cstheme="majorHAnsi"/>
          <w:lang w:val="es-CO"/>
        </w:rPr>
      </w:pPr>
      <w:r w:rsidRPr="00F87167">
        <w:rPr>
          <w:rFonts w:asciiTheme="majorHAnsi" w:hAnsiTheme="majorHAnsi" w:cstheme="majorHAnsi"/>
          <w:lang w:val="es-CO"/>
        </w:rPr>
        <w:t>Este comportamiento refleja cambios en la exposición y la gestión del riesgo a lo largo del período analizado.</w:t>
      </w:r>
      <w:r w:rsidRPr="00F87167">
        <w:rPr>
          <w:rFonts w:asciiTheme="majorHAnsi" w:hAnsiTheme="majorHAnsi" w:cstheme="majorHAnsi"/>
          <w:noProof/>
        </w:rPr>
        <w:drawing>
          <wp:inline distT="0" distB="0" distL="0" distR="0" wp14:anchorId="12F2F7F0" wp14:editId="0E1E61B2">
            <wp:extent cx="5334000" cy="3206074"/>
            <wp:effectExtent l="0" t="0" r="0" b="0"/>
            <wp:docPr id="22" name="Picture" descr="Figura 1 – Evolución de la RSA, pagos e incurridos (2019‑2024)"/>
            <wp:cNvGraphicFramePr/>
            <a:graphic xmlns:a="http://schemas.openxmlformats.org/drawingml/2006/main">
              <a:graphicData uri="http://schemas.openxmlformats.org/drawingml/2006/picture">
                <pic:pic xmlns:pic="http://schemas.openxmlformats.org/drawingml/2006/picture">
                  <pic:nvPicPr>
                    <pic:cNvPr id="23" name="Picture" descr="report_images/fig1.png"/>
                    <pic:cNvPicPr>
                      <a:picLocks noChangeAspect="1" noChangeArrowheads="1"/>
                    </pic:cNvPicPr>
                  </pic:nvPicPr>
                  <pic:blipFill>
                    <a:blip r:embed="rId7"/>
                    <a:stretch>
                      <a:fillRect/>
                    </a:stretch>
                  </pic:blipFill>
                  <pic:spPr bwMode="auto">
                    <a:xfrm>
                      <a:off x="0" y="0"/>
                      <a:ext cx="5334000" cy="3206074"/>
                    </a:xfrm>
                    <a:prstGeom prst="rect">
                      <a:avLst/>
                    </a:prstGeom>
                    <a:noFill/>
                    <a:ln w="9525">
                      <a:noFill/>
                      <a:headEnd/>
                      <a:tailEnd/>
                    </a:ln>
                  </pic:spPr>
                </pic:pic>
              </a:graphicData>
            </a:graphic>
          </wp:inline>
        </w:drawing>
      </w:r>
    </w:p>
    <w:p w14:paraId="09186BD1" w14:textId="77777777" w:rsidR="00591A81" w:rsidRPr="00F87167" w:rsidRDefault="00000000" w:rsidP="00F87167">
      <w:pPr>
        <w:pStyle w:val="ImageCaption"/>
        <w:spacing w:line="276" w:lineRule="auto"/>
        <w:rPr>
          <w:rFonts w:asciiTheme="majorHAnsi" w:hAnsiTheme="majorHAnsi" w:cstheme="majorHAnsi"/>
          <w:lang w:val="es-CO"/>
        </w:rPr>
      </w:pPr>
      <w:r w:rsidRPr="00F87167">
        <w:rPr>
          <w:rFonts w:asciiTheme="majorHAnsi" w:hAnsiTheme="majorHAnsi" w:cstheme="majorHAnsi"/>
          <w:lang w:val="es-CO"/>
        </w:rPr>
        <w:t>Figura 1 – Evolución de la RSA, pagos e incurridos (2019</w:t>
      </w:r>
      <w:r w:rsidRPr="00F87167">
        <w:rPr>
          <w:rFonts w:ascii="Cambria Math" w:hAnsi="Cambria Math" w:cs="Cambria Math"/>
          <w:lang w:val="es-CO"/>
        </w:rPr>
        <w:t>‑</w:t>
      </w:r>
      <w:r w:rsidRPr="00F87167">
        <w:rPr>
          <w:rFonts w:asciiTheme="majorHAnsi" w:hAnsiTheme="majorHAnsi" w:cstheme="majorHAnsi"/>
          <w:lang w:val="es-CO"/>
        </w:rPr>
        <w:t>2024)</w:t>
      </w:r>
    </w:p>
    <w:p w14:paraId="08ECE0BC" w14:textId="77777777" w:rsidR="00591A81" w:rsidRPr="00F87167" w:rsidRDefault="00000000" w:rsidP="00F87167">
      <w:pPr>
        <w:pStyle w:val="Ttulo1"/>
        <w:spacing w:line="276" w:lineRule="auto"/>
        <w:rPr>
          <w:rFonts w:cstheme="majorHAnsi"/>
          <w:color w:val="auto"/>
          <w:sz w:val="24"/>
          <w:szCs w:val="24"/>
          <w:lang w:val="es-CO"/>
        </w:rPr>
      </w:pPr>
      <w:bookmarkStart w:id="2" w:name="X840b78a720b7d43983ea185750e3fb627207b3b"/>
      <w:bookmarkEnd w:id="1"/>
      <w:r w:rsidRPr="00F87167">
        <w:rPr>
          <w:rFonts w:cstheme="majorHAnsi"/>
          <w:color w:val="auto"/>
          <w:sz w:val="24"/>
          <w:szCs w:val="24"/>
          <w:lang w:val="es-CO"/>
        </w:rPr>
        <w:t>Estimación del IBNR mediante el método </w:t>
      </w:r>
      <w:proofErr w:type="spellStart"/>
      <w:r w:rsidRPr="00F87167">
        <w:rPr>
          <w:rFonts w:cstheme="majorHAnsi"/>
          <w:color w:val="auto"/>
          <w:sz w:val="24"/>
          <w:szCs w:val="24"/>
          <w:lang w:val="es-CO"/>
        </w:rPr>
        <w:t>Chain</w:t>
      </w:r>
      <w:proofErr w:type="spellEnd"/>
      <w:r w:rsidRPr="00F87167">
        <w:rPr>
          <w:rFonts w:cstheme="majorHAnsi"/>
          <w:color w:val="auto"/>
          <w:sz w:val="24"/>
          <w:szCs w:val="24"/>
          <w:lang w:val="es-CO"/>
        </w:rPr>
        <w:t> Ladder</w:t>
      </w:r>
    </w:p>
    <w:p w14:paraId="02763B6E" w14:textId="0DEB8A66" w:rsidR="00591A81" w:rsidRPr="00F87167" w:rsidRDefault="00000000"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El método </w:t>
      </w:r>
      <w:proofErr w:type="spellStart"/>
      <w:r w:rsidRPr="00F87167">
        <w:rPr>
          <w:rFonts w:asciiTheme="majorHAnsi" w:hAnsiTheme="majorHAnsi" w:cstheme="majorHAnsi"/>
          <w:lang w:val="es-CO"/>
        </w:rPr>
        <w:t>Chain</w:t>
      </w:r>
      <w:proofErr w:type="spellEnd"/>
      <w:r w:rsidRPr="00F87167">
        <w:rPr>
          <w:rFonts w:asciiTheme="majorHAnsi" w:hAnsiTheme="majorHAnsi" w:cstheme="majorHAnsi"/>
          <w:lang w:val="es-CO"/>
        </w:rPr>
        <w:t xml:space="preserve"> Ladder es un procedimiento de cálculo usado para estimar las reservas de los aseguradores. Se basa en el historial de pagos y siniestros organizados en triángulos de desarrollo y busca completar estos triángulos empleando factores de desarrollo calculados a partir de las tendencias históricas. </w:t>
      </w:r>
    </w:p>
    <w:p w14:paraId="0CD2A81B" w14:textId="77777777" w:rsidR="00591A81"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t>Aplicando el método </w:t>
      </w:r>
      <w:proofErr w:type="spellStart"/>
      <w:r w:rsidRPr="00F87167">
        <w:rPr>
          <w:rFonts w:asciiTheme="majorHAnsi" w:hAnsiTheme="majorHAnsi" w:cstheme="majorHAnsi"/>
          <w:lang w:val="es-CO"/>
        </w:rPr>
        <w:t>Chain</w:t>
      </w:r>
      <w:proofErr w:type="spellEnd"/>
      <w:r w:rsidRPr="00F87167">
        <w:rPr>
          <w:rFonts w:asciiTheme="majorHAnsi" w:hAnsiTheme="majorHAnsi" w:cstheme="majorHAnsi"/>
          <w:lang w:val="es-CO"/>
        </w:rPr>
        <w:t xml:space="preserve"> Ladder a los triángulos de siniestros y avisados (excluyendo siniestros relacionados con COVID) se estimó un IBNR total de </w:t>
      </w:r>
      <w:r w:rsidRPr="00F87167">
        <w:rPr>
          <w:rFonts w:asciiTheme="majorHAnsi" w:hAnsiTheme="majorHAnsi" w:cstheme="majorHAnsi"/>
          <w:b/>
          <w:bCs/>
          <w:lang w:val="es-CO"/>
        </w:rPr>
        <w:t>$37  625  730  563</w:t>
      </w:r>
      <w:r w:rsidRPr="00F87167">
        <w:rPr>
          <w:rFonts w:asciiTheme="majorHAnsi" w:hAnsiTheme="majorHAnsi" w:cstheme="majorHAnsi"/>
          <w:lang w:val="es-CO"/>
        </w:rPr>
        <w:t xml:space="preserve">. La figura 2 </w:t>
      </w:r>
      <w:r w:rsidRPr="00F87167">
        <w:rPr>
          <w:rFonts w:asciiTheme="majorHAnsi" w:hAnsiTheme="majorHAnsi" w:cstheme="majorHAnsi"/>
          <w:lang w:val="es-CO"/>
        </w:rPr>
        <w:lastRenderedPageBreak/>
        <w:t>muestra el IBNR por año de ocurrencia; los años más recientes aportan la mayor parte del IBNR porque su desarrollo aún no se ha completado.</w:t>
      </w:r>
    </w:p>
    <w:p w14:paraId="0887CFAF" w14:textId="77777777" w:rsidR="00591A81" w:rsidRPr="00F87167" w:rsidRDefault="00000000" w:rsidP="00F87167">
      <w:pPr>
        <w:pStyle w:val="CaptionedFigure"/>
        <w:spacing w:line="276" w:lineRule="auto"/>
        <w:rPr>
          <w:rFonts w:asciiTheme="majorHAnsi" w:hAnsiTheme="majorHAnsi" w:cstheme="majorHAnsi"/>
        </w:rPr>
      </w:pPr>
      <w:r w:rsidRPr="00F87167">
        <w:rPr>
          <w:rFonts w:asciiTheme="majorHAnsi" w:hAnsiTheme="majorHAnsi" w:cstheme="majorHAnsi"/>
          <w:noProof/>
        </w:rPr>
        <w:drawing>
          <wp:inline distT="0" distB="0" distL="0" distR="0" wp14:anchorId="3E96A349" wp14:editId="3402F525">
            <wp:extent cx="5334000" cy="3206074"/>
            <wp:effectExtent l="0" t="0" r="0" b="0"/>
            <wp:docPr id="26" name="Picture" descr="Figura 2 – IBNR estimado por año de ocurrencia"/>
            <wp:cNvGraphicFramePr/>
            <a:graphic xmlns:a="http://schemas.openxmlformats.org/drawingml/2006/main">
              <a:graphicData uri="http://schemas.openxmlformats.org/drawingml/2006/picture">
                <pic:pic xmlns:pic="http://schemas.openxmlformats.org/drawingml/2006/picture">
                  <pic:nvPicPr>
                    <pic:cNvPr id="27" name="Picture" descr="report_images/fig2.png"/>
                    <pic:cNvPicPr>
                      <a:picLocks noChangeAspect="1" noChangeArrowheads="1"/>
                    </pic:cNvPicPr>
                  </pic:nvPicPr>
                  <pic:blipFill>
                    <a:blip r:embed="rId8"/>
                    <a:stretch>
                      <a:fillRect/>
                    </a:stretch>
                  </pic:blipFill>
                  <pic:spPr bwMode="auto">
                    <a:xfrm>
                      <a:off x="0" y="0"/>
                      <a:ext cx="5334000" cy="3206074"/>
                    </a:xfrm>
                    <a:prstGeom prst="rect">
                      <a:avLst/>
                    </a:prstGeom>
                    <a:noFill/>
                    <a:ln w="9525">
                      <a:noFill/>
                      <a:headEnd/>
                      <a:tailEnd/>
                    </a:ln>
                  </pic:spPr>
                </pic:pic>
              </a:graphicData>
            </a:graphic>
          </wp:inline>
        </w:drawing>
      </w:r>
    </w:p>
    <w:p w14:paraId="5D3715B3" w14:textId="77777777" w:rsidR="00591A81" w:rsidRPr="00F87167" w:rsidRDefault="00000000" w:rsidP="00F87167">
      <w:pPr>
        <w:pStyle w:val="ImageCaption"/>
        <w:spacing w:line="276" w:lineRule="auto"/>
        <w:rPr>
          <w:rFonts w:asciiTheme="majorHAnsi" w:hAnsiTheme="majorHAnsi" w:cstheme="majorHAnsi"/>
          <w:lang w:val="es-CO"/>
        </w:rPr>
      </w:pPr>
      <w:r w:rsidRPr="00F87167">
        <w:rPr>
          <w:rFonts w:asciiTheme="majorHAnsi" w:hAnsiTheme="majorHAnsi" w:cstheme="majorHAnsi"/>
          <w:lang w:val="es-CO"/>
        </w:rPr>
        <w:t>Figura 2 – IBNR estimado por año de ocurrencia</w:t>
      </w:r>
    </w:p>
    <w:p w14:paraId="57116CD5" w14:textId="77777777" w:rsidR="00591A81" w:rsidRPr="00F87167" w:rsidRDefault="00000000" w:rsidP="00F87167">
      <w:pPr>
        <w:pStyle w:val="FirstParagraph"/>
        <w:spacing w:line="276" w:lineRule="auto"/>
        <w:rPr>
          <w:rFonts w:asciiTheme="majorHAnsi" w:hAnsiTheme="majorHAnsi" w:cstheme="majorHAnsi"/>
          <w:lang w:val="es-CO"/>
        </w:rPr>
      </w:pPr>
      <w:bookmarkStart w:id="3" w:name="consideraciones-y-supuestos"/>
      <w:r w:rsidRPr="00F87167">
        <w:rPr>
          <w:rFonts w:asciiTheme="majorHAnsi" w:hAnsiTheme="majorHAnsi" w:cstheme="majorHAnsi"/>
          <w:lang w:val="es-CO"/>
        </w:rPr>
        <w:t>La aplicación de estas reglas garantizó la consistencia de los triángulos y permitió estimar adecuadamente el IBNR.</w:t>
      </w:r>
    </w:p>
    <w:p w14:paraId="5288FFCB" w14:textId="77777777" w:rsidR="00591A81" w:rsidRPr="00F87167" w:rsidRDefault="00000000" w:rsidP="00F87167">
      <w:pPr>
        <w:pStyle w:val="Ttulo1"/>
        <w:spacing w:line="276" w:lineRule="auto"/>
        <w:rPr>
          <w:rFonts w:cstheme="majorHAnsi"/>
          <w:color w:val="auto"/>
          <w:sz w:val="24"/>
          <w:szCs w:val="24"/>
          <w:lang w:val="es-CO"/>
        </w:rPr>
      </w:pPr>
      <w:bookmarkStart w:id="4" w:name="selección-de-la-comisión-de-reaseguro"/>
      <w:bookmarkEnd w:id="2"/>
      <w:bookmarkEnd w:id="3"/>
      <w:r w:rsidRPr="00F87167">
        <w:rPr>
          <w:rFonts w:cstheme="majorHAnsi"/>
          <w:color w:val="auto"/>
          <w:sz w:val="24"/>
          <w:szCs w:val="24"/>
          <w:lang w:val="es-CO"/>
        </w:rPr>
        <w:t>Selección de la comisión de reaseguro</w:t>
      </w:r>
    </w:p>
    <w:p w14:paraId="6CC9F578" w14:textId="7135E1F6" w:rsidR="00591A81" w:rsidRPr="00F87167" w:rsidRDefault="00000000"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 xml:space="preserve">El reaseguro es un contrato mediante el cual un asegurador (cedente) transfiere parte de sus riesgos a otra aseguradora (reasegurador). Por esta cesión, el reasegurador paga a la cedente una comisión de reaseguro: una retribución económica que compensa los gastos de captación y administración de las pólizas cedidas. Esta comisión puede ser </w:t>
      </w:r>
      <w:r w:rsidRPr="00F87167">
        <w:rPr>
          <w:rFonts w:asciiTheme="majorHAnsi" w:hAnsiTheme="majorHAnsi" w:cstheme="majorHAnsi"/>
          <w:i/>
          <w:iCs/>
          <w:lang w:val="es-CO"/>
        </w:rPr>
        <w:t>fija</w:t>
      </w:r>
      <w:r w:rsidRPr="00F87167">
        <w:rPr>
          <w:rFonts w:asciiTheme="majorHAnsi" w:hAnsiTheme="majorHAnsi" w:cstheme="majorHAnsi"/>
          <w:lang w:val="es-CO"/>
        </w:rPr>
        <w:t xml:space="preserve"> (un porcentaje constante de la prima cedida) o </w:t>
      </w:r>
      <w:r w:rsidRPr="00F87167">
        <w:rPr>
          <w:rFonts w:asciiTheme="majorHAnsi" w:hAnsiTheme="majorHAnsi" w:cstheme="majorHAnsi"/>
          <w:i/>
          <w:iCs/>
          <w:lang w:val="es-CO"/>
        </w:rPr>
        <w:t>variable</w:t>
      </w:r>
      <w:r w:rsidRPr="00F87167">
        <w:rPr>
          <w:rFonts w:asciiTheme="majorHAnsi" w:hAnsiTheme="majorHAnsi" w:cstheme="majorHAnsi"/>
          <w:lang w:val="es-CO"/>
        </w:rPr>
        <w:t xml:space="preserve"> (se ajusta según la siniestralidad o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del periodo).</w:t>
      </w:r>
    </w:p>
    <w:p w14:paraId="684B54E5" w14:textId="77777777" w:rsidR="009D7EFD"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t xml:space="preserve">Para decidir entre comisión fija y comisión variable en 2025 se utilizó el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observado (51,3 %) y la tabla de comisiones de reaseguro. La comisión fija es del 20 %, mientras que la comisión variable alcanza un 29 % cuando el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está en torno al 51 %.</w:t>
      </w:r>
    </w:p>
    <w:p w14:paraId="287C2EEA" w14:textId="77777777" w:rsidR="009D7EFD" w:rsidRPr="00F87167" w:rsidRDefault="009D7EFD" w:rsidP="00F87167">
      <w:pPr>
        <w:spacing w:line="276" w:lineRule="auto"/>
        <w:rPr>
          <w:rFonts w:asciiTheme="majorHAnsi" w:hAnsiTheme="majorHAnsi" w:cstheme="majorHAnsi"/>
          <w:lang w:val="es-CO"/>
        </w:rPr>
      </w:pPr>
      <w:r w:rsidRPr="00F87167">
        <w:rPr>
          <w:rFonts w:asciiTheme="majorHAnsi" w:hAnsiTheme="majorHAnsi" w:cstheme="majorHAnsi"/>
          <w:lang w:val="es-CO"/>
        </w:rPr>
        <w:br w:type="page"/>
      </w:r>
    </w:p>
    <w:p w14:paraId="1ADAFDEC" w14:textId="2D04B40D" w:rsidR="00591A81"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lastRenderedPageBreak/>
        <w:t xml:space="preserve"> La tabla 1 resume los resultados financieros para ambos esquemas.</w:t>
      </w:r>
    </w:p>
    <w:tbl>
      <w:tblPr>
        <w:tblStyle w:val="Table"/>
        <w:tblW w:w="5000" w:type="pct"/>
        <w:tblLook w:val="0020" w:firstRow="1" w:lastRow="0" w:firstColumn="0" w:lastColumn="0" w:noHBand="0" w:noVBand="0"/>
      </w:tblPr>
      <w:tblGrid>
        <w:gridCol w:w="1653"/>
        <w:gridCol w:w="2147"/>
        <w:gridCol w:w="1704"/>
        <w:gridCol w:w="1939"/>
        <w:gridCol w:w="1917"/>
      </w:tblGrid>
      <w:tr w:rsidR="005D2D73" w:rsidRPr="00F87167" w14:paraId="659B404C" w14:textId="77777777" w:rsidTr="00591A81">
        <w:trPr>
          <w:cnfStyle w:val="100000000000" w:firstRow="1" w:lastRow="0" w:firstColumn="0" w:lastColumn="0" w:oddVBand="0" w:evenVBand="0" w:oddHBand="0" w:evenHBand="0" w:firstRowFirstColumn="0" w:firstRowLastColumn="0" w:lastRowFirstColumn="0" w:lastRowLastColumn="0"/>
          <w:tblHeader/>
        </w:trPr>
        <w:tc>
          <w:tcPr>
            <w:tcW w:w="0" w:type="auto"/>
          </w:tcPr>
          <w:p w14:paraId="5E4C0DFD" w14:textId="77777777" w:rsidR="00591A81" w:rsidRPr="00F87167" w:rsidRDefault="00000000" w:rsidP="00F87167">
            <w:pPr>
              <w:pStyle w:val="Compact"/>
              <w:spacing w:line="276" w:lineRule="auto"/>
              <w:rPr>
                <w:rFonts w:asciiTheme="majorHAnsi" w:hAnsiTheme="majorHAnsi" w:cstheme="majorHAnsi"/>
              </w:rPr>
            </w:pPr>
            <w:r w:rsidRPr="00F87167">
              <w:rPr>
                <w:rFonts w:asciiTheme="majorHAnsi" w:hAnsiTheme="majorHAnsi" w:cstheme="majorHAnsi"/>
                <w:lang w:val="es-CO"/>
              </w:rPr>
              <w:t> </w:t>
            </w:r>
            <w:proofErr w:type="spellStart"/>
            <w:r w:rsidRPr="00F87167">
              <w:rPr>
                <w:rFonts w:asciiTheme="majorHAnsi" w:hAnsiTheme="majorHAnsi" w:cstheme="majorHAnsi"/>
              </w:rPr>
              <w:t>Esquema</w:t>
            </w:r>
            <w:proofErr w:type="spellEnd"/>
            <w:r w:rsidRPr="00F87167">
              <w:rPr>
                <w:rFonts w:asciiTheme="majorHAnsi" w:hAnsiTheme="majorHAnsi" w:cstheme="majorHAnsi"/>
              </w:rPr>
              <w:t xml:space="preserve"> de </w:t>
            </w:r>
            <w:proofErr w:type="spellStart"/>
            <w:r w:rsidRPr="00F87167">
              <w:rPr>
                <w:rFonts w:asciiTheme="majorHAnsi" w:hAnsiTheme="majorHAnsi" w:cstheme="majorHAnsi"/>
              </w:rPr>
              <w:t>comisión</w:t>
            </w:r>
            <w:proofErr w:type="spellEnd"/>
            <w:r w:rsidRPr="00F87167">
              <w:rPr>
                <w:rFonts w:asciiTheme="majorHAnsi" w:hAnsiTheme="majorHAnsi" w:cstheme="majorHAnsi"/>
              </w:rPr>
              <w:t> </w:t>
            </w:r>
          </w:p>
        </w:tc>
        <w:tc>
          <w:tcPr>
            <w:tcW w:w="0" w:type="auto"/>
          </w:tcPr>
          <w:p w14:paraId="26C19926"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Prima retenida (insurer) </w:t>
            </w:r>
          </w:p>
        </w:tc>
        <w:tc>
          <w:tcPr>
            <w:tcW w:w="0" w:type="auto"/>
          </w:tcPr>
          <w:p w14:paraId="6C1D1268"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Gastos (20 %) </w:t>
            </w:r>
          </w:p>
        </w:tc>
        <w:tc>
          <w:tcPr>
            <w:tcW w:w="0" w:type="auto"/>
          </w:tcPr>
          <w:p w14:paraId="32580430"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Siniestros (51,3 %) </w:t>
            </w:r>
          </w:p>
        </w:tc>
        <w:tc>
          <w:tcPr>
            <w:tcW w:w="0" w:type="auto"/>
          </w:tcPr>
          <w:p w14:paraId="75A56832"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Comisión recibida </w:t>
            </w:r>
          </w:p>
        </w:tc>
      </w:tr>
      <w:tr w:rsidR="005D2D73" w:rsidRPr="00F87167" w14:paraId="573B00BA" w14:textId="77777777">
        <w:tc>
          <w:tcPr>
            <w:tcW w:w="0" w:type="auto"/>
          </w:tcPr>
          <w:p w14:paraId="0FFE8073" w14:textId="77777777" w:rsidR="00591A81" w:rsidRPr="00F87167" w:rsidRDefault="00000000" w:rsidP="00F87167">
            <w:pPr>
              <w:pStyle w:val="Compact"/>
              <w:spacing w:line="276" w:lineRule="auto"/>
              <w:rPr>
                <w:rFonts w:asciiTheme="majorHAnsi" w:hAnsiTheme="majorHAnsi" w:cstheme="majorHAnsi"/>
              </w:rPr>
            </w:pPr>
            <w:r w:rsidRPr="00F87167">
              <w:rPr>
                <w:rFonts w:asciiTheme="majorHAnsi" w:hAnsiTheme="majorHAnsi" w:cstheme="majorHAnsi"/>
              </w:rPr>
              <w:t> </w:t>
            </w:r>
            <w:r w:rsidRPr="00F87167">
              <w:rPr>
                <w:rFonts w:asciiTheme="majorHAnsi" w:hAnsiTheme="majorHAnsi" w:cstheme="majorHAnsi"/>
                <w:b/>
                <w:bCs/>
              </w:rPr>
              <w:t>Fija 20 %</w:t>
            </w:r>
            <w:r w:rsidRPr="00F87167">
              <w:rPr>
                <w:rFonts w:asciiTheme="majorHAnsi" w:hAnsiTheme="majorHAnsi" w:cstheme="majorHAnsi"/>
              </w:rPr>
              <w:t> </w:t>
            </w:r>
          </w:p>
        </w:tc>
        <w:tc>
          <w:tcPr>
            <w:tcW w:w="0" w:type="auto"/>
          </w:tcPr>
          <w:p w14:paraId="31927147"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40 135 862 226 </w:t>
            </w:r>
          </w:p>
        </w:tc>
        <w:tc>
          <w:tcPr>
            <w:tcW w:w="0" w:type="auto"/>
          </w:tcPr>
          <w:p w14:paraId="5A107ECB"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8 027 172 445 </w:t>
            </w:r>
          </w:p>
        </w:tc>
        <w:tc>
          <w:tcPr>
            <w:tcW w:w="0" w:type="auto"/>
          </w:tcPr>
          <w:p w14:paraId="45DD0EF5"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20 579 013 126 </w:t>
            </w:r>
          </w:p>
        </w:tc>
        <w:tc>
          <w:tcPr>
            <w:tcW w:w="0" w:type="auto"/>
          </w:tcPr>
          <w:p w14:paraId="4C93A558"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32 108 689 780 </w:t>
            </w:r>
          </w:p>
        </w:tc>
      </w:tr>
      <w:tr w:rsidR="005D2D73" w:rsidRPr="00F87167" w14:paraId="595002A9" w14:textId="77777777">
        <w:tc>
          <w:tcPr>
            <w:tcW w:w="0" w:type="auto"/>
          </w:tcPr>
          <w:p w14:paraId="0D97BEA8" w14:textId="77777777" w:rsidR="00591A81" w:rsidRPr="00F87167" w:rsidRDefault="00000000" w:rsidP="00F87167">
            <w:pPr>
              <w:pStyle w:val="Compact"/>
              <w:spacing w:line="276" w:lineRule="auto"/>
              <w:rPr>
                <w:rFonts w:asciiTheme="majorHAnsi" w:hAnsiTheme="majorHAnsi" w:cstheme="majorHAnsi"/>
              </w:rPr>
            </w:pPr>
            <w:r w:rsidRPr="00F87167">
              <w:rPr>
                <w:rFonts w:asciiTheme="majorHAnsi" w:hAnsiTheme="majorHAnsi" w:cstheme="majorHAnsi"/>
              </w:rPr>
              <w:t> </w:t>
            </w:r>
            <w:r w:rsidRPr="00F87167">
              <w:rPr>
                <w:rFonts w:asciiTheme="majorHAnsi" w:hAnsiTheme="majorHAnsi" w:cstheme="majorHAnsi"/>
                <w:b/>
                <w:bCs/>
              </w:rPr>
              <w:t>Variable 29 %</w:t>
            </w:r>
            <w:r w:rsidRPr="00F87167">
              <w:rPr>
                <w:rFonts w:asciiTheme="majorHAnsi" w:hAnsiTheme="majorHAnsi" w:cstheme="majorHAnsi"/>
              </w:rPr>
              <w:t> </w:t>
            </w:r>
          </w:p>
        </w:tc>
        <w:tc>
          <w:tcPr>
            <w:tcW w:w="0" w:type="auto"/>
          </w:tcPr>
          <w:p w14:paraId="1179F9C4"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40 135 862 226 </w:t>
            </w:r>
          </w:p>
        </w:tc>
        <w:tc>
          <w:tcPr>
            <w:tcW w:w="0" w:type="auto"/>
          </w:tcPr>
          <w:p w14:paraId="0F6F99AA"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8 027 172 445 </w:t>
            </w:r>
          </w:p>
        </w:tc>
        <w:tc>
          <w:tcPr>
            <w:tcW w:w="0" w:type="auto"/>
          </w:tcPr>
          <w:p w14:paraId="4766D0D8"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20 579 013 126 </w:t>
            </w:r>
          </w:p>
        </w:tc>
        <w:tc>
          <w:tcPr>
            <w:tcW w:w="0" w:type="auto"/>
          </w:tcPr>
          <w:p w14:paraId="4E66D040" w14:textId="77777777" w:rsidR="00591A81" w:rsidRPr="00F87167" w:rsidRDefault="00000000" w:rsidP="00F87167">
            <w:pPr>
              <w:pStyle w:val="Compact"/>
              <w:spacing w:line="276" w:lineRule="auto"/>
              <w:jc w:val="right"/>
              <w:rPr>
                <w:rFonts w:asciiTheme="majorHAnsi" w:hAnsiTheme="majorHAnsi" w:cstheme="majorHAnsi"/>
              </w:rPr>
            </w:pPr>
            <w:r w:rsidRPr="00F87167">
              <w:rPr>
                <w:rFonts w:asciiTheme="majorHAnsi" w:hAnsiTheme="majorHAnsi" w:cstheme="majorHAnsi"/>
              </w:rPr>
              <w:t> 46 557 600 182 </w:t>
            </w:r>
          </w:p>
        </w:tc>
      </w:tr>
    </w:tbl>
    <w:p w14:paraId="6D82FE4F" w14:textId="77777777" w:rsidR="00591A81"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t xml:space="preserve">Las primas y siniestros son iguales en ambas modalidades; lo que cambia es la comisión recibida. Con un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de 51,3 % la comisión variable (29 %) genera un ingreso mayor (46 557 600 182) que la comisión fija (32 108 689 780). Además, se consideró la volatilidad de los siniestros y se empleó una regresión lineal entre el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y la RSA, los pagos y el IBNR para justificar que el valor medio del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esperado se sitúa cerca de 51 %. Por tanto, la comisión variable es la opción más beneficiosa para la aseguradora.</w:t>
      </w:r>
    </w:p>
    <w:p w14:paraId="556312A3" w14:textId="77777777" w:rsidR="00591A81"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t>La figura 3 presenta la visualización de la relación entre la comisión y las variables analizadas.</w:t>
      </w:r>
    </w:p>
    <w:p w14:paraId="54CECD75" w14:textId="77777777" w:rsidR="00591A81" w:rsidRPr="00F87167" w:rsidRDefault="00000000" w:rsidP="00F87167">
      <w:pPr>
        <w:pStyle w:val="CaptionedFigure"/>
        <w:spacing w:line="276" w:lineRule="auto"/>
        <w:rPr>
          <w:rFonts w:asciiTheme="majorHAnsi" w:hAnsiTheme="majorHAnsi" w:cstheme="majorHAnsi"/>
        </w:rPr>
      </w:pPr>
      <w:r w:rsidRPr="00F87167">
        <w:rPr>
          <w:rFonts w:asciiTheme="majorHAnsi" w:hAnsiTheme="majorHAnsi" w:cstheme="majorHAnsi"/>
          <w:noProof/>
        </w:rPr>
        <w:drawing>
          <wp:inline distT="0" distB="0" distL="0" distR="0" wp14:anchorId="70836D2C" wp14:editId="7D001DED">
            <wp:extent cx="5334000" cy="678274"/>
            <wp:effectExtent l="0" t="0" r="0" b="0"/>
            <wp:docPr id="31" name="Picture" descr="Figura 3 – Comparación de comisiones fija y variable"/>
            <wp:cNvGraphicFramePr/>
            <a:graphic xmlns:a="http://schemas.openxmlformats.org/drawingml/2006/main">
              <a:graphicData uri="http://schemas.openxmlformats.org/drawingml/2006/picture">
                <pic:pic xmlns:pic="http://schemas.openxmlformats.org/drawingml/2006/picture">
                  <pic:nvPicPr>
                    <pic:cNvPr id="32" name="Picture" descr="report_images/fig3.png"/>
                    <pic:cNvPicPr>
                      <a:picLocks noChangeAspect="1" noChangeArrowheads="1"/>
                    </pic:cNvPicPr>
                  </pic:nvPicPr>
                  <pic:blipFill>
                    <a:blip r:embed="rId9"/>
                    <a:stretch>
                      <a:fillRect/>
                    </a:stretch>
                  </pic:blipFill>
                  <pic:spPr bwMode="auto">
                    <a:xfrm>
                      <a:off x="0" y="0"/>
                      <a:ext cx="5334000" cy="678274"/>
                    </a:xfrm>
                    <a:prstGeom prst="rect">
                      <a:avLst/>
                    </a:prstGeom>
                    <a:noFill/>
                    <a:ln w="9525">
                      <a:noFill/>
                      <a:headEnd/>
                      <a:tailEnd/>
                    </a:ln>
                  </pic:spPr>
                </pic:pic>
              </a:graphicData>
            </a:graphic>
          </wp:inline>
        </w:drawing>
      </w:r>
    </w:p>
    <w:p w14:paraId="1CACDDF8" w14:textId="77777777" w:rsidR="00591A81" w:rsidRPr="00F87167" w:rsidRDefault="00000000" w:rsidP="00F87167">
      <w:pPr>
        <w:pStyle w:val="ImageCaption"/>
        <w:spacing w:line="276" w:lineRule="auto"/>
        <w:rPr>
          <w:rFonts w:asciiTheme="majorHAnsi" w:hAnsiTheme="majorHAnsi" w:cstheme="majorHAnsi"/>
          <w:lang w:val="es-CO"/>
        </w:rPr>
      </w:pPr>
      <w:r w:rsidRPr="00F87167">
        <w:rPr>
          <w:rFonts w:asciiTheme="majorHAnsi" w:hAnsiTheme="majorHAnsi" w:cstheme="majorHAnsi"/>
          <w:lang w:val="es-CO"/>
        </w:rPr>
        <w:t>Figura 3 – Comparación de comisiones fija y variable</w:t>
      </w:r>
    </w:p>
    <w:p w14:paraId="2ECC2C1E" w14:textId="77777777" w:rsidR="00591A81" w:rsidRPr="00F87167" w:rsidRDefault="00000000" w:rsidP="00F87167">
      <w:pPr>
        <w:pStyle w:val="Ttulo1"/>
        <w:spacing w:line="276" w:lineRule="auto"/>
        <w:rPr>
          <w:rFonts w:cstheme="majorHAnsi"/>
          <w:color w:val="auto"/>
          <w:sz w:val="24"/>
          <w:szCs w:val="24"/>
          <w:lang w:val="es-CO"/>
        </w:rPr>
      </w:pPr>
      <w:bookmarkStart w:id="5" w:name="conclusión"/>
      <w:bookmarkEnd w:id="4"/>
      <w:r w:rsidRPr="00F87167">
        <w:rPr>
          <w:rFonts w:cstheme="majorHAnsi"/>
          <w:color w:val="auto"/>
          <w:sz w:val="24"/>
          <w:szCs w:val="24"/>
          <w:lang w:val="es-CO"/>
        </w:rPr>
        <w:t>Conclusión</w:t>
      </w:r>
    </w:p>
    <w:p w14:paraId="69C53723" w14:textId="0A675E4D" w:rsidR="00591A81" w:rsidRPr="00F87167" w:rsidRDefault="00000000" w:rsidP="00F87167">
      <w:pPr>
        <w:pStyle w:val="FirstParagraph"/>
        <w:spacing w:line="276" w:lineRule="auto"/>
        <w:rPr>
          <w:rFonts w:asciiTheme="majorHAnsi" w:hAnsiTheme="majorHAnsi" w:cstheme="majorHAnsi"/>
          <w:lang w:val="es-CO"/>
        </w:rPr>
      </w:pPr>
      <w:r w:rsidRPr="00F87167">
        <w:rPr>
          <w:rFonts w:asciiTheme="majorHAnsi" w:hAnsiTheme="majorHAnsi" w:cstheme="majorHAnsi"/>
          <w:lang w:val="es-CO"/>
        </w:rPr>
        <w:t xml:space="preserve">El análisis de los siniestros entre 2019 y 2024 muestra una disminución progresiva de los pagos y un comportamiento irregular de la </w:t>
      </w:r>
      <w:r w:rsidR="009D7EFD" w:rsidRPr="00F87167">
        <w:rPr>
          <w:rFonts w:asciiTheme="majorHAnsi" w:hAnsiTheme="majorHAnsi" w:cstheme="majorHAnsi"/>
          <w:lang w:val="es-CO"/>
        </w:rPr>
        <w:t>Siniestralidad</w:t>
      </w:r>
      <w:r w:rsidRPr="00F87167">
        <w:rPr>
          <w:rFonts w:asciiTheme="majorHAnsi" w:hAnsiTheme="majorHAnsi" w:cstheme="majorHAnsi"/>
          <w:lang w:val="es-CO"/>
        </w:rPr>
        <w:t xml:space="preserve">, lo que evidencia la necesidad de estimar reservas adecuadas y monitorear la </w:t>
      </w:r>
      <w:r w:rsidRPr="00F87167">
        <w:rPr>
          <w:rFonts w:asciiTheme="majorHAnsi" w:hAnsiTheme="majorHAnsi" w:cstheme="majorHAnsi"/>
          <w:b/>
          <w:bCs/>
          <w:lang w:val="es-CO"/>
        </w:rPr>
        <w:t>exposición al riesgo</w:t>
      </w:r>
      <w:r w:rsidRPr="00F87167">
        <w:rPr>
          <w:rFonts w:asciiTheme="majorHAnsi" w:hAnsiTheme="majorHAnsi" w:cstheme="majorHAnsi"/>
          <w:lang w:val="es-CO"/>
        </w:rPr>
        <w:t>. Mediante el método </w:t>
      </w:r>
      <w:proofErr w:type="spellStart"/>
      <w:r w:rsidRPr="00F87167">
        <w:rPr>
          <w:rFonts w:asciiTheme="majorHAnsi" w:hAnsiTheme="majorHAnsi" w:cstheme="majorHAnsi"/>
          <w:lang w:val="es-CO"/>
        </w:rPr>
        <w:t>Chain</w:t>
      </w:r>
      <w:proofErr w:type="spellEnd"/>
      <w:r w:rsidRPr="00F87167">
        <w:rPr>
          <w:rFonts w:asciiTheme="majorHAnsi" w:hAnsiTheme="majorHAnsi" w:cstheme="majorHAnsi"/>
          <w:lang w:val="es-CO"/>
        </w:rPr>
        <w:t xml:space="preserve"> Ladder se estimó un IBNR total de </w:t>
      </w:r>
      <w:r w:rsidRPr="00F87167">
        <w:rPr>
          <w:rFonts w:asciiTheme="majorHAnsi" w:hAnsiTheme="majorHAnsi" w:cstheme="majorHAnsi"/>
          <w:b/>
          <w:bCs/>
          <w:lang w:val="es-CO"/>
        </w:rPr>
        <w:t>$37  625  730  563</w:t>
      </w:r>
      <w:r w:rsidRPr="00F87167">
        <w:rPr>
          <w:rFonts w:asciiTheme="majorHAnsi" w:hAnsiTheme="majorHAnsi" w:cstheme="majorHAnsi"/>
          <w:lang w:val="es-CO"/>
        </w:rPr>
        <w:t xml:space="preserve">; las vigencias más recientes concentran la mayor parte de la reserva debido a su menor desarrollo. </w:t>
      </w:r>
    </w:p>
    <w:p w14:paraId="4DE13B6A" w14:textId="35CF8107" w:rsidR="009D7EFD" w:rsidRPr="00F87167" w:rsidRDefault="00000000" w:rsidP="00F87167">
      <w:pPr>
        <w:pStyle w:val="Textoindependiente"/>
        <w:spacing w:line="276" w:lineRule="auto"/>
        <w:rPr>
          <w:rFonts w:asciiTheme="majorHAnsi" w:hAnsiTheme="majorHAnsi" w:cstheme="majorHAnsi"/>
          <w:lang w:val="es-CO"/>
        </w:rPr>
      </w:pPr>
      <w:r w:rsidRPr="00F87167">
        <w:rPr>
          <w:rFonts w:asciiTheme="majorHAnsi" w:hAnsiTheme="majorHAnsi" w:cstheme="majorHAnsi"/>
          <w:lang w:val="es-CO"/>
        </w:rPr>
        <w:t xml:space="preserve">La comparación entre la comisión fija (20 %) y la comisión variable (29 %) bajo un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de 51,3 % revela que la modalidad variable aporta mayores ingresos para la aseguradora. El análisis estadístico y la regresión lineal indican que el </w:t>
      </w:r>
      <w:proofErr w:type="spellStart"/>
      <w:r w:rsidRPr="00F87167">
        <w:rPr>
          <w:rFonts w:asciiTheme="majorHAnsi" w:hAnsiTheme="majorHAnsi" w:cstheme="majorHAnsi"/>
          <w:i/>
          <w:iCs/>
          <w:lang w:val="es-CO"/>
        </w:rPr>
        <w:t>loss</w:t>
      </w:r>
      <w:proofErr w:type="spellEnd"/>
      <w:r w:rsidRPr="00F87167">
        <w:rPr>
          <w:rFonts w:asciiTheme="majorHAnsi" w:hAnsiTheme="majorHAnsi" w:cstheme="majorHAnsi"/>
          <w:i/>
          <w:iCs/>
          <w:lang w:val="es-CO"/>
        </w:rPr>
        <w:t> ratio</w:t>
      </w:r>
      <w:r w:rsidRPr="00F87167">
        <w:rPr>
          <w:rFonts w:asciiTheme="majorHAnsi" w:hAnsiTheme="majorHAnsi" w:cstheme="majorHAnsi"/>
          <w:lang w:val="es-CO"/>
        </w:rPr>
        <w:t xml:space="preserve"> esperado se mantiene alrededor de ese valor, por lo que se recomienda adoptar una </w:t>
      </w:r>
      <w:r w:rsidRPr="00F87167">
        <w:rPr>
          <w:rFonts w:asciiTheme="majorHAnsi" w:hAnsiTheme="majorHAnsi" w:cstheme="majorHAnsi"/>
          <w:b/>
          <w:bCs/>
          <w:lang w:val="es-CO"/>
        </w:rPr>
        <w:t>comisión variable</w:t>
      </w:r>
      <w:r w:rsidRPr="00F87167">
        <w:rPr>
          <w:rFonts w:asciiTheme="majorHAnsi" w:hAnsiTheme="majorHAnsi" w:cstheme="majorHAnsi"/>
          <w:lang w:val="es-CO"/>
        </w:rPr>
        <w:t xml:space="preserve"> para el contrato de reaseguro de 2025.</w:t>
      </w:r>
    </w:p>
    <w:p w14:paraId="7495B165" w14:textId="77777777" w:rsidR="009D7EFD" w:rsidRPr="00F87167" w:rsidRDefault="009D7EFD" w:rsidP="00F87167">
      <w:pPr>
        <w:spacing w:line="276" w:lineRule="auto"/>
        <w:rPr>
          <w:rFonts w:asciiTheme="majorHAnsi" w:hAnsiTheme="majorHAnsi" w:cstheme="majorHAnsi"/>
          <w:lang w:val="es-CO"/>
        </w:rPr>
      </w:pPr>
      <w:r w:rsidRPr="00F87167">
        <w:rPr>
          <w:rFonts w:asciiTheme="majorHAnsi" w:hAnsiTheme="majorHAnsi" w:cstheme="majorHAnsi"/>
          <w:lang w:val="es-CO"/>
        </w:rPr>
        <w:br w:type="page"/>
      </w:r>
    </w:p>
    <w:p w14:paraId="295826A6" w14:textId="77777777" w:rsidR="00591A81" w:rsidRPr="00F87167" w:rsidRDefault="00591A81" w:rsidP="00F87167">
      <w:pPr>
        <w:pStyle w:val="Textoindependiente"/>
        <w:spacing w:line="276" w:lineRule="auto"/>
        <w:rPr>
          <w:rFonts w:asciiTheme="majorHAnsi" w:hAnsiTheme="majorHAnsi" w:cstheme="majorHAnsi"/>
          <w:lang w:val="es-CO"/>
        </w:rPr>
      </w:pPr>
    </w:p>
    <w:p w14:paraId="54B13B75" w14:textId="77777777" w:rsidR="00591A81" w:rsidRPr="00F87167" w:rsidRDefault="00000000" w:rsidP="00F87167">
      <w:pPr>
        <w:pStyle w:val="Ttulo1"/>
        <w:spacing w:line="276" w:lineRule="auto"/>
        <w:rPr>
          <w:rFonts w:cstheme="majorHAnsi"/>
          <w:color w:val="auto"/>
          <w:sz w:val="24"/>
          <w:szCs w:val="24"/>
          <w:lang w:val="es-CO"/>
        </w:rPr>
      </w:pPr>
      <w:bookmarkStart w:id="6" w:name="Xaaba0cc5a446effe36817038286f274e649f6db"/>
      <w:bookmarkEnd w:id="5"/>
      <w:r w:rsidRPr="00F87167">
        <w:rPr>
          <w:rFonts w:cstheme="majorHAnsi"/>
          <w:color w:val="auto"/>
          <w:sz w:val="24"/>
          <w:szCs w:val="24"/>
          <w:lang w:val="es-CO"/>
        </w:rPr>
        <w:t>Anexo A: Reporte simplificado de limpieza de datos</w:t>
      </w:r>
    </w:p>
    <w:p w14:paraId="2E42CB33" w14:textId="77777777" w:rsidR="00591A81" w:rsidRPr="00F87167" w:rsidRDefault="00000000" w:rsidP="00F87167">
      <w:pPr>
        <w:pStyle w:val="Textodebloque"/>
        <w:spacing w:line="276" w:lineRule="auto"/>
        <w:rPr>
          <w:rFonts w:asciiTheme="majorHAnsi" w:hAnsiTheme="majorHAnsi" w:cstheme="majorHAnsi"/>
          <w:lang w:val="es-CO"/>
        </w:rPr>
      </w:pPr>
      <w:r w:rsidRPr="00F87167">
        <w:rPr>
          <w:rFonts w:asciiTheme="majorHAnsi" w:hAnsiTheme="majorHAnsi" w:cstheme="majorHAnsi"/>
          <w:b/>
          <w:bCs/>
          <w:lang w:val="es-CO"/>
        </w:rPr>
        <w:t>Limpieza de datos</w:t>
      </w:r>
    </w:p>
    <w:p w14:paraId="537A393F" w14:textId="77777777" w:rsidR="00591A81" w:rsidRPr="00F87167" w:rsidRDefault="00000000" w:rsidP="00F87167">
      <w:pPr>
        <w:pStyle w:val="Textodebloque"/>
        <w:spacing w:line="276" w:lineRule="auto"/>
        <w:rPr>
          <w:rFonts w:asciiTheme="majorHAnsi" w:hAnsiTheme="majorHAnsi" w:cstheme="majorHAnsi"/>
          <w:lang w:val="es-CO"/>
        </w:rPr>
      </w:pPr>
      <w:r w:rsidRPr="00F87167">
        <w:rPr>
          <w:rFonts w:asciiTheme="majorHAnsi" w:hAnsiTheme="majorHAnsi" w:cstheme="majorHAnsi"/>
          <w:lang w:val="es-CO"/>
        </w:rPr>
        <w:t>• </w:t>
      </w:r>
      <w:r w:rsidRPr="00F87167">
        <w:rPr>
          <w:rFonts w:asciiTheme="majorHAnsi" w:hAnsiTheme="majorHAnsi" w:cstheme="majorHAnsi"/>
          <w:b/>
          <w:bCs/>
          <w:lang w:val="es-CO"/>
        </w:rPr>
        <w:t>Ordenación y asignación de identificador:</w:t>
      </w:r>
      <w:r w:rsidRPr="00F87167">
        <w:rPr>
          <w:rFonts w:asciiTheme="majorHAnsi" w:hAnsiTheme="majorHAnsi" w:cstheme="majorHAnsi"/>
          <w:lang w:val="es-CO"/>
        </w:rPr>
        <w:t xml:space="preserve"> los registros de la hoja </w:t>
      </w:r>
      <w:r w:rsidRPr="00F87167">
        <w:rPr>
          <w:rFonts w:asciiTheme="majorHAnsi" w:hAnsiTheme="majorHAnsi" w:cstheme="majorHAnsi"/>
          <w:i/>
          <w:iCs/>
          <w:lang w:val="es-CO"/>
        </w:rPr>
        <w:t>Siniestros</w:t>
      </w:r>
      <w:r w:rsidRPr="00F87167">
        <w:rPr>
          <w:rFonts w:asciiTheme="majorHAnsi" w:hAnsiTheme="majorHAnsi" w:cstheme="majorHAnsi"/>
          <w:lang w:val="es-CO"/>
        </w:rPr>
        <w:t xml:space="preserve"> se ordenaron por el número de siniestro (</w:t>
      </w:r>
      <w:r w:rsidRPr="00F87167">
        <w:rPr>
          <w:rStyle w:val="VerbatimChar"/>
          <w:rFonts w:asciiTheme="majorHAnsi" w:hAnsiTheme="majorHAnsi" w:cstheme="majorHAnsi"/>
          <w:sz w:val="24"/>
          <w:lang w:val="es-CO"/>
        </w:rPr>
        <w:t>SINIESTRO</w:t>
      </w:r>
      <w:r w:rsidRPr="00F87167">
        <w:rPr>
          <w:rFonts w:asciiTheme="majorHAnsi" w:hAnsiTheme="majorHAnsi" w:cstheme="majorHAnsi"/>
          <w:lang w:val="es-CO"/>
        </w:rPr>
        <w:t xml:space="preserve">) y se generó una columna </w:t>
      </w:r>
      <w:r w:rsidRPr="00F87167">
        <w:rPr>
          <w:rStyle w:val="VerbatimChar"/>
          <w:rFonts w:asciiTheme="majorHAnsi" w:hAnsiTheme="majorHAnsi" w:cstheme="majorHAnsi"/>
          <w:sz w:val="24"/>
          <w:lang w:val="es-CO"/>
        </w:rPr>
        <w:t>ID</w:t>
      </w:r>
      <w:r w:rsidRPr="00F87167">
        <w:rPr>
          <w:rFonts w:asciiTheme="majorHAnsi" w:hAnsiTheme="majorHAnsi" w:cstheme="majorHAnsi"/>
          <w:lang w:val="es-CO"/>
        </w:rPr>
        <w:t xml:space="preserve"> con un consecutivo porque la numeración original estaba corrupta y presentaba valores repetidos.</w:t>
      </w:r>
      <w:r w:rsidRPr="00F87167">
        <w:rPr>
          <w:rFonts w:asciiTheme="majorHAnsi" w:hAnsiTheme="majorHAnsi" w:cstheme="majorHAnsi"/>
          <w:lang w:val="es-CO"/>
        </w:rPr>
        <w:br/>
        <w:t>• </w:t>
      </w:r>
      <w:r w:rsidRPr="00F87167">
        <w:rPr>
          <w:rFonts w:asciiTheme="majorHAnsi" w:hAnsiTheme="majorHAnsi" w:cstheme="majorHAnsi"/>
          <w:b/>
          <w:bCs/>
          <w:lang w:val="es-CO"/>
        </w:rPr>
        <w:t>Conversión de fechas:</w:t>
      </w:r>
      <w:r w:rsidRPr="00F87167">
        <w:rPr>
          <w:rFonts w:asciiTheme="majorHAnsi" w:hAnsiTheme="majorHAnsi" w:cstheme="majorHAnsi"/>
          <w:lang w:val="es-CO"/>
        </w:rPr>
        <w:t xml:space="preserve"> las columnas de fecha se transformaron al tipo </w:t>
      </w:r>
      <w:r w:rsidRPr="00F87167">
        <w:rPr>
          <w:rStyle w:val="VerbatimChar"/>
          <w:rFonts w:asciiTheme="majorHAnsi" w:hAnsiTheme="majorHAnsi" w:cstheme="majorHAnsi"/>
          <w:sz w:val="24"/>
          <w:lang w:val="es-CO"/>
        </w:rPr>
        <w:t>fecha</w:t>
      </w:r>
      <w:r w:rsidRPr="00F87167">
        <w:rPr>
          <w:rFonts w:asciiTheme="majorHAnsi" w:hAnsiTheme="majorHAnsi" w:cstheme="majorHAnsi"/>
          <w:lang w:val="es-CO"/>
        </w:rPr>
        <w:t xml:space="preserve">. La columna </w:t>
      </w:r>
      <w:r w:rsidRPr="00F87167">
        <w:rPr>
          <w:rStyle w:val="VerbatimChar"/>
          <w:rFonts w:asciiTheme="majorHAnsi" w:hAnsiTheme="majorHAnsi" w:cstheme="majorHAnsi"/>
          <w:sz w:val="24"/>
          <w:lang w:val="es-CO"/>
        </w:rPr>
        <w:t>FECHA SINIESTRO</w:t>
      </w:r>
      <w:r w:rsidRPr="00F87167">
        <w:rPr>
          <w:rFonts w:asciiTheme="majorHAnsi" w:hAnsiTheme="majorHAnsi" w:cstheme="majorHAnsi"/>
          <w:lang w:val="es-CO"/>
        </w:rPr>
        <w:t xml:space="preserve"> se renombró como </w:t>
      </w:r>
      <w:r w:rsidRPr="00F87167">
        <w:rPr>
          <w:rStyle w:val="VerbatimChar"/>
          <w:rFonts w:asciiTheme="majorHAnsi" w:hAnsiTheme="majorHAnsi" w:cstheme="majorHAnsi"/>
          <w:sz w:val="24"/>
          <w:lang w:val="es-CO"/>
        </w:rPr>
        <w:t>Fecha de Ocurrencia</w:t>
      </w:r>
      <w:r w:rsidRPr="00F87167">
        <w:rPr>
          <w:rFonts w:asciiTheme="majorHAnsi" w:hAnsiTheme="majorHAnsi" w:cstheme="majorHAnsi"/>
          <w:lang w:val="es-CO"/>
        </w:rPr>
        <w:t xml:space="preserve"> y </w:t>
      </w:r>
      <w:r w:rsidRPr="00F87167">
        <w:rPr>
          <w:rStyle w:val="VerbatimChar"/>
          <w:rFonts w:asciiTheme="majorHAnsi" w:hAnsiTheme="majorHAnsi" w:cstheme="majorHAnsi"/>
          <w:sz w:val="24"/>
          <w:lang w:val="es-CO"/>
        </w:rPr>
        <w:t>FECHA AVISO</w:t>
      </w:r>
      <w:r w:rsidRPr="00F87167">
        <w:rPr>
          <w:rFonts w:asciiTheme="majorHAnsi" w:hAnsiTheme="majorHAnsi" w:cstheme="majorHAnsi"/>
          <w:lang w:val="es-CO"/>
        </w:rPr>
        <w:t xml:space="preserve"> como </w:t>
      </w:r>
      <w:r w:rsidRPr="00F87167">
        <w:rPr>
          <w:rStyle w:val="VerbatimChar"/>
          <w:rFonts w:asciiTheme="majorHAnsi" w:hAnsiTheme="majorHAnsi" w:cstheme="majorHAnsi"/>
          <w:sz w:val="24"/>
          <w:lang w:val="es-CO"/>
        </w:rPr>
        <w:t>Fecha de Pago</w:t>
      </w:r>
      <w:r w:rsidRPr="00F87167">
        <w:rPr>
          <w:rFonts w:asciiTheme="majorHAnsi" w:hAnsiTheme="majorHAnsi" w:cstheme="majorHAnsi"/>
          <w:lang w:val="es-CO"/>
        </w:rPr>
        <w:t>.</w:t>
      </w:r>
      <w:r w:rsidRPr="00F87167">
        <w:rPr>
          <w:rFonts w:asciiTheme="majorHAnsi" w:hAnsiTheme="majorHAnsi" w:cstheme="majorHAnsi"/>
          <w:lang w:val="es-CO"/>
        </w:rPr>
        <w:br/>
        <w:t>• </w:t>
      </w:r>
      <w:r w:rsidRPr="00F87167">
        <w:rPr>
          <w:rFonts w:asciiTheme="majorHAnsi" w:hAnsiTheme="majorHAnsi" w:cstheme="majorHAnsi"/>
          <w:b/>
          <w:bCs/>
          <w:lang w:val="es-CO"/>
        </w:rPr>
        <w:t>Fechas de aviso vacías:</w:t>
      </w:r>
      <w:r w:rsidRPr="00F87167">
        <w:rPr>
          <w:rFonts w:asciiTheme="majorHAnsi" w:hAnsiTheme="majorHAnsi" w:cstheme="majorHAnsi"/>
          <w:lang w:val="es-CO"/>
        </w:rPr>
        <w:t xml:space="preserve"> cuando </w:t>
      </w:r>
      <w:r w:rsidRPr="00F87167">
        <w:rPr>
          <w:rStyle w:val="VerbatimChar"/>
          <w:rFonts w:asciiTheme="majorHAnsi" w:hAnsiTheme="majorHAnsi" w:cstheme="majorHAnsi"/>
          <w:sz w:val="24"/>
          <w:lang w:val="es-CO"/>
        </w:rPr>
        <w:t>FECHA AVISO</w:t>
      </w:r>
      <w:r w:rsidRPr="00F87167">
        <w:rPr>
          <w:rFonts w:asciiTheme="majorHAnsi" w:hAnsiTheme="majorHAnsi" w:cstheme="majorHAnsi"/>
          <w:lang w:val="es-CO"/>
        </w:rPr>
        <w:t xml:space="preserve"> estaba en blanco se reemplazó por la </w:t>
      </w:r>
      <w:r w:rsidRPr="00F87167">
        <w:rPr>
          <w:rStyle w:val="VerbatimChar"/>
          <w:rFonts w:asciiTheme="majorHAnsi" w:hAnsiTheme="majorHAnsi" w:cstheme="majorHAnsi"/>
          <w:sz w:val="24"/>
          <w:lang w:val="es-CO"/>
        </w:rPr>
        <w:t>Fecha de Ocurrencia</w:t>
      </w:r>
      <w:r w:rsidRPr="00F87167">
        <w:rPr>
          <w:rFonts w:asciiTheme="majorHAnsi" w:hAnsiTheme="majorHAnsi" w:cstheme="majorHAnsi"/>
          <w:lang w:val="es-CO"/>
        </w:rPr>
        <w:t>.</w:t>
      </w:r>
      <w:r w:rsidRPr="00F87167">
        <w:rPr>
          <w:rFonts w:asciiTheme="majorHAnsi" w:hAnsiTheme="majorHAnsi" w:cstheme="majorHAnsi"/>
          <w:lang w:val="es-CO"/>
        </w:rPr>
        <w:br/>
        <w:t>• </w:t>
      </w:r>
      <w:r w:rsidRPr="00F87167">
        <w:rPr>
          <w:rFonts w:asciiTheme="majorHAnsi" w:hAnsiTheme="majorHAnsi" w:cstheme="majorHAnsi"/>
          <w:b/>
          <w:bCs/>
          <w:lang w:val="es-CO"/>
        </w:rPr>
        <w:t>Fechas numéricas:</w:t>
      </w:r>
      <w:r w:rsidRPr="00F87167">
        <w:rPr>
          <w:rFonts w:asciiTheme="majorHAnsi" w:hAnsiTheme="majorHAnsi" w:cstheme="majorHAnsi"/>
          <w:lang w:val="es-CO"/>
        </w:rPr>
        <w:t xml:space="preserve"> algunas fechas de aviso tenían formato numérico (ej. 201901). Se separó el año y el mes y se asumió el primer día del mes para construir una fecha válida.</w:t>
      </w:r>
      <w:r w:rsidRPr="00F87167">
        <w:rPr>
          <w:rFonts w:asciiTheme="majorHAnsi" w:hAnsiTheme="majorHAnsi" w:cstheme="majorHAnsi"/>
          <w:lang w:val="es-CO"/>
        </w:rPr>
        <w:br/>
        <w:t>• </w:t>
      </w:r>
      <w:r w:rsidRPr="00F87167">
        <w:rPr>
          <w:rFonts w:asciiTheme="majorHAnsi" w:hAnsiTheme="majorHAnsi" w:cstheme="majorHAnsi"/>
          <w:b/>
          <w:bCs/>
          <w:lang w:val="es-CO"/>
        </w:rPr>
        <w:t>Montos negativos:</w:t>
      </w:r>
      <w:r w:rsidRPr="00F87167">
        <w:rPr>
          <w:rFonts w:asciiTheme="majorHAnsi" w:hAnsiTheme="majorHAnsi" w:cstheme="majorHAnsi"/>
          <w:lang w:val="es-CO"/>
        </w:rPr>
        <w:t xml:space="preserve"> los valores de la columna </w:t>
      </w:r>
      <w:r w:rsidRPr="00F87167">
        <w:rPr>
          <w:rStyle w:val="VerbatimChar"/>
          <w:rFonts w:asciiTheme="majorHAnsi" w:hAnsiTheme="majorHAnsi" w:cstheme="majorHAnsi"/>
          <w:sz w:val="24"/>
          <w:lang w:val="es-CO"/>
        </w:rPr>
        <w:t>TOTAL SINIESTRO</w:t>
      </w:r>
      <w:r w:rsidRPr="00F87167">
        <w:rPr>
          <w:rFonts w:asciiTheme="majorHAnsi" w:hAnsiTheme="majorHAnsi" w:cstheme="majorHAnsi"/>
          <w:lang w:val="es-CO"/>
        </w:rPr>
        <w:t xml:space="preserve"> se transformaron a valores absolutos para eliminar montos negativos.</w:t>
      </w:r>
      <w:r w:rsidRPr="00F87167">
        <w:rPr>
          <w:rFonts w:asciiTheme="majorHAnsi" w:hAnsiTheme="majorHAnsi" w:cstheme="majorHAnsi"/>
          <w:lang w:val="es-CO"/>
        </w:rPr>
        <w:br/>
        <w:t>• </w:t>
      </w:r>
      <w:r w:rsidRPr="00F87167">
        <w:rPr>
          <w:rFonts w:asciiTheme="majorHAnsi" w:hAnsiTheme="majorHAnsi" w:cstheme="majorHAnsi"/>
          <w:b/>
          <w:bCs/>
          <w:lang w:val="es-CO"/>
        </w:rPr>
        <w:t>Cálculo de vigencias:</w:t>
      </w:r>
      <w:r w:rsidRPr="00F87167">
        <w:rPr>
          <w:rFonts w:asciiTheme="majorHAnsi" w:hAnsiTheme="majorHAnsi" w:cstheme="majorHAnsi"/>
          <w:lang w:val="es-CO"/>
        </w:rPr>
        <w:t xml:space="preserve"> se añadieron las columnas </w:t>
      </w:r>
      <w:r w:rsidRPr="00F87167">
        <w:rPr>
          <w:rStyle w:val="VerbatimChar"/>
          <w:rFonts w:asciiTheme="majorHAnsi" w:hAnsiTheme="majorHAnsi" w:cstheme="majorHAnsi"/>
          <w:sz w:val="24"/>
          <w:lang w:val="es-CO"/>
        </w:rPr>
        <w:t>Vigencia de Ocurrencia</w:t>
      </w:r>
      <w:r w:rsidRPr="00F87167">
        <w:rPr>
          <w:rFonts w:asciiTheme="majorHAnsi" w:hAnsiTheme="majorHAnsi" w:cstheme="majorHAnsi"/>
          <w:lang w:val="es-CO"/>
        </w:rPr>
        <w:t xml:space="preserve"> y </w:t>
      </w:r>
      <w:r w:rsidRPr="00F87167">
        <w:rPr>
          <w:rStyle w:val="VerbatimChar"/>
          <w:rFonts w:asciiTheme="majorHAnsi" w:hAnsiTheme="majorHAnsi" w:cstheme="majorHAnsi"/>
          <w:sz w:val="24"/>
          <w:lang w:val="es-CO"/>
        </w:rPr>
        <w:t>Vigencia de Pago</w:t>
      </w:r>
      <w:r w:rsidRPr="00F87167">
        <w:rPr>
          <w:rFonts w:asciiTheme="majorHAnsi" w:hAnsiTheme="majorHAnsi" w:cstheme="majorHAnsi"/>
          <w:lang w:val="es-CO"/>
        </w:rPr>
        <w:t>. Cuando la fecha era anterior al 1 de julio se asignó el año anterior; en caso contrario se conservó el mismo año.</w:t>
      </w:r>
      <w:r w:rsidRPr="00F87167">
        <w:rPr>
          <w:rFonts w:asciiTheme="majorHAnsi" w:hAnsiTheme="majorHAnsi" w:cstheme="majorHAnsi"/>
          <w:lang w:val="es-CO"/>
        </w:rPr>
        <w:br/>
        <w:t>• </w:t>
      </w:r>
      <w:r w:rsidRPr="00F87167">
        <w:rPr>
          <w:rFonts w:asciiTheme="majorHAnsi" w:hAnsiTheme="majorHAnsi" w:cstheme="majorHAnsi"/>
          <w:b/>
          <w:bCs/>
          <w:lang w:val="es-CO"/>
        </w:rPr>
        <w:t>Diferencia entre fechas:</w:t>
      </w:r>
      <w:r w:rsidRPr="00F87167">
        <w:rPr>
          <w:rFonts w:asciiTheme="majorHAnsi" w:hAnsiTheme="majorHAnsi" w:cstheme="majorHAnsi"/>
          <w:lang w:val="es-CO"/>
        </w:rPr>
        <w:t xml:space="preserve"> se calculó la diferencia en días entre </w:t>
      </w:r>
      <w:r w:rsidRPr="00F87167">
        <w:rPr>
          <w:rStyle w:val="VerbatimChar"/>
          <w:rFonts w:asciiTheme="majorHAnsi" w:hAnsiTheme="majorHAnsi" w:cstheme="majorHAnsi"/>
          <w:sz w:val="24"/>
          <w:lang w:val="es-CO"/>
        </w:rPr>
        <w:t>Fecha de Pago</w:t>
      </w:r>
      <w:r w:rsidRPr="00F87167">
        <w:rPr>
          <w:rFonts w:asciiTheme="majorHAnsi" w:hAnsiTheme="majorHAnsi" w:cstheme="majorHAnsi"/>
          <w:lang w:val="es-CO"/>
        </w:rPr>
        <w:t xml:space="preserve"> y </w:t>
      </w:r>
      <w:r w:rsidRPr="00F87167">
        <w:rPr>
          <w:rStyle w:val="VerbatimChar"/>
          <w:rFonts w:asciiTheme="majorHAnsi" w:hAnsiTheme="majorHAnsi" w:cstheme="majorHAnsi"/>
          <w:sz w:val="24"/>
          <w:lang w:val="es-CO"/>
        </w:rPr>
        <w:t>Fecha de Ocurrencia</w:t>
      </w:r>
      <w:r w:rsidRPr="00F87167">
        <w:rPr>
          <w:rFonts w:asciiTheme="majorHAnsi" w:hAnsiTheme="majorHAnsi" w:cstheme="majorHAnsi"/>
          <w:lang w:val="es-CO"/>
        </w:rPr>
        <w:t xml:space="preserve"> para detectar inconsistencias.</w:t>
      </w:r>
      <w:r w:rsidRPr="00F87167">
        <w:rPr>
          <w:rFonts w:asciiTheme="majorHAnsi" w:hAnsiTheme="majorHAnsi" w:cstheme="majorHAnsi"/>
          <w:lang w:val="es-CO"/>
        </w:rPr>
        <w:br/>
        <w:t>• </w:t>
      </w:r>
      <w:r w:rsidRPr="00F87167">
        <w:rPr>
          <w:rFonts w:asciiTheme="majorHAnsi" w:hAnsiTheme="majorHAnsi" w:cstheme="majorHAnsi"/>
          <w:b/>
          <w:bCs/>
          <w:lang w:val="es-CO"/>
        </w:rPr>
        <w:t>Avisos de siniestro:</w:t>
      </w:r>
      <w:r w:rsidRPr="00F87167">
        <w:rPr>
          <w:rFonts w:asciiTheme="majorHAnsi" w:hAnsiTheme="majorHAnsi" w:cstheme="majorHAnsi"/>
          <w:lang w:val="es-CO"/>
        </w:rPr>
        <w:t xml:space="preserve"> en la hoja </w:t>
      </w:r>
      <w:r w:rsidRPr="00F87167">
        <w:rPr>
          <w:rFonts w:asciiTheme="majorHAnsi" w:hAnsiTheme="majorHAnsi" w:cstheme="majorHAnsi"/>
          <w:i/>
          <w:iCs/>
          <w:lang w:val="es-CO"/>
        </w:rPr>
        <w:t>Avisados</w:t>
      </w:r>
      <w:r w:rsidRPr="00F87167">
        <w:rPr>
          <w:rFonts w:asciiTheme="majorHAnsi" w:hAnsiTheme="majorHAnsi" w:cstheme="majorHAnsi"/>
          <w:lang w:val="es-CO"/>
        </w:rPr>
        <w:t xml:space="preserve"> se eliminaron las filas con </w:t>
      </w:r>
      <w:r w:rsidRPr="00F87167">
        <w:rPr>
          <w:rStyle w:val="VerbatimChar"/>
          <w:rFonts w:asciiTheme="majorHAnsi" w:hAnsiTheme="majorHAnsi" w:cstheme="majorHAnsi"/>
          <w:sz w:val="24"/>
          <w:lang w:val="es-CO"/>
        </w:rPr>
        <w:t>FECHA AVISO</w:t>
      </w:r>
      <w:r w:rsidRPr="00F87167">
        <w:rPr>
          <w:rFonts w:asciiTheme="majorHAnsi" w:hAnsiTheme="majorHAnsi" w:cstheme="majorHAnsi"/>
          <w:lang w:val="es-CO"/>
        </w:rPr>
        <w:t xml:space="preserve"> inválida y se corrigieron las diferencias negativas ajustando la fecha de ocurrencia a la fecha de aviso. Se crearon las columnas de vigencia y se aplicó valor absoluto al campo </w:t>
      </w:r>
      <w:r w:rsidRPr="00F87167">
        <w:rPr>
          <w:rStyle w:val="VerbatimChar"/>
          <w:rFonts w:asciiTheme="majorHAnsi" w:hAnsiTheme="majorHAnsi" w:cstheme="majorHAnsi"/>
          <w:sz w:val="24"/>
          <w:lang w:val="es-CO"/>
        </w:rPr>
        <w:t>SINIESTRO</w:t>
      </w:r>
      <w:r w:rsidRPr="00F87167">
        <w:rPr>
          <w:rFonts w:asciiTheme="majorHAnsi" w:hAnsiTheme="majorHAnsi" w:cstheme="majorHAnsi"/>
          <w:lang w:val="es-CO"/>
        </w:rPr>
        <w:t xml:space="preserve"> como medida preventiva.</w:t>
      </w:r>
      <w:r w:rsidRPr="00F87167">
        <w:rPr>
          <w:rFonts w:asciiTheme="majorHAnsi" w:hAnsiTheme="majorHAnsi" w:cstheme="majorHAnsi"/>
          <w:lang w:val="es-CO"/>
        </w:rPr>
        <w:br/>
        <w:t>• </w:t>
      </w:r>
      <w:r w:rsidRPr="00F87167">
        <w:rPr>
          <w:rFonts w:asciiTheme="majorHAnsi" w:hAnsiTheme="majorHAnsi" w:cstheme="majorHAnsi"/>
          <w:b/>
          <w:bCs/>
          <w:lang w:val="es-CO"/>
        </w:rPr>
        <w:t>Exportación:</w:t>
      </w:r>
      <w:r w:rsidRPr="00F87167">
        <w:rPr>
          <w:rFonts w:asciiTheme="majorHAnsi" w:hAnsiTheme="majorHAnsi" w:cstheme="majorHAnsi"/>
          <w:lang w:val="es-CO"/>
        </w:rPr>
        <w:t xml:space="preserve"> los datos limpios se guardaron en un nuevo archivo con las hojas </w:t>
      </w:r>
      <w:r w:rsidRPr="00F87167">
        <w:rPr>
          <w:rFonts w:asciiTheme="majorHAnsi" w:hAnsiTheme="majorHAnsi" w:cstheme="majorHAnsi"/>
          <w:i/>
          <w:iCs/>
          <w:lang w:val="es-CO"/>
        </w:rPr>
        <w:t>Siniestros</w:t>
      </w:r>
      <w:r w:rsidRPr="00F87167">
        <w:rPr>
          <w:rFonts w:asciiTheme="majorHAnsi" w:hAnsiTheme="majorHAnsi" w:cstheme="majorHAnsi"/>
          <w:lang w:val="es-CO"/>
        </w:rPr>
        <w:t xml:space="preserve">, </w:t>
      </w:r>
      <w:r w:rsidRPr="00F87167">
        <w:rPr>
          <w:rFonts w:asciiTheme="majorHAnsi" w:hAnsiTheme="majorHAnsi" w:cstheme="majorHAnsi"/>
          <w:i/>
          <w:iCs/>
          <w:lang w:val="es-CO"/>
        </w:rPr>
        <w:t>Avisados</w:t>
      </w:r>
      <w:r w:rsidRPr="00F87167">
        <w:rPr>
          <w:rFonts w:asciiTheme="majorHAnsi" w:hAnsiTheme="majorHAnsi" w:cstheme="majorHAnsi"/>
          <w:lang w:val="es-CO"/>
        </w:rPr>
        <w:t xml:space="preserve">, </w:t>
      </w:r>
      <w:r w:rsidRPr="00F87167">
        <w:rPr>
          <w:rFonts w:asciiTheme="majorHAnsi" w:hAnsiTheme="majorHAnsi" w:cstheme="majorHAnsi"/>
          <w:i/>
          <w:iCs/>
          <w:lang w:val="es-CO"/>
        </w:rPr>
        <w:t>Primas</w:t>
      </w:r>
      <w:r w:rsidRPr="00F87167">
        <w:rPr>
          <w:rFonts w:asciiTheme="majorHAnsi" w:hAnsiTheme="majorHAnsi" w:cstheme="majorHAnsi"/>
          <w:lang w:val="es-CO"/>
        </w:rPr>
        <w:t xml:space="preserve"> y </w:t>
      </w:r>
      <w:r w:rsidRPr="00F87167">
        <w:rPr>
          <w:rFonts w:asciiTheme="majorHAnsi" w:hAnsiTheme="majorHAnsi" w:cstheme="majorHAnsi"/>
          <w:i/>
          <w:iCs/>
          <w:lang w:val="es-CO"/>
        </w:rPr>
        <w:t>Reaseguro</w:t>
      </w:r>
      <w:r w:rsidRPr="00F87167">
        <w:rPr>
          <w:rFonts w:asciiTheme="majorHAnsi" w:hAnsiTheme="majorHAnsi" w:cstheme="majorHAnsi"/>
          <w:lang w:val="es-CO"/>
        </w:rPr>
        <w:t xml:space="preserve"> revisadas.</w:t>
      </w:r>
      <w:bookmarkEnd w:id="6"/>
    </w:p>
    <w:sectPr w:rsidR="00591A81" w:rsidRPr="00F87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8D337" w14:textId="77777777" w:rsidR="00353997" w:rsidRDefault="00353997">
      <w:pPr>
        <w:spacing w:after="0"/>
      </w:pPr>
      <w:r>
        <w:separator/>
      </w:r>
    </w:p>
  </w:endnote>
  <w:endnote w:type="continuationSeparator" w:id="0">
    <w:p w14:paraId="197F4D11" w14:textId="77777777" w:rsidR="00353997" w:rsidRDefault="00353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E1594" w14:textId="77777777" w:rsidR="00353997" w:rsidRDefault="00353997">
      <w:r>
        <w:separator/>
      </w:r>
    </w:p>
  </w:footnote>
  <w:footnote w:type="continuationSeparator" w:id="0">
    <w:p w14:paraId="328CD9E0" w14:textId="77777777" w:rsidR="00353997" w:rsidRDefault="00353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A01D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A28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63024122">
    <w:abstractNumId w:val="0"/>
  </w:num>
  <w:num w:numId="2" w16cid:durableId="90060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81"/>
    <w:rsid w:val="00267F49"/>
    <w:rsid w:val="00353997"/>
    <w:rsid w:val="00591A81"/>
    <w:rsid w:val="005D2D73"/>
    <w:rsid w:val="0095661E"/>
    <w:rsid w:val="009D7EFD"/>
    <w:rsid w:val="00F871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D4B8"/>
  <w15:docId w15:val="{B5C622FD-4836-4187-BC84-2C62786B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1229</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Andrés Díaz Vera</dc:creator>
  <cp:keywords/>
  <cp:lastModifiedBy>Sergio Andrés Díaz Vera</cp:lastModifiedBy>
  <cp:revision>3</cp:revision>
  <dcterms:created xsi:type="dcterms:W3CDTF">2025-08-17T06:36:00Z</dcterms:created>
  <dcterms:modified xsi:type="dcterms:W3CDTF">2025-08-17T06:37:00Z</dcterms:modified>
</cp:coreProperties>
</file>