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b w:val="1"/>
          <w:bCs w:val="1"/>
          <w:color w:val="2e6ca4"/>
          <w:sz w:val="20"/>
          <w:szCs w:val="20"/>
          <w:rtl w:val="0"/>
        </w:rPr>
        <w:t xml:space="preserve">Guía de trabajo — Sesión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2e6ca4" w:space="6" w:sz="12" w:val="single"/>
        </w:pBdr>
        <w:spacing w:after="60" w:lineRule="auto"/>
        <w:rPr/>
      </w:pPr>
      <w:r w:rsidDel="00000000" w:rsidR="00000000" w:rsidRPr="00000000">
        <w:rPr>
          <w:b w:val="1"/>
          <w:bCs w:val="1"/>
          <w:color w:val="1f3a5f"/>
          <w:sz w:val="40"/>
          <w:szCs w:val="40"/>
          <w:rtl w:val="0"/>
        </w:rPr>
        <w:t xml:space="preserve">Arquitectura cognitiva de tu feature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rPr/>
      </w:pPr>
      <w:r w:rsidDel="00000000" w:rsidR="00000000" w:rsidRPr="00000000">
        <w:rPr>
          <w:i w:val="1"/>
          <w:iCs w:val="1"/>
          <w:color w:val="707070"/>
          <w:sz w:val="20"/>
          <w:szCs w:val="20"/>
          <w:rtl w:val="0"/>
        </w:rPr>
        <w:t xml:space="preserve">Proyecto Final · AI Data Engineer — BSG Institute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76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En la sesión 1 definiste el caso de uso. Aquí lo conviertes en una arquitectura cognitiva: la descripción de cómo tu sistema usa el modelo para razonar y actuar. En cuatro pasos entenderás la feature, decidirás cuánta autonomía necesita (una llamada simple, un flujo, un agente o varios), y describirás las herramientas que usa y las fuentes a las que se conectan. El resultado es el mapa que guiará la construcción.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3dcc8" w:space="0" w:sz="4" w:val="single"/>
              <w:left w:color="e3dcc8" w:space="0" w:sz="4" w:val="single"/>
              <w:bottom w:color="e3dcc8" w:space="0" w:sz="4" w:val="single"/>
              <w:right w:color="e3dcc8" w:space="0" w:sz="4" w:val="single"/>
            </w:tcBorders>
            <w:shd w:fill="f4f1e8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6b5b33"/>
                <w:sz w:val="22"/>
                <w:szCs w:val="22"/>
                <w:rtl w:val="0"/>
              </w:rPr>
              <w:t xml:space="preserve">Cómo usar esta guía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line="264" w:lineRule="auto"/>
              <w:rPr/>
            </w:pPr>
            <w:r w:rsidDel="00000000" w:rsidR="00000000" w:rsidRPr="00000000">
              <w:rPr>
                <w:color w:val="5a4e30"/>
                <w:sz w:val="21"/>
                <w:szCs w:val="21"/>
                <w:rtl w:val="0"/>
              </w:rPr>
              <w:t xml:space="preserve">Los recuadros azules traen un ejemplo resuelto que explica qué se espera en cada campo; léelos como referencia. Los recuadros en blanco son para que tu equipo complete con su propio proyecto. El ejemplo a lo largo de la guía es un asistente de mesa de ayuda interna.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pStyle w:val="Heading1"/>
        <w:spacing w:after="120" w:before="320" w:lineRule="auto"/>
        <w:rPr/>
      </w:pPr>
      <w:r w:rsidDel="00000000" w:rsidR="00000000" w:rsidRPr="00000000">
        <w:rPr>
          <w:rtl w:val="0"/>
        </w:rPr>
        <w:t xml:space="preserve">Parte A · Entender la feature</w:t>
      </w:r>
    </w:p>
    <w:p w:rsidR="00000000" w:rsidDel="00000000" w:rsidP="00000000" w:rsidRDefault="00000000" w:rsidRPr="00000000" w14:paraId="00000008">
      <w:pPr>
        <w:spacing w:after="160" w:line="276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Como el proyecto del curso tiene un alcance acotado, trabajarás una sola feature: la que es el núcleo del caso de uso o la que habilita a las demás. Descríbela con precisión, porque todo lo que sigue depende de entender bien qué debe hacer. Define qué recibe como entrada, qué entrega como salida y quién la usa.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Rule="auto"/>
        <w:rPr/>
      </w:pPr>
      <w:r w:rsidDel="00000000" w:rsidR="00000000" w:rsidRPr="00000000">
        <w:rPr>
          <w:b w:val="1"/>
          <w:bCs w:val="1"/>
          <w:color w:val="2e6ca4"/>
          <w:sz w:val="16"/>
          <w:szCs w:val="16"/>
          <w:rtl w:val="0"/>
        </w:rPr>
        <w:t xml:space="preserve">EJEMPLO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d6ea" w:space="0" w:sz="4" w:val="single"/>
              <w:left w:color="c4d6ea" w:space="0" w:sz="4" w:val="single"/>
              <w:bottom w:color="c4d6ea" w:space="0" w:sz="4" w:val="single"/>
              <w:right w:color="c4d6ea" w:space="0" w:sz="4" w:val="single"/>
            </w:tcBorders>
            <w:shd w:fill="eaf1f8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A">
            <w:pPr>
              <w:spacing w:after="80" w:line="264" w:lineRule="auto"/>
              <w:rPr/>
            </w:pPr>
            <w:r w:rsidDel="00000000" w:rsidR="00000000" w:rsidRPr="00000000">
              <w:rPr>
                <w:color w:val="30435a"/>
                <w:sz w:val="21"/>
                <w:szCs w:val="21"/>
                <w:rtl w:val="0"/>
              </w:rPr>
              <w:t xml:space="preserve">Feature: Asistente conversacional de soporte que responde preguntas de los agentes humanos y consulta el estado de tickets. Es el núcleo del producto y habilita después la sugerencia automática de respuesta.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line="264" w:lineRule="auto"/>
              <w:rPr/>
            </w:pPr>
            <w:r w:rsidDel="00000000" w:rsidR="00000000" w:rsidRPr="00000000">
              <w:rPr>
                <w:color w:val="30435a"/>
                <w:sz w:val="21"/>
                <w:szCs w:val="21"/>
                <w:rtl w:val="0"/>
              </w:rPr>
              <w:t xml:space="preserve">Entrada: una pregunta en lenguaje natural del agente de soporte. Salida: una respuesta con las fuentes citadas y, cuando aplica, el estado del ticket. Usuario: el agente de la mesa de ayuda.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2e6ca4"/>
          <w:sz w:val="16"/>
          <w:szCs w:val="16"/>
          <w:rtl w:val="0"/>
        </w:rPr>
        <w:t xml:space="preserve">TU RESPUESTA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100" w:hRule="atLeast"/>
          <w:tblHeader w:val="0"/>
        </w:trPr>
        <w:tc>
          <w:tcPr>
            <w:tcBorders>
              <w:top w:color="9db7d1" w:space="0" w:sz="4" w:val="single"/>
              <w:left w:color="9db7d1" w:space="0" w:sz="4" w:val="single"/>
              <w:bottom w:color="9db7d1" w:space="0" w:sz="4" w:val="single"/>
              <w:right w:color="9db7d1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D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Feature: Catalogador inteligente de fotografías se encarga de extraer metadatos EXIF, analizar contenido visual y notas para crear keywords y rellenar </w:t>
            </w:r>
            <w:r w:rsidDel="00000000" w:rsidR="00000000" w:rsidRPr="00000000">
              <w:rPr>
                <w:color w:val="000000"/>
                <w:rtl w:val="0"/>
              </w:rPr>
              <w:t xml:space="preserve"> el formulario de registro de una fotografía antes de ser publicada.</w:t>
            </w:r>
          </w:p>
          <w:p w:rsidR="00000000" w:rsidDel="00000000" w:rsidP="00000000" w:rsidRDefault="00000000" w:rsidRPr="00000000" w14:paraId="0000000E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Entrada: Imágenes de la sesión de fotos, metadatos EXIF y notas del fotógrafo.</w:t>
            </w:r>
          </w:p>
          <w:p w:rsidR="00000000" w:rsidDel="00000000" w:rsidP="00000000" w:rsidRDefault="00000000" w:rsidRPr="00000000" w14:paraId="0000001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Salida: Objeto JSON estructurado con metadatos EXIF, keywords, sujeto, ambiente, clasificación comercial y score de confianza</w:t>
            </w:r>
          </w:p>
          <w:p w:rsidR="00000000" w:rsidDel="00000000" w:rsidP="00000000" w:rsidRDefault="00000000" w:rsidRPr="00000000" w14:paraId="0000001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Usuario: Fotógrafos independientes y Editores de agencias fotográficas</w:t>
            </w:r>
          </w:p>
        </w:tc>
      </w:tr>
    </w:tbl>
    <w:p w:rsidR="00000000" w:rsidDel="00000000" w:rsidP="00000000" w:rsidRDefault="00000000" w:rsidRPr="00000000" w14:paraId="00000012">
      <w:pPr>
        <w:pStyle w:val="Heading1"/>
        <w:spacing w:after="120" w:before="360" w:lineRule="auto"/>
        <w:rPr/>
      </w:pPr>
      <w:r w:rsidDel="00000000" w:rsidR="00000000" w:rsidRPr="00000000">
        <w:rPr>
          <w:rtl w:val="0"/>
        </w:rPr>
        <w:t xml:space="preserve">Parte B · Diseñar la arquitectura cognitiva</w:t>
      </w:r>
    </w:p>
    <w:p w:rsidR="00000000" w:rsidDel="00000000" w:rsidP="00000000" w:rsidRDefault="00000000" w:rsidRPr="00000000" w14:paraId="00000013">
      <w:pPr>
        <w:spacing w:after="160" w:line="276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La arquitectura cognitiva responde a cómo razona tu sistema. Se define en cuatro pasos encadenados: cuánta autonomía necesita, en qué agentes o roles se divide, qué herramientas puede invocar, y a qué fuentes se conectan esas herramientas. Al final los reúnes en un mapa.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00" w:before="200" w:lineRule="auto"/>
        <w:rPr/>
      </w:pPr>
      <w:r w:rsidDel="00000000" w:rsidR="00000000" w:rsidRPr="00000000">
        <w:rPr>
          <w:rtl w:val="0"/>
        </w:rPr>
        <w:t xml:space="preserve">B.1 ¿Cuánta autonomía necesita?</w:t>
      </w:r>
    </w:p>
    <w:p w:rsidR="00000000" w:rsidDel="00000000" w:rsidP="00000000" w:rsidRDefault="00000000" w:rsidRPr="00000000" w14:paraId="00000015">
      <w:pPr>
        <w:spacing w:after="160" w:line="276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Lo primero es decidir cuánto control le entregas al modelo. Hay cuatro niveles, de menor a mayor autonomía. Elige el más simple que resuelva tu feature: más autonomía da flexibilidad, pero suma costo, latencia y puntos de falla.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3dcc8" w:space="0" w:sz="4" w:val="single"/>
              <w:left w:color="e3dcc8" w:space="0" w:sz="4" w:val="single"/>
              <w:bottom w:color="e3dcc8" w:space="0" w:sz="4" w:val="single"/>
              <w:right w:color="e3dcc8" w:space="0" w:sz="4" w:val="single"/>
            </w:tcBorders>
            <w:shd w:fill="f4f1e8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16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6b5b33"/>
                <w:sz w:val="22"/>
                <w:szCs w:val="22"/>
                <w:rtl w:val="0"/>
              </w:rPr>
              <w:t xml:space="preserve">Los cuatro niveles de autonomía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50" w:line="256" w:lineRule="auto"/>
              <w:rPr/>
            </w:pPr>
            <w:r w:rsidDel="00000000" w:rsidR="00000000" w:rsidRPr="00000000">
              <w:rPr>
                <w:b w:val="1"/>
                <w:bCs w:val="1"/>
                <w:color w:val="5a4e30"/>
                <w:sz w:val="20"/>
                <w:szCs w:val="20"/>
                <w:rtl w:val="0"/>
              </w:rPr>
              <w:t xml:space="preserve">Llamada simple — </w:t>
            </w:r>
            <w:r w:rsidDel="00000000" w:rsidR="00000000" w:rsidRPr="00000000">
              <w:rPr>
                <w:color w:val="5a4e30"/>
                <w:sz w:val="20"/>
                <w:szCs w:val="20"/>
                <w:rtl w:val="0"/>
              </w:rPr>
              <w:t xml:space="preserve">El código controla todo; el modelo hace un solo paso, como clasificar, resumir o extraer.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50" w:line="256" w:lineRule="auto"/>
              <w:rPr/>
            </w:pPr>
            <w:r w:rsidDel="00000000" w:rsidR="00000000" w:rsidRPr="00000000">
              <w:rPr>
                <w:b w:val="1"/>
                <w:bCs w:val="1"/>
                <w:color w:val="5a4e30"/>
                <w:sz w:val="20"/>
                <w:szCs w:val="20"/>
                <w:rtl w:val="0"/>
              </w:rPr>
              <w:t xml:space="preserve">Workflow o cadena — </w:t>
            </w:r>
            <w:r w:rsidDel="00000000" w:rsidR="00000000" w:rsidRPr="00000000">
              <w:rPr>
                <w:color w:val="5a4e30"/>
                <w:sz w:val="20"/>
                <w:szCs w:val="20"/>
                <w:rtl w:val="0"/>
              </w:rPr>
              <w:t xml:space="preserve">Pasos fijos en un orden predefinido; el modelo se invoca en cada paso (por ejemplo RAG: recuperar y luego generar).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50" w:line="256" w:lineRule="auto"/>
              <w:rPr/>
            </w:pPr>
            <w:r w:rsidDel="00000000" w:rsidR="00000000" w:rsidRPr="00000000">
              <w:rPr>
                <w:b w:val="1"/>
                <w:bCs w:val="1"/>
                <w:color w:val="5a4e30"/>
                <w:sz w:val="20"/>
                <w:szCs w:val="20"/>
                <w:rtl w:val="0"/>
              </w:rPr>
              <w:t xml:space="preserve">Agente único — </w:t>
            </w:r>
            <w:r w:rsidDel="00000000" w:rsidR="00000000" w:rsidRPr="00000000">
              <w:rPr>
                <w:color w:val="5a4e30"/>
                <w:sz w:val="20"/>
                <w:szCs w:val="20"/>
                <w:rtl w:val="0"/>
              </w:rPr>
              <w:t xml:space="preserve">El modelo decide en un ciclo qué herramientas usar y cuándo terminar, según la entrada.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50" w:line="256" w:lineRule="auto"/>
              <w:rPr/>
            </w:pPr>
            <w:r w:rsidDel="00000000" w:rsidR="00000000" w:rsidRPr="00000000">
              <w:rPr>
                <w:b w:val="1"/>
                <w:bCs w:val="1"/>
                <w:color w:val="5a4e30"/>
                <w:sz w:val="20"/>
                <w:szCs w:val="20"/>
                <w:rtl w:val="0"/>
              </w:rPr>
              <w:t xml:space="preserve">Multi-agente — </w:t>
            </w:r>
            <w:r w:rsidDel="00000000" w:rsidR="00000000" w:rsidRPr="00000000">
              <w:rPr>
                <w:color w:val="5a4e30"/>
                <w:sz w:val="20"/>
                <w:szCs w:val="20"/>
                <w:rtl w:val="0"/>
              </w:rPr>
              <w:t xml:space="preserve">Varios agentes especializados que se coordinan: un orquestador con trabajadores, o una cadena de roles.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60" w:lineRule="auto"/>
        <w:rPr/>
      </w:pPr>
      <w:r w:rsidDel="00000000" w:rsidR="00000000" w:rsidRPr="00000000">
        <w:rPr>
          <w:b w:val="1"/>
          <w:bCs w:val="1"/>
          <w:color w:val="2e6ca4"/>
          <w:sz w:val="16"/>
          <w:szCs w:val="16"/>
          <w:rtl w:val="0"/>
        </w:rPr>
        <w:t xml:space="preserve">EJEMPLO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d6ea" w:space="0" w:sz="4" w:val="single"/>
              <w:left w:color="c4d6ea" w:space="0" w:sz="4" w:val="single"/>
              <w:bottom w:color="c4d6ea" w:space="0" w:sz="4" w:val="single"/>
              <w:right w:color="c4d6ea" w:space="0" w:sz="4" w:val="single"/>
            </w:tcBorders>
            <w:shd w:fill="eaf1f8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1C">
            <w:pPr>
              <w:spacing w:after="0" w:line="264" w:lineRule="auto"/>
              <w:rPr/>
            </w:pPr>
            <w:r w:rsidDel="00000000" w:rsidR="00000000" w:rsidRPr="00000000">
              <w:rPr>
                <w:color w:val="30435a"/>
                <w:sz w:val="21"/>
                <w:szCs w:val="21"/>
                <w:rtl w:val="0"/>
              </w:rPr>
              <w:t xml:space="preserve">Nivel elegido: agente único. La respuesta depende de la pregunta —a veces hay que buscar en la base de conocimiento, a veces consultar el estado de un ticket, a veces ambas—, así que el modelo debe decidir sobre la marcha qué herramientas invocar. No es multi-agente porque no hay subtareas heterogéneas que justifiquen especializar varios agentes.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2e6ca4"/>
          <w:sz w:val="16"/>
          <w:szCs w:val="16"/>
          <w:rtl w:val="0"/>
        </w:rPr>
        <w:t xml:space="preserve">TU RESPUESTA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9db7d1" w:space="0" w:sz="4" w:val="single"/>
              <w:left w:color="9db7d1" w:space="0" w:sz="4" w:val="single"/>
              <w:bottom w:color="9db7d1" w:space="0" w:sz="4" w:val="single"/>
              <w:right w:color="9db7d1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Nivel elegido: Workflow. El proceso sigue una secuencia predefinida. Se ingresa las fotos y notas, se extrae los metadatos EXIF con un script, se llama al modelo para obtener keywords, sujetos y ambiente de la imagen, se genera la categoria principal, se genera un JSON con los datos y se muestra en una interfaz para su aprobación.</w:t>
            </w:r>
          </w:p>
        </w:tc>
      </w:tr>
    </w:tbl>
    <w:p w:rsidR="00000000" w:rsidDel="00000000" w:rsidP="00000000" w:rsidRDefault="00000000" w:rsidRPr="00000000" w14:paraId="0000001F">
      <w:pPr>
        <w:pStyle w:val="Heading2"/>
        <w:spacing w:after="100" w:before="280" w:lineRule="auto"/>
        <w:rPr/>
      </w:pPr>
      <w:r w:rsidDel="00000000" w:rsidR="00000000" w:rsidRPr="00000000">
        <w:rPr>
          <w:rtl w:val="0"/>
        </w:rPr>
        <w:t xml:space="preserve">B.2 Agentes y responsabilidades</w:t>
      </w:r>
    </w:p>
    <w:p w:rsidR="00000000" w:rsidDel="00000000" w:rsidP="00000000" w:rsidRDefault="00000000" w:rsidRPr="00000000" w14:paraId="00000020">
      <w:pPr>
        <w:spacing w:after="160" w:line="276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Si elegiste un agente o varios, nómbralos y define la responsabilidad de cada uno en una frase. Un solo agente bien definido es una respuesta válida y frecuente; divide en varios solo cuando haya responsabilidades claramente distintas que convenga separar.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lineRule="auto"/>
        <w:rPr/>
      </w:pPr>
      <w:r w:rsidDel="00000000" w:rsidR="00000000" w:rsidRPr="00000000">
        <w:rPr>
          <w:b w:val="1"/>
          <w:bCs w:val="1"/>
          <w:color w:val="2e6ca4"/>
          <w:sz w:val="16"/>
          <w:szCs w:val="16"/>
          <w:rtl w:val="0"/>
        </w:rPr>
        <w:t xml:space="preserve">EJEMPLO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c9dd" w:space="0" w:sz="4" w:val="single"/>
              <w:left w:color="b7c9dd" w:space="0" w:sz="4" w:val="single"/>
              <w:bottom w:color="b7c9dd" w:space="0" w:sz="4" w:val="single"/>
              <w:right w:color="b7c9dd" w:space="0" w:sz="4" w:val="single"/>
            </w:tcBorders>
            <w:shd w:fill="2e6ca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Agente / 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d" w:space="0" w:sz="4" w:val="single"/>
              <w:left w:color="b7c9dd" w:space="0" w:sz="4" w:val="single"/>
              <w:bottom w:color="b7c9dd" w:space="0" w:sz="4" w:val="single"/>
              <w:right w:color="b7c9dd" w:space="0" w:sz="4" w:val="single"/>
            </w:tcBorders>
            <w:shd w:fill="2e6ca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eaf1f8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color w:val="30435a"/>
                <w:sz w:val="20"/>
                <w:szCs w:val="20"/>
                <w:rtl w:val="0"/>
              </w:rPr>
              <w:t xml:space="preserve">Asistente de soporte (agente único)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eaf1f8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color w:val="30435a"/>
                <w:sz w:val="20"/>
                <w:szCs w:val="20"/>
                <w:rtl w:val="0"/>
              </w:rPr>
              <w:t xml:space="preserve">Interpreta la pregunta, decide qué herramientas invocar y compone la respuesta final con sus fuentes.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2e6ca4"/>
          <w:sz w:val="16"/>
          <w:szCs w:val="16"/>
          <w:rtl w:val="0"/>
        </w:rPr>
        <w:t xml:space="preserve">TUS AGENTES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c9dd" w:space="0" w:sz="4" w:val="single"/>
              <w:left w:color="b7c9dd" w:space="0" w:sz="4" w:val="single"/>
              <w:bottom w:color="b7c9dd" w:space="0" w:sz="4" w:val="single"/>
              <w:right w:color="b7c9dd" w:space="0" w:sz="4" w:val="single"/>
            </w:tcBorders>
            <w:shd w:fill="2e6ca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Agente / 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d" w:space="0" w:sz="4" w:val="single"/>
              <w:left w:color="b7c9dd" w:space="0" w:sz="4" w:val="single"/>
              <w:bottom w:color="b7c9dd" w:space="0" w:sz="4" w:val="single"/>
              <w:right w:color="b7c9dd" w:space="0" w:sz="4" w:val="single"/>
            </w:tcBorders>
            <w:shd w:fill="2e6ca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9db7d1" w:space="0" w:sz="4" w:val="single"/>
              <w:left w:color="9db7d1" w:space="0" w:sz="4" w:val="single"/>
              <w:bottom w:color="9db7d1" w:space="0" w:sz="4" w:val="single"/>
              <w:right w:color="9db7d1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Analista de imágenes</w:t>
            </w:r>
          </w:p>
        </w:tc>
        <w:tc>
          <w:tcPr>
            <w:tcBorders>
              <w:top w:color="9db7d1" w:space="0" w:sz="4" w:val="single"/>
              <w:left w:color="9db7d1" w:space="0" w:sz="4" w:val="single"/>
              <w:bottom w:color="9db7d1" w:space="0" w:sz="4" w:val="single"/>
              <w:right w:color="9db7d1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Analiza las imágenes y las notas del fotógrafo para identificar el sujeto, ambiente y colores. Genera las keywords y asigna la categoría comercial de la imagen.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9db7d1" w:space="0" w:sz="4" w:val="single"/>
              <w:left w:color="9db7d1" w:space="0" w:sz="4" w:val="single"/>
              <w:bottom w:color="9db7d1" w:space="0" w:sz="4" w:val="single"/>
              <w:right w:color="9db7d1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1" w:space="0" w:sz="4" w:val="single"/>
              <w:left w:color="9db7d1" w:space="0" w:sz="4" w:val="single"/>
              <w:bottom w:color="9db7d1" w:space="0" w:sz="4" w:val="single"/>
              <w:right w:color="9db7d1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9db7d1" w:space="0" w:sz="4" w:val="single"/>
              <w:left w:color="9db7d1" w:space="0" w:sz="4" w:val="single"/>
              <w:bottom w:color="9db7d1" w:space="0" w:sz="4" w:val="single"/>
              <w:right w:color="9db7d1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1" w:space="0" w:sz="4" w:val="single"/>
              <w:left w:color="9db7d1" w:space="0" w:sz="4" w:val="single"/>
              <w:bottom w:color="9db7d1" w:space="0" w:sz="4" w:val="single"/>
              <w:right w:color="9db7d1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9db7d1" w:space="0" w:sz="4" w:val="single"/>
              <w:left w:color="9db7d1" w:space="0" w:sz="4" w:val="single"/>
              <w:bottom w:color="9db7d1" w:space="0" w:sz="4" w:val="single"/>
              <w:right w:color="9db7d1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1" w:space="0" w:sz="4" w:val="single"/>
              <w:left w:color="9db7d1" w:space="0" w:sz="4" w:val="single"/>
              <w:bottom w:color="9db7d1" w:space="0" w:sz="4" w:val="single"/>
              <w:right w:color="9db7d1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pStyle w:val="Heading2"/>
        <w:spacing w:after="100" w:before="280" w:lineRule="auto"/>
        <w:rPr/>
      </w:pPr>
      <w:r w:rsidDel="00000000" w:rsidR="00000000" w:rsidRPr="00000000">
        <w:rPr>
          <w:rtl w:val="0"/>
        </w:rPr>
        <w:t xml:space="preserve">B.3 Herramientas y sus fuentes</w:t>
      </w:r>
    </w:p>
    <w:p w:rsidR="00000000" w:rsidDel="00000000" w:rsidP="00000000" w:rsidRDefault="00000000" w:rsidRPr="00000000" w14:paraId="00000032">
      <w:pPr>
        <w:spacing w:after="160" w:line="276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Una herramienta es una acción que un agente puede invocar: buscar, consultar una API, ejecutar una query, calcular o escribir un registro. Para cada herramienta indica qué hace (qué recibe y qué devuelve) y a qué fuente concreta se conecta, porque la fuente define autenticación, latencia y permisos.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lineRule="auto"/>
        <w:rPr/>
      </w:pPr>
      <w:r w:rsidDel="00000000" w:rsidR="00000000" w:rsidRPr="00000000">
        <w:rPr>
          <w:b w:val="1"/>
          <w:bCs w:val="1"/>
          <w:color w:val="2e6ca4"/>
          <w:sz w:val="16"/>
          <w:szCs w:val="16"/>
          <w:rtl w:val="0"/>
        </w:rPr>
        <w:t xml:space="preserve">EJEMPLO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960"/>
        <w:gridCol w:w="3000"/>
        <w:tblGridChange w:id="0">
          <w:tblGrid>
            <w:gridCol w:w="2400"/>
            <w:gridCol w:w="3960"/>
            <w:gridCol w:w="3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c9dd" w:space="0" w:sz="4" w:val="single"/>
              <w:left w:color="b7c9dd" w:space="0" w:sz="4" w:val="single"/>
              <w:bottom w:color="b7c9dd" w:space="0" w:sz="4" w:val="single"/>
              <w:right w:color="b7c9dd" w:space="0" w:sz="4" w:val="single"/>
            </w:tcBorders>
            <w:shd w:fill="2e6ca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Herramienta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d" w:space="0" w:sz="4" w:val="single"/>
              <w:left w:color="b7c9dd" w:space="0" w:sz="4" w:val="single"/>
              <w:bottom w:color="b7c9dd" w:space="0" w:sz="4" w:val="single"/>
              <w:right w:color="b7c9dd" w:space="0" w:sz="4" w:val="single"/>
            </w:tcBorders>
            <w:shd w:fill="2e6ca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sdt>
              <w:sdtPr>
                <w:id w:val="1170076681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Qué hace (recibe → devuelve)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d" w:space="0" w:sz="4" w:val="single"/>
              <w:left w:color="b7c9dd" w:space="0" w:sz="4" w:val="single"/>
              <w:bottom w:color="b7c9dd" w:space="0" w:sz="4" w:val="single"/>
              <w:right w:color="b7c9dd" w:space="0" w:sz="4" w:val="single"/>
            </w:tcBorders>
            <w:shd w:fill="2e6ca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Fuente a la que se conecta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eaf1f8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color w:val="30435a"/>
                <w:sz w:val="20"/>
                <w:szCs w:val="20"/>
                <w:rtl w:val="0"/>
              </w:rPr>
              <w:t xml:space="preserve">buscar_kb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eaf1f8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sdt>
              <w:sdtPr>
                <w:id w:val="-2124466253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0435a"/>
                    <w:sz w:val="20"/>
                    <w:szCs w:val="20"/>
                    <w:rtl w:val="0"/>
                  </w:rPr>
                  <w:t xml:space="preserve">Recibe la consulta → devuelve los fragmentos más relevantes.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eaf1f8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color w:val="30435a"/>
                <w:sz w:val="20"/>
                <w:szCs w:val="20"/>
                <w:rtl w:val="0"/>
              </w:rPr>
              <w:t xml:space="preserve">Vector store (pgvector) sobre la base de conocimiento.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eaf1f8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color w:val="30435a"/>
                <w:sz w:val="20"/>
                <w:szCs w:val="20"/>
                <w:rtl w:val="0"/>
              </w:rPr>
              <w:t xml:space="preserve">consultar_ticket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eaf1f8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sdt>
              <w:sdtPr>
                <w:id w:val="1545771011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0435a"/>
                    <w:sz w:val="20"/>
                    <w:szCs w:val="20"/>
                    <w:rtl w:val="0"/>
                  </w:rPr>
                  <w:t xml:space="preserve">Recibe un ID de ticket → devuelve su estado y detalle.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eaf1f8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color w:val="30435a"/>
                <w:sz w:val="20"/>
                <w:szCs w:val="20"/>
                <w:rtl w:val="0"/>
              </w:rPr>
              <w:t xml:space="preserve">API REST del sistema de tickets (auth por token).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eaf1f8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color w:val="30435a"/>
                <w:sz w:val="20"/>
                <w:szCs w:val="20"/>
                <w:rtl w:val="0"/>
              </w:rPr>
              <w:t xml:space="preserve">escalar_ticket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eaf1f8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sdt>
              <w:sdtPr>
                <w:id w:val="1709717145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0435a"/>
                    <w:sz w:val="20"/>
                    <w:szCs w:val="20"/>
                    <w:rtl w:val="0"/>
                  </w:rPr>
                  <w:t xml:space="preserve">Recibe ID y motivo → registra una nota de escalamiento.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eaf1f8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color w:val="30435a"/>
                <w:sz w:val="20"/>
                <w:szCs w:val="20"/>
                <w:rtl w:val="0"/>
              </w:rPr>
              <w:t xml:space="preserve">API REST del sistema de tickets (permiso de escritura).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2e6ca4"/>
          <w:sz w:val="16"/>
          <w:szCs w:val="16"/>
          <w:rtl w:val="0"/>
        </w:rPr>
        <w:t xml:space="preserve">TUS HERRAMIENTAS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960"/>
        <w:gridCol w:w="3000"/>
        <w:tblGridChange w:id="0">
          <w:tblGrid>
            <w:gridCol w:w="2400"/>
            <w:gridCol w:w="3960"/>
            <w:gridCol w:w="3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c9dd" w:space="0" w:sz="4" w:val="single"/>
              <w:left w:color="b7c9dd" w:space="0" w:sz="4" w:val="single"/>
              <w:bottom w:color="b7c9dd" w:space="0" w:sz="4" w:val="single"/>
              <w:right w:color="b7c9dd" w:space="0" w:sz="4" w:val="single"/>
            </w:tcBorders>
            <w:shd w:fill="2e6ca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Herramienta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d" w:space="0" w:sz="4" w:val="single"/>
              <w:left w:color="b7c9dd" w:space="0" w:sz="4" w:val="single"/>
              <w:bottom w:color="b7c9dd" w:space="0" w:sz="4" w:val="single"/>
              <w:right w:color="b7c9dd" w:space="0" w:sz="4" w:val="single"/>
            </w:tcBorders>
            <w:shd w:fill="2e6ca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sdt>
              <w:sdtPr>
                <w:id w:val="-98770720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Qué hace (recibe → devuelve)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d" w:space="0" w:sz="4" w:val="single"/>
              <w:left w:color="b7c9dd" w:space="0" w:sz="4" w:val="single"/>
              <w:bottom w:color="b7c9dd" w:space="0" w:sz="4" w:val="single"/>
              <w:right w:color="b7c9dd" w:space="0" w:sz="4" w:val="single"/>
            </w:tcBorders>
            <w:shd w:fill="2e6ca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Fuente a la que se conecta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9db7d1" w:space="0" w:sz="4" w:val="single"/>
              <w:left w:color="9db7d1" w:space="0" w:sz="4" w:val="single"/>
              <w:bottom w:color="9db7d1" w:space="0" w:sz="4" w:val="single"/>
              <w:right w:color="9db7d1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1" w:space="0" w:sz="4" w:val="single"/>
              <w:left w:color="9db7d1" w:space="0" w:sz="4" w:val="single"/>
              <w:bottom w:color="9db7d1" w:space="0" w:sz="4" w:val="single"/>
              <w:right w:color="9db7d1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1" w:space="0" w:sz="4" w:val="single"/>
              <w:left w:color="9db7d1" w:space="0" w:sz="4" w:val="single"/>
              <w:bottom w:color="9db7d1" w:space="0" w:sz="4" w:val="single"/>
              <w:right w:color="9db7d1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9db7d1" w:space="0" w:sz="4" w:val="single"/>
              <w:left w:color="9db7d1" w:space="0" w:sz="4" w:val="single"/>
              <w:bottom w:color="9db7d1" w:space="0" w:sz="4" w:val="single"/>
              <w:right w:color="9db7d1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1" w:space="0" w:sz="4" w:val="single"/>
              <w:left w:color="9db7d1" w:space="0" w:sz="4" w:val="single"/>
              <w:bottom w:color="9db7d1" w:space="0" w:sz="4" w:val="single"/>
              <w:right w:color="9db7d1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1" w:space="0" w:sz="4" w:val="single"/>
              <w:left w:color="9db7d1" w:space="0" w:sz="4" w:val="single"/>
              <w:bottom w:color="9db7d1" w:space="0" w:sz="4" w:val="single"/>
              <w:right w:color="9db7d1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9db7d1" w:space="0" w:sz="4" w:val="single"/>
              <w:left w:color="9db7d1" w:space="0" w:sz="4" w:val="single"/>
              <w:bottom w:color="9db7d1" w:space="0" w:sz="4" w:val="single"/>
              <w:right w:color="9db7d1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1" w:space="0" w:sz="4" w:val="single"/>
              <w:left w:color="9db7d1" w:space="0" w:sz="4" w:val="single"/>
              <w:bottom w:color="9db7d1" w:space="0" w:sz="4" w:val="single"/>
              <w:right w:color="9db7d1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1" w:space="0" w:sz="4" w:val="single"/>
              <w:left w:color="9db7d1" w:space="0" w:sz="4" w:val="single"/>
              <w:bottom w:color="9db7d1" w:space="0" w:sz="4" w:val="single"/>
              <w:right w:color="9db7d1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9db7d1" w:space="0" w:sz="4" w:val="single"/>
              <w:left w:color="9db7d1" w:space="0" w:sz="4" w:val="single"/>
              <w:bottom w:color="9db7d1" w:space="0" w:sz="4" w:val="single"/>
              <w:right w:color="9db7d1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1" w:space="0" w:sz="4" w:val="single"/>
              <w:left w:color="9db7d1" w:space="0" w:sz="4" w:val="single"/>
              <w:bottom w:color="9db7d1" w:space="0" w:sz="4" w:val="single"/>
              <w:right w:color="9db7d1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1" w:space="0" w:sz="4" w:val="single"/>
              <w:left w:color="9db7d1" w:space="0" w:sz="4" w:val="single"/>
              <w:bottom w:color="9db7d1" w:space="0" w:sz="4" w:val="single"/>
              <w:right w:color="9db7d1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9db7d1" w:space="0" w:sz="4" w:val="single"/>
              <w:left w:color="9db7d1" w:space="0" w:sz="4" w:val="single"/>
              <w:bottom w:color="9db7d1" w:space="0" w:sz="4" w:val="single"/>
              <w:right w:color="9db7d1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1" w:space="0" w:sz="4" w:val="single"/>
              <w:left w:color="9db7d1" w:space="0" w:sz="4" w:val="single"/>
              <w:bottom w:color="9db7d1" w:space="0" w:sz="4" w:val="single"/>
              <w:right w:color="9db7d1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1" w:space="0" w:sz="4" w:val="single"/>
              <w:left w:color="9db7d1" w:space="0" w:sz="4" w:val="single"/>
              <w:bottom w:color="9db7d1" w:space="0" w:sz="4" w:val="single"/>
              <w:right w:color="9db7d1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pStyle w:val="Heading2"/>
        <w:spacing w:after="100" w:before="280" w:lineRule="auto"/>
        <w:rPr/>
      </w:pPr>
      <w:r w:rsidDel="00000000" w:rsidR="00000000" w:rsidRPr="00000000">
        <w:rPr>
          <w:rtl w:val="0"/>
        </w:rPr>
        <w:t xml:space="preserve">B.4 Mapa de la arquitectura cognitiva</w:t>
      </w:r>
    </w:p>
    <w:p w:rsidR="00000000" w:rsidDel="00000000" w:rsidP="00000000" w:rsidRDefault="00000000" w:rsidRPr="00000000" w14:paraId="00000054">
      <w:pPr>
        <w:spacing w:after="160" w:line="276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Reúne todo en un solo mapa. Asigna a cada agente las herramientas que usa y dibuja el flujo: quién recibe la entrada, cómo decide, en qué orden llama a las herramientas y cómo compone la salida. Este diagrama es el entregable que guiará la construcción en las próximas sesiones.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60" w:lineRule="auto"/>
        <w:rPr/>
      </w:pPr>
      <w:r w:rsidDel="00000000" w:rsidR="00000000" w:rsidRPr="00000000">
        <w:rPr>
          <w:b w:val="1"/>
          <w:bCs w:val="1"/>
          <w:color w:val="2e6ca4"/>
          <w:sz w:val="16"/>
          <w:szCs w:val="16"/>
          <w:rtl w:val="0"/>
        </w:rPr>
        <w:t xml:space="preserve">EJEMPLO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c9dd" w:space="0" w:sz="4" w:val="single"/>
              <w:left w:color="b7c9dd" w:space="0" w:sz="4" w:val="single"/>
              <w:bottom w:color="b7c9dd" w:space="0" w:sz="4" w:val="single"/>
              <w:right w:color="b7c9dd" w:space="0" w:sz="4" w:val="single"/>
            </w:tcBorders>
            <w:shd w:fill="2e6ca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Agente / 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d" w:space="0" w:sz="4" w:val="single"/>
              <w:left w:color="b7c9dd" w:space="0" w:sz="4" w:val="single"/>
              <w:bottom w:color="b7c9dd" w:space="0" w:sz="4" w:val="single"/>
              <w:right w:color="b7c9dd" w:space="0" w:sz="4" w:val="single"/>
            </w:tcBorders>
            <w:shd w:fill="2e6ca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Herramientas que usa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eaf1f8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color w:val="30435a"/>
                <w:sz w:val="20"/>
                <w:szCs w:val="20"/>
                <w:rtl w:val="0"/>
              </w:rPr>
              <w:t xml:space="preserve">Asistente de soporte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eaf1f8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color w:val="30435a"/>
                <w:sz w:val="20"/>
                <w:szCs w:val="20"/>
                <w:rtl w:val="0"/>
              </w:rPr>
              <w:t xml:space="preserve">buscar_kb, consultar_ticket, escalar_ticket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d6ea" w:space="0" w:sz="4" w:val="single"/>
              <w:left w:color="c4d6ea" w:space="0" w:sz="4" w:val="single"/>
              <w:bottom w:color="c4d6ea" w:space="0" w:sz="4" w:val="single"/>
              <w:right w:color="c4d6ea" w:space="0" w:sz="4" w:val="single"/>
            </w:tcBorders>
            <w:shd w:fill="eaf1f8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5A">
            <w:pPr>
              <w:spacing w:after="0" w:line="264" w:lineRule="auto"/>
              <w:rPr/>
            </w:pPr>
            <w:r w:rsidDel="00000000" w:rsidR="00000000" w:rsidRPr="00000000">
              <w:rPr>
                <w:color w:val="30435a"/>
                <w:sz w:val="21"/>
                <w:szCs w:val="21"/>
                <w:rtl w:val="0"/>
              </w:rPr>
              <w:t xml:space="preserve">Flujo: el agente de soporte envía la pregunta al Asistente; el Asistente decide qué necesita, invoca buscar_kb o consultar_ticket (o ambas), compone la respuesta con las fuentes citadas y la devuelve; si no puede resolver, usa escalar_ticket para derivar el caso.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2e6ca4"/>
          <w:sz w:val="16"/>
          <w:szCs w:val="16"/>
          <w:rtl w:val="0"/>
        </w:rPr>
        <w:t xml:space="preserve">TU MAPA: ASIGNACIÓN DE HERRAMIENTAS POR AGENTE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c9dd" w:space="0" w:sz="4" w:val="single"/>
              <w:left w:color="b7c9dd" w:space="0" w:sz="4" w:val="single"/>
              <w:bottom w:color="b7c9dd" w:space="0" w:sz="4" w:val="single"/>
              <w:right w:color="b7c9dd" w:space="0" w:sz="4" w:val="single"/>
            </w:tcBorders>
            <w:shd w:fill="2e6ca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Agente / 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d" w:space="0" w:sz="4" w:val="single"/>
              <w:left w:color="b7c9dd" w:space="0" w:sz="4" w:val="single"/>
              <w:bottom w:color="b7c9dd" w:space="0" w:sz="4" w:val="single"/>
              <w:right w:color="b7c9dd" w:space="0" w:sz="4" w:val="single"/>
            </w:tcBorders>
            <w:shd w:fill="2e6ca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Herramientas que usa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9db7d1" w:space="0" w:sz="4" w:val="single"/>
              <w:left w:color="9db7d1" w:space="0" w:sz="4" w:val="single"/>
              <w:bottom w:color="9db7d1" w:space="0" w:sz="4" w:val="single"/>
              <w:right w:color="9db7d1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1" w:space="0" w:sz="4" w:val="single"/>
              <w:left w:color="9db7d1" w:space="0" w:sz="4" w:val="single"/>
              <w:bottom w:color="9db7d1" w:space="0" w:sz="4" w:val="single"/>
              <w:right w:color="9db7d1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9db7d1" w:space="0" w:sz="4" w:val="single"/>
              <w:left w:color="9db7d1" w:space="0" w:sz="4" w:val="single"/>
              <w:bottom w:color="9db7d1" w:space="0" w:sz="4" w:val="single"/>
              <w:right w:color="9db7d1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1" w:space="0" w:sz="4" w:val="single"/>
              <w:left w:color="9db7d1" w:space="0" w:sz="4" w:val="single"/>
              <w:bottom w:color="9db7d1" w:space="0" w:sz="4" w:val="single"/>
              <w:right w:color="9db7d1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9db7d1" w:space="0" w:sz="4" w:val="single"/>
              <w:left w:color="9db7d1" w:space="0" w:sz="4" w:val="single"/>
              <w:bottom w:color="9db7d1" w:space="0" w:sz="4" w:val="single"/>
              <w:right w:color="9db7d1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1" w:space="0" w:sz="4" w:val="single"/>
              <w:left w:color="9db7d1" w:space="0" w:sz="4" w:val="single"/>
              <w:bottom w:color="9db7d1" w:space="0" w:sz="4" w:val="single"/>
              <w:right w:color="9db7d1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2e6ca4"/>
          <w:sz w:val="16"/>
          <w:szCs w:val="16"/>
          <w:rtl w:val="0"/>
        </w:rPr>
        <w:t xml:space="preserve">TU DIAGRAMA DE FLUJO (DIBÚJALO AQUÍ)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900" w:hRule="atLeast"/>
          <w:tblHeader w:val="0"/>
        </w:trPr>
        <w:tc>
          <w:tcPr>
            <w:tcBorders>
              <w:top w:color="9db7d1" w:space="0" w:sz="4" w:val="single"/>
              <w:left w:color="9db7d1" w:space="0" w:sz="4" w:val="single"/>
              <w:bottom w:color="9db7d1" w:space="0" w:sz="4" w:val="single"/>
              <w:right w:color="9db7d1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734050" cy="21590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159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jc w:val="center"/>
      <w:rPr/>
    </w:pPr>
    <w:r w:rsidDel="00000000" w:rsidR="00000000" w:rsidRPr="00000000">
      <w:rPr>
        <w:color w:val="707070"/>
        <w:sz w:val="16"/>
        <w:szCs w:val="16"/>
        <w:rtl w:val="0"/>
      </w:rPr>
      <w:t xml:space="preserve">Sesión 2 · Arquitectura cognitiva — AI Data Engineer · BSG Institute    |    Página </w:t>
    </w:r>
    <w:r w:rsidDel="00000000" w:rsidR="00000000" w:rsidRPr="00000000">
      <w:rPr>
        <w:color w:val="70707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c4d6ea" w:space="6" w:sz="8" w:val="single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a5f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6ca4"/>
      <w:sz w:val="25"/>
      <w:szCs w:val="25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22222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n4KOUCq4m/Tg0pyRDc9S20cWNw==">CgMxLjAaHQoBMBIYChYIB0ISEhBBcmlhbCBVbmljb2RlIE1TGh0KATESGAoWCAdCEhIQQXJpYWwgVW5pY29kZSBNUxodCgEyEhgKFggHQhISEEFyaWFsIFVuaWNvZGUgTVMaHQoBMxIYChYIB0ISEhBBcmlhbCBVbmljb2RlIE1TGh0KATQSGAoWCAdCEhIQQXJpYWwgVW5pY29kZSBNUzgAciExcXlDcTZVYTg4WERzSUFkUFQ1bUY4QXQ0TlgzZHBNWXE=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2026-08-11T17:14:16.848Z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