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DB26" w14:textId="77777777" w:rsidR="00B5580A" w:rsidRDefault="00000000">
      <w:pPr>
        <w:pStyle w:val="Ttulo1"/>
      </w:pPr>
      <w:bookmarkStart w:id="0" w:name="X09e7cc7f8db8d62196b94adcd7902e63a927af0"/>
      <w:r>
        <w:t>📉 Análisis e Interpretación: “Radiografía Alimenticia del Curso”</w:t>
      </w:r>
    </w:p>
    <w:p w14:paraId="4E33EE5C" w14:textId="77777777" w:rsidR="00B5580A" w:rsidRDefault="00000000">
      <w:pPr>
        <w:pStyle w:val="FirstParagraph"/>
      </w:pPr>
      <w:r>
        <w:t xml:space="preserve">Una vez generado el </w:t>
      </w:r>
      <w:r>
        <w:rPr>
          <w:b/>
          <w:bCs/>
        </w:rPr>
        <w:t>Diagrama de Caja (Box-plot)</w:t>
      </w:r>
      <w:r>
        <w:t>, el equipo de análisis debe redactar las conclusiones basadas en los cinco puntos estadísticos clave. A continuación, se presenta un ejemplo de interpretación profesional basado en los datos del gráfico obtenido.</w:t>
      </w:r>
    </w:p>
    <w:p w14:paraId="394C2A0C" w14:textId="77777777" w:rsidR="00B5580A" w:rsidRDefault="00000000">
      <w:r>
        <w:pict w14:anchorId="0009F7F3">
          <v:rect id="_x0000_i1025" style="width:0;height:1.5pt" o:hralign="center" o:hrstd="t" o:hr="t"/>
        </w:pict>
      </w:r>
    </w:p>
    <w:p w14:paraId="39F5D40B" w14:textId="77777777" w:rsidR="00B5580A" w:rsidRDefault="00000000">
      <w:pPr>
        <w:pStyle w:val="Ttulo3"/>
      </w:pPr>
      <w:bookmarkStart w:id="1" w:name="resumen-de-estadígrafos-descriptivos"/>
      <w:r>
        <w:t>1. Resumen de Estadígrafos Descriptivos</w:t>
      </w:r>
    </w:p>
    <w:p w14:paraId="26D480FD" w14:textId="77777777" w:rsidR="00B5580A" w:rsidRDefault="00000000">
      <w:pPr>
        <w:pStyle w:val="FirstParagraph"/>
      </w:pPr>
      <w:r>
        <w:t>A partir del gráfico, identificamos los valores que definen el comportamiento del grupo:</w:t>
      </w:r>
    </w:p>
    <w:p w14:paraId="41653F54" w14:textId="77777777" w:rsidR="00B5580A" w:rsidRDefault="00000000">
      <w:pPr>
        <w:pStyle w:val="Compact"/>
        <w:numPr>
          <w:ilvl w:val="0"/>
          <w:numId w:val="2"/>
        </w:numPr>
      </w:pPr>
      <w:r>
        <w:rPr>
          <w:b/>
          <w:bCs/>
        </w:rPr>
        <w:t>Valor Mínimo:</w:t>
      </w:r>
      <w:r>
        <w:t xml:space="preserve"> 2 pts. (Hábito más saludable detectado).</w:t>
      </w:r>
    </w:p>
    <w:p w14:paraId="643B560D" w14:textId="77777777" w:rsidR="00B5580A" w:rsidRDefault="00000000">
      <w:pPr>
        <w:pStyle w:val="Compact"/>
        <w:numPr>
          <w:ilvl w:val="0"/>
          <w:numId w:val="2"/>
        </w:numPr>
      </w:pPr>
      <w:r>
        <w:rPr>
          <w:b/>
          <w:bCs/>
        </w:rPr>
        <w:t>Primer Cuartil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b/>
          <w:bCs/>
        </w:rPr>
        <w:t>):</w:t>
      </w:r>
      <w:r>
        <w:t xml:space="preserve"> 13 pts. (El 25% más saludable está bajo este nivel).</w:t>
      </w:r>
    </w:p>
    <w:p w14:paraId="53611713" w14:textId="77777777" w:rsidR="00B5580A" w:rsidRDefault="00000000">
      <w:pPr>
        <w:pStyle w:val="Compact"/>
        <w:numPr>
          <w:ilvl w:val="0"/>
          <w:numId w:val="2"/>
        </w:numPr>
      </w:pPr>
      <w:r>
        <w:rPr>
          <w:b/>
          <w:bCs/>
        </w:rPr>
        <w:t>Mediana (</w:t>
      </w:r>
      <m:oMath>
        <m:acc>
          <m:accPr>
            <m:chr m:val="̃"/>
            <m:ctrlPr>
              <w:rPr>
                <w:rFonts w:ascii="Cambria Math" w:hAnsi="Cambria Math"/>
              </w:rPr>
            </m:ctrlPr>
          </m:accPr>
          <m:e>
            <m:r>
              <w:rPr>
                <w:rFonts w:ascii="Cambria Math" w:hAnsi="Cambria Math"/>
              </w:rPr>
              <m:t>x</m:t>
            </m:r>
          </m:e>
        </m:acc>
      </m:oMath>
      <w:r>
        <w:rPr>
          <w:b/>
          <w:bCs/>
        </w:rPr>
        <w:t>):</w:t>
      </w:r>
      <w:r>
        <w:t xml:space="preserve"> 19 pts. (Divide al curso en dos grupos exactos del 50%).</w:t>
      </w:r>
    </w:p>
    <w:p w14:paraId="4EBF1263" w14:textId="77777777" w:rsidR="00B5580A" w:rsidRDefault="00000000">
      <w:pPr>
        <w:pStyle w:val="Compact"/>
        <w:numPr>
          <w:ilvl w:val="0"/>
          <w:numId w:val="2"/>
        </w:numPr>
      </w:pPr>
      <w:r>
        <w:rPr>
          <w:b/>
          <w:bCs/>
        </w:rPr>
        <w:t>Tercer Cuartil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b/>
          <w:bCs/>
        </w:rPr>
        <w:t>):</w:t>
      </w:r>
      <w:r>
        <w:t xml:space="preserve"> 24,5 pts. (El 25% con mayor riesgo está sobre este nivel).</w:t>
      </w:r>
    </w:p>
    <w:p w14:paraId="13313BAE" w14:textId="77777777" w:rsidR="00B5580A" w:rsidRDefault="00000000">
      <w:pPr>
        <w:pStyle w:val="Compact"/>
        <w:numPr>
          <w:ilvl w:val="0"/>
          <w:numId w:val="2"/>
        </w:numPr>
      </w:pPr>
      <w:r>
        <w:rPr>
          <w:b/>
          <w:bCs/>
        </w:rPr>
        <w:t>Valor Máximo:</w:t>
      </w:r>
      <w:r>
        <w:t xml:space="preserve"> 35 pts. (Hábito de mayor riesgo detectado).</w:t>
      </w:r>
    </w:p>
    <w:p w14:paraId="62CB4246" w14:textId="77777777" w:rsidR="00B5580A" w:rsidRDefault="00000000">
      <w:pPr>
        <w:pStyle w:val="Compact"/>
        <w:numPr>
          <w:ilvl w:val="0"/>
          <w:numId w:val="2"/>
        </w:numPr>
      </w:pPr>
      <w:r>
        <w:rPr>
          <w:b/>
          <w:bCs/>
        </w:rPr>
        <w:t>Promedio (</w:t>
      </w:r>
      <m:oMath>
        <m:acc>
          <m:accPr>
            <m:chr m:val="‾"/>
            <m:ctrlPr>
              <w:rPr>
                <w:rFonts w:ascii="Cambria Math" w:hAnsi="Cambria Math"/>
              </w:rPr>
            </m:ctrlPr>
          </m:accPr>
          <m:e>
            <m:r>
              <w:rPr>
                <w:rFonts w:ascii="Cambria Math" w:hAnsi="Cambria Math"/>
              </w:rPr>
              <m:t>x</m:t>
            </m:r>
          </m:e>
        </m:acc>
      </m:oMath>
      <w:r>
        <w:rPr>
          <w:b/>
          <w:bCs/>
        </w:rPr>
        <w:t>):</w:t>
      </w:r>
      <w:r>
        <w:t xml:space="preserve"> 18,88 pts. (Representado por la </w:t>
      </w:r>
      <w:r>
        <w:rPr>
          <w:b/>
          <w:bCs/>
        </w:rPr>
        <w:t>X</w:t>
      </w:r>
      <w:r>
        <w:t xml:space="preserve"> en el gráfico).</w:t>
      </w:r>
    </w:p>
    <w:p w14:paraId="2ABA5CE2" w14:textId="77777777" w:rsidR="00B5580A" w:rsidRDefault="00000000">
      <w:r>
        <w:pict w14:anchorId="1979C546">
          <v:rect id="_x0000_i1026" style="width:0;height:1.5pt" o:hralign="center" o:hrstd="t" o:hr="t"/>
        </w:pict>
      </w:r>
    </w:p>
    <w:p w14:paraId="4A8A21B1" w14:textId="77777777" w:rsidR="00B5580A" w:rsidRDefault="00000000">
      <w:pPr>
        <w:pStyle w:val="Ttulo3"/>
      </w:pPr>
      <w:bookmarkStart w:id="2" w:name="X6b1783064f7c3379413a755b36a86ec6d0c5f76"/>
      <w:bookmarkEnd w:id="1"/>
      <w:r>
        <w:t>2. Análisis de Dispersión e Incerteza (Matemática - OA 2)</w:t>
      </w:r>
    </w:p>
    <w:p w14:paraId="303B6A1B" w14:textId="77777777" w:rsidR="00B5580A" w:rsidRDefault="00000000">
      <w:pPr>
        <w:pStyle w:val="FirstParagraph"/>
      </w:pPr>
      <w:r>
        <w:t xml:space="preserve">El gráfico nos revela que el curso presenta una </w:t>
      </w:r>
      <w:r>
        <w:rPr>
          <w:b/>
          <w:bCs/>
        </w:rPr>
        <w:t>alta dispersión</w:t>
      </w:r>
      <w:r>
        <w:t>.</w:t>
      </w:r>
    </w:p>
    <w:p w14:paraId="72624960" w14:textId="77777777" w:rsidR="00B5580A" w:rsidRDefault="00000000">
      <w:pPr>
        <w:pStyle w:val="Textodebloque"/>
      </w:pPr>
      <w:r>
        <w:rPr>
          <w:b/>
          <w:bCs/>
        </w:rPr>
        <w:t>Conclusión Técnica:</w:t>
      </w:r>
      <w:r>
        <w:t xml:space="preserve"> El </w:t>
      </w:r>
      <w:r>
        <w:rPr>
          <w:b/>
          <w:bCs/>
        </w:rPr>
        <w:t>Rango Intercuartílico (</w:t>
      </w:r>
      <m:oMath>
        <m:r>
          <w:rPr>
            <w:rFonts w:ascii="Cambria Math" w:hAnsi="Cambria Math"/>
          </w:rPr>
          <m:t>IQR</m:t>
        </m:r>
      </m:oMath>
      <w:r>
        <w:rPr>
          <w:b/>
          <w:bCs/>
        </w:rPr>
        <w:t>)</w:t>
      </w:r>
      <w:r>
        <w:t xml:space="preserve"> es de </w:t>
      </w:r>
      <m:oMath>
        <m:r>
          <w:rPr>
            <w:rFonts w:ascii="Cambria Math" w:hAnsi="Cambria Math"/>
          </w:rPr>
          <m:t>11</m:t>
        </m:r>
        <m:r>
          <m:rPr>
            <m:sty m:val="p"/>
          </m:rPr>
          <w:rPr>
            <w:rFonts w:ascii="Cambria Math" w:hAnsi="Cambria Math"/>
          </w:rPr>
          <m:t>,</m:t>
        </m:r>
        <m:r>
          <w:rPr>
            <w:rFonts w:ascii="Cambria Math" w:hAnsi="Cambria Math"/>
          </w:rPr>
          <m:t>5</m:t>
        </m:r>
      </m:oMath>
      <w:r>
        <w:t xml:space="preserve"> puntos (</w:t>
      </w:r>
      <m:oMath>
        <m:r>
          <w:rPr>
            <w:rFonts w:ascii="Cambria Math" w:hAnsi="Cambria Math"/>
          </w:rPr>
          <m:t>24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13</m:t>
        </m:r>
      </m:oMath>
      <w:r>
        <w:t>). Esto indica que el 50% central de los estudiantes tiene hábitos muy diversos entre sí. No existe un patrón de consumo único, sino una gran brecha entre quienes basan su dieta en alimentos naturales y quienes dependen de los ultraprocesados.</w:t>
      </w:r>
    </w:p>
    <w:p w14:paraId="3FA5D139" w14:textId="77777777" w:rsidR="00B5580A" w:rsidRDefault="00000000">
      <w:pPr>
        <w:pStyle w:val="FirstParagraph"/>
      </w:pPr>
      <w:r>
        <w:t xml:space="preserve">Al ser la </w:t>
      </w:r>
      <w:r>
        <w:rPr>
          <w:b/>
          <w:bCs/>
        </w:rPr>
        <w:t>Mediana (19)</w:t>
      </w:r>
      <w:r>
        <w:t xml:space="preserve"> casi igual al </w:t>
      </w:r>
      <w:r>
        <w:rPr>
          <w:b/>
          <w:bCs/>
        </w:rPr>
        <w:t>Promedio (18,88)</w:t>
      </w:r>
      <w:r>
        <w:t>, observamos una distribución simétrica, lo que significa que los riesgos están repartidos de forma equilibrada en la muestra, sin un sesgo extremo hacia un solo lado.</w:t>
      </w:r>
    </w:p>
    <w:p w14:paraId="57586088" w14:textId="77777777" w:rsidR="00B5580A" w:rsidRDefault="00000000">
      <w:r>
        <w:pict w14:anchorId="6F91D769">
          <v:rect id="_x0000_i1027" style="width:0;height:1.5pt" o:hralign="center" o:hrstd="t" o:hr="t"/>
        </w:pict>
      </w:r>
    </w:p>
    <w:p w14:paraId="747C1FAA" w14:textId="77777777" w:rsidR="00B5580A" w:rsidRDefault="00000000">
      <w:pPr>
        <w:pStyle w:val="Ttulo3"/>
      </w:pPr>
      <w:bookmarkStart w:id="3" w:name="X149e90744e932463801df22d075b1de963b73ad"/>
      <w:bookmarkEnd w:id="2"/>
      <w:r>
        <w:t>3. Impacto Biológico y Riesgo Sistémico (Ciencias - OA 1)</w:t>
      </w:r>
    </w:p>
    <w:p w14:paraId="58D7A9ED" w14:textId="77777777" w:rsidR="00B5580A" w:rsidRDefault="00000000">
      <w:pPr>
        <w:pStyle w:val="FirstParagraph"/>
      </w:pPr>
      <w:r>
        <w:t>Desde la perspectiva de la salud, los datos arrojan una alerta importante:</w:t>
      </w:r>
    </w:p>
    <w:p w14:paraId="649EDBF6" w14:textId="77777777" w:rsidR="00B5580A" w:rsidRDefault="00000000">
      <w:pPr>
        <w:pStyle w:val="Compact"/>
        <w:numPr>
          <w:ilvl w:val="0"/>
          <w:numId w:val="3"/>
        </w:numPr>
      </w:pPr>
      <w:r>
        <w:rPr>
          <w:b/>
          <w:bCs/>
        </w:rPr>
        <w:lastRenderedPageBreak/>
        <w:t>Riesgo Moderado-Alto:</w:t>
      </w:r>
      <w:r>
        <w:t xml:space="preserve"> La mediana de </w:t>
      </w:r>
      <w:r>
        <w:rPr>
          <w:b/>
          <w:bCs/>
        </w:rPr>
        <w:t>19 puntos</w:t>
      </w:r>
      <w:r>
        <w:t xml:space="preserve"> sitúa al curso en la parte superior del nivel “Medio”. Esto implica que más de la mitad de los estudiantes consume alimentos procesados y ultraprocesados con una frecuencia de 3 a 5 días a la semana.</w:t>
      </w:r>
    </w:p>
    <w:p w14:paraId="3D6957AA" w14:textId="77777777" w:rsidR="00B5580A" w:rsidRDefault="00000000">
      <w:pPr>
        <w:pStyle w:val="Compact"/>
        <w:numPr>
          <w:ilvl w:val="0"/>
          <w:numId w:val="3"/>
        </w:numPr>
      </w:pPr>
      <w:r>
        <w:rPr>
          <w:b/>
          <w:bCs/>
        </w:rPr>
        <w:t>Vulnerabilidad Crítica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b/>
          <w:bCs/>
        </w:rPr>
        <w:t>):</w:t>
      </w:r>
      <w:r>
        <w:t xml:space="preserve"> El 25% de los estudiantes (cuartil superior) presenta puntajes entre </w:t>
      </w:r>
      <w:r>
        <w:rPr>
          <w:b/>
          <w:bCs/>
        </w:rPr>
        <w:t>24,5 y 35 puntos</w:t>
      </w:r>
      <w:r>
        <w:t xml:space="preserve">. Este grupo se encuentra en un estado de </w:t>
      </w:r>
      <w:r>
        <w:rPr>
          <w:b/>
          <w:bCs/>
        </w:rPr>
        <w:t>inflamación pro-inflamatoria crónica</w:t>
      </w:r>
      <w:r>
        <w:t xml:space="preserve"> potencial debido al alto consumo de aditivos, azúcares refinadas y grasas saturadas presentes en los productos categoría G3.</w:t>
      </w:r>
    </w:p>
    <w:p w14:paraId="0D54F2CC" w14:textId="77777777" w:rsidR="00B5580A" w:rsidRDefault="00000000">
      <w:r>
        <w:pict w14:anchorId="4901BB7E">
          <v:rect id="_x0000_i1028" style="width:0;height:1.5pt" o:hralign="center" o:hrstd="t" o:hr="t"/>
        </w:pict>
      </w:r>
    </w:p>
    <w:p w14:paraId="0EF32E04" w14:textId="77777777" w:rsidR="00B5580A" w:rsidRDefault="00000000">
      <w:pPr>
        <w:pStyle w:val="Ttulo3"/>
      </w:pPr>
      <w:bookmarkStart w:id="4" w:name="propuesta-de-acción-sugerida"/>
      <w:bookmarkEnd w:id="3"/>
      <w:r>
        <w:t>4. Propuesta de Acción Sugerida</w:t>
      </w:r>
    </w:p>
    <w:p w14:paraId="223901E2" w14:textId="77777777" w:rsidR="00B5580A" w:rsidRDefault="00000000">
      <w:pPr>
        <w:pStyle w:val="FirstParagraph"/>
      </w:pPr>
      <w:r>
        <w:t xml:space="preserve">Basados en la evidencia, el grupo propone: * </w:t>
      </w:r>
      <w:r>
        <w:rPr>
          <w:b/>
          <w:bCs/>
        </w:rPr>
        <w:t>Reducir la Dispersión:</w:t>
      </w:r>
      <w:r>
        <w:t xml:space="preserve"> El objetivo es “acortar la caja” del gráfico hacia abajo, incentivando que los estudiantes que están sobre los 24 puntos migren sus colaciones hacia alimentos no procesados (G1), bajando así la mediana del curso a un nivel inferior a 10 puntos en el próximo semestre.</w:t>
      </w:r>
      <w:bookmarkEnd w:id="0"/>
      <w:bookmarkEnd w:id="4"/>
    </w:p>
    <w:sectPr w:rsidR="00B5580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B0AF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F283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1A6D1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4186858">
    <w:abstractNumId w:val="0"/>
  </w:num>
  <w:num w:numId="2" w16cid:durableId="1964189773">
    <w:abstractNumId w:val="1"/>
  </w:num>
  <w:num w:numId="3" w16cid:durableId="732385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580A"/>
    <w:rsid w:val="0078567F"/>
    <w:rsid w:val="0090571B"/>
    <w:rsid w:val="00935333"/>
    <w:rsid w:val="00B55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BA49"/>
  <w15:docId w15:val="{D8F830A6-C192-4274-A857-5CFD2A8DC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417</Words>
  <Characters>2199</Characters>
  <Application>Microsoft Office Word</Application>
  <DocSecurity>0</DocSecurity>
  <Lines>46</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Rubio</cp:lastModifiedBy>
  <cp:revision>3</cp:revision>
  <dcterms:created xsi:type="dcterms:W3CDTF">2026-04-05T23:28:00Z</dcterms:created>
  <dcterms:modified xsi:type="dcterms:W3CDTF">2026-04-05T23:52:00Z</dcterms:modified>
</cp:coreProperties>
</file>