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2BC4" w14:textId="77777777" w:rsidR="00416A9B" w:rsidRDefault="00000000">
      <w:pPr>
        <w:pStyle w:val="Ttulo3"/>
      </w:pPr>
      <w:bookmarkStart w:id="0" w:name="X587a7098f17d30e36494e79afcb5e84b5f49f4c"/>
      <w:r>
        <w:t>Unidad 1: El uso de datos estadísticos y de modelos probabilísticos para la toma de decisiones [1]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30"/>
        <w:gridCol w:w="4024"/>
      </w:tblGrid>
      <w:tr w:rsidR="00416A9B" w14:paraId="3A968DC0" w14:textId="77777777" w:rsidTr="0041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3579C144" w14:textId="77777777" w:rsidR="00416A9B" w:rsidRDefault="00000000">
            <w:pPr>
              <w:pStyle w:val="Compact"/>
              <w:jc w:val="center"/>
            </w:pPr>
            <w:r>
              <w:t>Semana</w:t>
            </w:r>
          </w:p>
        </w:tc>
        <w:tc>
          <w:tcPr>
            <w:tcW w:w="3520" w:type="dxa"/>
          </w:tcPr>
          <w:p w14:paraId="1AF816FC" w14:textId="77777777" w:rsidR="00416A9B" w:rsidRDefault="00000000">
            <w:pPr>
              <w:pStyle w:val="Compact"/>
            </w:pPr>
            <w:r>
              <w:t>Objetivo de la semana (Indicadores de logro)</w:t>
            </w:r>
          </w:p>
        </w:tc>
      </w:tr>
      <w:tr w:rsidR="00416A9B" w14:paraId="02DB97A2" w14:textId="77777777">
        <w:tc>
          <w:tcPr>
            <w:tcW w:w="4400" w:type="dxa"/>
          </w:tcPr>
          <w:p w14:paraId="3CC8CE2D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1</w:t>
            </w:r>
          </w:p>
        </w:tc>
        <w:tc>
          <w:tcPr>
            <w:tcW w:w="3520" w:type="dxa"/>
          </w:tcPr>
          <w:p w14:paraId="7E9A5C80" w14:textId="77777777" w:rsidR="00416A9B" w:rsidRDefault="00000000">
            <w:pPr>
              <w:pStyle w:val="Compact"/>
            </w:pPr>
            <w:r>
              <w:t>Interpretar datos sobre siniestros automovilísticos y calcular medidas de tendencia central y dispersión iniciales en contextos reales [1].</w:t>
            </w:r>
          </w:p>
        </w:tc>
      </w:tr>
      <w:tr w:rsidR="00416A9B" w14:paraId="3D03F396" w14:textId="77777777">
        <w:tc>
          <w:tcPr>
            <w:tcW w:w="4400" w:type="dxa"/>
          </w:tcPr>
          <w:p w14:paraId="3D54E284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2</w:t>
            </w:r>
          </w:p>
        </w:tc>
        <w:tc>
          <w:tcPr>
            <w:tcW w:w="3520" w:type="dxa"/>
          </w:tcPr>
          <w:p w14:paraId="7C82B26D" w14:textId="77777777" w:rsidR="00416A9B" w:rsidRDefault="00000000">
            <w:pPr>
              <w:pStyle w:val="Compact"/>
            </w:pPr>
            <w:r>
              <w:t>Calcular la desviación estándar y varianza en conjuntos de datos agrupados, y comparar situaciones de riesgo usando dispersión [1].</w:t>
            </w:r>
          </w:p>
        </w:tc>
      </w:tr>
      <w:tr w:rsidR="00416A9B" w14:paraId="7F79518D" w14:textId="77777777">
        <w:tc>
          <w:tcPr>
            <w:tcW w:w="4400" w:type="dxa"/>
          </w:tcPr>
          <w:p w14:paraId="5BA4A239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3</w:t>
            </w:r>
          </w:p>
        </w:tc>
        <w:tc>
          <w:tcPr>
            <w:tcW w:w="3520" w:type="dxa"/>
          </w:tcPr>
          <w:p w14:paraId="55F051A7" w14:textId="77777777" w:rsidR="00416A9B" w:rsidRDefault="00000000">
            <w:pPr>
              <w:pStyle w:val="Compact"/>
            </w:pPr>
            <w:r>
              <w:t>Tomar decisiones fundamentadas comparando promedios y desviaciones estándar, y elaborar mensajes comunicacionales basados en datos [1].</w:t>
            </w:r>
          </w:p>
        </w:tc>
      </w:tr>
      <w:tr w:rsidR="00416A9B" w14:paraId="44583A2A" w14:textId="77777777">
        <w:tc>
          <w:tcPr>
            <w:tcW w:w="4400" w:type="dxa"/>
          </w:tcPr>
          <w:p w14:paraId="6C3A7EEA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4</w:t>
            </w:r>
          </w:p>
        </w:tc>
        <w:tc>
          <w:tcPr>
            <w:tcW w:w="3520" w:type="dxa"/>
          </w:tcPr>
          <w:p w14:paraId="1B23B80B" w14:textId="77777777" w:rsidR="00416A9B" w:rsidRDefault="00000000">
            <w:pPr>
              <w:pStyle w:val="Compact"/>
            </w:pPr>
            <w:r>
              <w:t>Interpretar índices estandarizados (ej. precipitaciones) para analizar situaciones climáticas y analizar gráficos de dispersión temporal [1].</w:t>
            </w:r>
          </w:p>
        </w:tc>
      </w:tr>
      <w:tr w:rsidR="00416A9B" w14:paraId="03DC127D" w14:textId="77777777">
        <w:tc>
          <w:tcPr>
            <w:tcW w:w="4400" w:type="dxa"/>
          </w:tcPr>
          <w:p w14:paraId="07BC31A1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5</w:t>
            </w:r>
          </w:p>
        </w:tc>
        <w:tc>
          <w:tcPr>
            <w:tcW w:w="3520" w:type="dxa"/>
          </w:tcPr>
          <w:p w14:paraId="59C8B532" w14:textId="77777777" w:rsidR="00416A9B" w:rsidRDefault="00000000">
            <w:pPr>
              <w:pStyle w:val="Compact"/>
            </w:pPr>
            <w:r>
              <w:t>Sintetizar el uso de medidas de dispersión y resolver problemas de incerteza variados (salud, clima, tránsito) [1].</w:t>
            </w:r>
          </w:p>
        </w:tc>
      </w:tr>
      <w:tr w:rsidR="00416A9B" w14:paraId="65E63EFA" w14:textId="77777777">
        <w:tc>
          <w:tcPr>
            <w:tcW w:w="4400" w:type="dxa"/>
          </w:tcPr>
          <w:p w14:paraId="2CBDF84A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6</w:t>
            </w:r>
          </w:p>
        </w:tc>
        <w:tc>
          <w:tcPr>
            <w:tcW w:w="3520" w:type="dxa"/>
          </w:tcPr>
          <w:p w14:paraId="0EEAEF2D" w14:textId="77777777" w:rsidR="00416A9B" w:rsidRDefault="00000000">
            <w:pPr>
              <w:pStyle w:val="Compact"/>
            </w:pPr>
            <w:r>
              <w:t>Comprender el concepto de probabilidad condicional en contextos de seguridad y distinguir probabilidad conjunta de condicional [1].</w:t>
            </w:r>
          </w:p>
        </w:tc>
      </w:tr>
      <w:tr w:rsidR="00416A9B" w14:paraId="5619FBE8" w14:textId="77777777">
        <w:tc>
          <w:tcPr>
            <w:tcW w:w="4400" w:type="dxa"/>
          </w:tcPr>
          <w:p w14:paraId="4D0AEE69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7</w:t>
            </w:r>
          </w:p>
        </w:tc>
        <w:tc>
          <w:tcPr>
            <w:tcW w:w="3520" w:type="dxa"/>
          </w:tcPr>
          <w:p w14:paraId="37691A12" w14:textId="77777777" w:rsidR="00416A9B" w:rsidRDefault="00000000">
            <w:pPr>
              <w:pStyle w:val="Compact"/>
            </w:pPr>
            <w:r>
              <w:t>Calcular probabilidades condicionales utilizando datos tabulados e interpretar la dependencia o independencia de sucesos [1].</w:t>
            </w:r>
          </w:p>
        </w:tc>
      </w:tr>
      <w:tr w:rsidR="00416A9B" w14:paraId="1C87A4CE" w14:textId="77777777">
        <w:tc>
          <w:tcPr>
            <w:tcW w:w="4400" w:type="dxa"/>
          </w:tcPr>
          <w:p w14:paraId="3DE1C52E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8</w:t>
            </w:r>
          </w:p>
        </w:tc>
        <w:tc>
          <w:tcPr>
            <w:tcW w:w="3520" w:type="dxa"/>
          </w:tcPr>
          <w:p w14:paraId="19563DA5" w14:textId="77777777" w:rsidR="00416A9B" w:rsidRDefault="00000000">
            <w:pPr>
              <w:pStyle w:val="Compact"/>
            </w:pPr>
            <w:r>
              <w:t>Tomar decisiones basadas en el cálculo de probabilidades condicionales y evaluar riesgos eléctricos usando modelos probabilísticos [1].</w:t>
            </w:r>
          </w:p>
        </w:tc>
      </w:tr>
      <w:tr w:rsidR="00416A9B" w14:paraId="49C3EA9F" w14:textId="77777777">
        <w:tc>
          <w:tcPr>
            <w:tcW w:w="4400" w:type="dxa"/>
          </w:tcPr>
          <w:p w14:paraId="1ACA3FB7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Semana 9</w:t>
            </w:r>
          </w:p>
        </w:tc>
        <w:tc>
          <w:tcPr>
            <w:tcW w:w="3520" w:type="dxa"/>
          </w:tcPr>
          <w:p w14:paraId="5BFB10E4" w14:textId="77777777" w:rsidR="00416A9B" w:rsidRDefault="00000000">
            <w:pPr>
              <w:pStyle w:val="Compact"/>
            </w:pPr>
            <w:r>
              <w:t>Integrar medidas de dispersión y probabilidad para analizar la calidad del aire, y argumentar posturas sobre temas medioambientales usando estadística [1].</w:t>
            </w:r>
          </w:p>
        </w:tc>
      </w:tr>
      <w:tr w:rsidR="00416A9B" w14:paraId="586EC680" w14:textId="77777777">
        <w:tc>
          <w:tcPr>
            <w:tcW w:w="4400" w:type="dxa"/>
          </w:tcPr>
          <w:p w14:paraId="7C0CAFE6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10</w:t>
            </w:r>
          </w:p>
        </w:tc>
        <w:tc>
          <w:tcPr>
            <w:tcW w:w="3520" w:type="dxa"/>
          </w:tcPr>
          <w:p w14:paraId="0DC4F81A" w14:textId="77777777" w:rsidR="00416A9B" w:rsidRDefault="00000000">
            <w:pPr>
              <w:pStyle w:val="Compact"/>
            </w:pPr>
            <w:r>
              <w:t>Demostrar el dominio de los contenidos de la unidad (Dispersión y Probabilidad Condicional) y aplicar conocimientos a situaciones nuevas [1].</w:t>
            </w:r>
          </w:p>
        </w:tc>
      </w:tr>
    </w:tbl>
    <w:p w14:paraId="2CC1FA29" w14:textId="77777777" w:rsidR="00416A9B" w:rsidRDefault="00000000">
      <w:r>
        <w:pict w14:anchorId="297C661E">
          <v:rect id="_x0000_i1025" style="width:0;height:1.5pt" o:hralign="center" o:hrstd="t" o:hr="t"/>
        </w:pict>
      </w:r>
    </w:p>
    <w:p w14:paraId="28A6D2AF" w14:textId="77777777" w:rsidR="00416A9B" w:rsidRDefault="00000000">
      <w:pPr>
        <w:pStyle w:val="Ttulo3"/>
      </w:pPr>
      <w:bookmarkStart w:id="1" w:name="Xf0cc6a3e4c43617b28154874d0e099e10524c55"/>
      <w:bookmarkEnd w:id="0"/>
      <w:r>
        <w:t>Unidad 2: Hacer predicciones acerca de situaciones utilizando modelos matemáticos [2]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30"/>
        <w:gridCol w:w="4024"/>
      </w:tblGrid>
      <w:tr w:rsidR="00416A9B" w14:paraId="2536548C" w14:textId="77777777" w:rsidTr="0041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22ED4A9C" w14:textId="77777777" w:rsidR="00416A9B" w:rsidRDefault="00000000">
            <w:pPr>
              <w:pStyle w:val="Compact"/>
              <w:jc w:val="center"/>
            </w:pPr>
            <w:r>
              <w:t>Semana</w:t>
            </w:r>
          </w:p>
        </w:tc>
        <w:tc>
          <w:tcPr>
            <w:tcW w:w="3520" w:type="dxa"/>
          </w:tcPr>
          <w:p w14:paraId="0453FDA5" w14:textId="77777777" w:rsidR="00416A9B" w:rsidRDefault="00000000">
            <w:pPr>
              <w:pStyle w:val="Compact"/>
            </w:pPr>
            <w:r>
              <w:t>Objetivo de la semana (Indicadores de logro)</w:t>
            </w:r>
          </w:p>
        </w:tc>
      </w:tr>
      <w:tr w:rsidR="00416A9B" w14:paraId="6F7DAE9E" w14:textId="77777777">
        <w:tc>
          <w:tcPr>
            <w:tcW w:w="4400" w:type="dxa"/>
          </w:tcPr>
          <w:p w14:paraId="30563BC7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11</w:t>
            </w:r>
          </w:p>
        </w:tc>
        <w:tc>
          <w:tcPr>
            <w:tcW w:w="3520" w:type="dxa"/>
          </w:tcPr>
          <w:p w14:paraId="77400E9E" w14:textId="77777777" w:rsidR="00416A9B" w:rsidRDefault="00000000">
            <w:pPr>
              <w:pStyle w:val="Compact"/>
            </w:pPr>
            <w:r>
              <w:t>Identificar patrones de crecimiento no lineales (ej. bacterias) y distinguir crecimiento lineal de exponencial [2].</w:t>
            </w:r>
          </w:p>
        </w:tc>
      </w:tr>
      <w:tr w:rsidR="00416A9B" w14:paraId="0731EE99" w14:textId="77777777">
        <w:tc>
          <w:tcPr>
            <w:tcW w:w="4400" w:type="dxa"/>
          </w:tcPr>
          <w:p w14:paraId="43A0E0E7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12</w:t>
            </w:r>
          </w:p>
        </w:tc>
        <w:tc>
          <w:tcPr>
            <w:tcW w:w="3520" w:type="dxa"/>
          </w:tcPr>
          <w:p w14:paraId="0DE0E15A" w14:textId="77777777" w:rsidR="00416A9B" w:rsidRDefault="00000000">
            <w:pPr>
              <w:pStyle w:val="Compact"/>
            </w:pPr>
            <w:r>
              <w:t>Construir la función exponencial e interpretar el significado de los parámetros iniciales y el factor de crecimiento [2].</w:t>
            </w:r>
          </w:p>
        </w:tc>
      </w:tr>
      <w:tr w:rsidR="00416A9B" w14:paraId="455F3150" w14:textId="77777777">
        <w:tc>
          <w:tcPr>
            <w:tcW w:w="4400" w:type="dxa"/>
          </w:tcPr>
          <w:p w14:paraId="219B2034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13</w:t>
            </w:r>
          </w:p>
        </w:tc>
        <w:tc>
          <w:tcPr>
            <w:tcW w:w="3520" w:type="dxa"/>
          </w:tcPr>
          <w:p w14:paraId="572F1C58" w14:textId="77777777" w:rsidR="00416A9B" w:rsidRDefault="00000000">
            <w:pPr>
              <w:pStyle w:val="Compact"/>
            </w:pPr>
            <w:r>
              <w:t>Modelar situaciones de decrecimiento (ej. desintegración radioactiva o enfriamiento) y determinar la vida media de un elemento [2].</w:t>
            </w:r>
          </w:p>
        </w:tc>
      </w:tr>
      <w:tr w:rsidR="00416A9B" w14:paraId="5ACD348D" w14:textId="77777777">
        <w:tc>
          <w:tcPr>
            <w:tcW w:w="4400" w:type="dxa"/>
          </w:tcPr>
          <w:p w14:paraId="6FF39FA1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14</w:t>
            </w:r>
          </w:p>
        </w:tc>
        <w:tc>
          <w:tcPr>
            <w:tcW w:w="3520" w:type="dxa"/>
          </w:tcPr>
          <w:p w14:paraId="703FCDF5" w14:textId="77777777" w:rsidR="00416A9B" w:rsidRDefault="00000000">
            <w:pPr>
              <w:pStyle w:val="Compact"/>
            </w:pPr>
            <w:r>
              <w:t>Construir el concepto de logaritmo como inversa de la exponencial y relacionar exponentes con escalas logarítmicas [2].</w:t>
            </w:r>
          </w:p>
        </w:tc>
      </w:tr>
      <w:tr w:rsidR="00416A9B" w14:paraId="4F182A49" w14:textId="77777777">
        <w:tc>
          <w:tcPr>
            <w:tcW w:w="4400" w:type="dxa"/>
          </w:tcPr>
          <w:p w14:paraId="0D65EB81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15</w:t>
            </w:r>
          </w:p>
        </w:tc>
        <w:tc>
          <w:tcPr>
            <w:tcW w:w="3520" w:type="dxa"/>
          </w:tcPr>
          <w:p w14:paraId="1A086505" w14:textId="77777777" w:rsidR="00416A9B" w:rsidRDefault="00000000">
            <w:pPr>
              <w:pStyle w:val="Compact"/>
            </w:pPr>
            <w:r>
              <w:t>Reactivar conocimientos previos post-vacaciones y modelar fenómenos virales en redes sociales [2].</w:t>
            </w:r>
          </w:p>
        </w:tc>
      </w:tr>
      <w:tr w:rsidR="00416A9B" w14:paraId="33AA995D" w14:textId="77777777">
        <w:tc>
          <w:tcPr>
            <w:tcW w:w="4400" w:type="dxa"/>
          </w:tcPr>
          <w:p w14:paraId="6D1B1892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16</w:t>
            </w:r>
          </w:p>
        </w:tc>
        <w:tc>
          <w:tcPr>
            <w:tcW w:w="3520" w:type="dxa"/>
          </w:tcPr>
          <w:p w14:paraId="438A8204" w14:textId="77777777" w:rsidR="00416A9B" w:rsidRDefault="00000000">
            <w:pPr>
              <w:pStyle w:val="Compact"/>
            </w:pPr>
            <w:r>
              <w:t xml:space="preserve">Ajustar modelos matemáticos a datos reales y usar tecnología para </w:t>
            </w:r>
            <w:r>
              <w:lastRenderedPageBreak/>
              <w:t>encontrar la función que mejor se ajusta a una nube de puntos [2].</w:t>
            </w:r>
          </w:p>
        </w:tc>
      </w:tr>
      <w:tr w:rsidR="00416A9B" w14:paraId="1B6AE022" w14:textId="77777777">
        <w:tc>
          <w:tcPr>
            <w:tcW w:w="4400" w:type="dxa"/>
          </w:tcPr>
          <w:p w14:paraId="32CA4A52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Semana 17</w:t>
            </w:r>
          </w:p>
        </w:tc>
        <w:tc>
          <w:tcPr>
            <w:tcW w:w="3520" w:type="dxa"/>
          </w:tcPr>
          <w:p w14:paraId="1591F4D9" w14:textId="77777777" w:rsidR="00416A9B" w:rsidRDefault="00000000">
            <w:pPr>
              <w:pStyle w:val="Compact"/>
            </w:pPr>
            <w:r>
              <w:t>Predecir escenarios futuros basándose en los modelos ajustados y tomar decisiones fundamentadas en las proyecciones [2].</w:t>
            </w:r>
          </w:p>
        </w:tc>
      </w:tr>
      <w:tr w:rsidR="00416A9B" w14:paraId="4CB23B7C" w14:textId="77777777">
        <w:tc>
          <w:tcPr>
            <w:tcW w:w="4400" w:type="dxa"/>
          </w:tcPr>
          <w:p w14:paraId="6E252DC6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18</w:t>
            </w:r>
          </w:p>
        </w:tc>
        <w:tc>
          <w:tcPr>
            <w:tcW w:w="3520" w:type="dxa"/>
          </w:tcPr>
          <w:p w14:paraId="2359F254" w14:textId="77777777" w:rsidR="00416A9B" w:rsidRDefault="00000000">
            <w:pPr>
              <w:pStyle w:val="Compact"/>
            </w:pPr>
            <w:r>
              <w:t>Resolver problemas complejos integrando funciones exponencial y logarítmica, y analizar situaciones financieras [2].</w:t>
            </w:r>
          </w:p>
        </w:tc>
      </w:tr>
      <w:tr w:rsidR="00416A9B" w14:paraId="1A7003EA" w14:textId="77777777">
        <w:tc>
          <w:tcPr>
            <w:tcW w:w="4400" w:type="dxa"/>
          </w:tcPr>
          <w:p w14:paraId="6CA0DC03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19</w:t>
            </w:r>
          </w:p>
        </w:tc>
        <w:tc>
          <w:tcPr>
            <w:tcW w:w="3520" w:type="dxa"/>
          </w:tcPr>
          <w:p w14:paraId="7225425E" w14:textId="77777777" w:rsidR="00416A9B" w:rsidRDefault="00000000">
            <w:pPr>
              <w:pStyle w:val="Compact"/>
            </w:pPr>
            <w:r>
              <w:t>Demostrar dominio global de la unidad evaluando la capacidad de modelar y argumentar [2].</w:t>
            </w:r>
          </w:p>
        </w:tc>
      </w:tr>
    </w:tbl>
    <w:p w14:paraId="5652F3E9" w14:textId="77777777" w:rsidR="00416A9B" w:rsidRDefault="00000000">
      <w:r>
        <w:pict w14:anchorId="24664732">
          <v:rect id="_x0000_i1026" style="width:0;height:1.5pt" o:hralign="center" o:hrstd="t" o:hr="t"/>
        </w:pict>
      </w:r>
    </w:p>
    <w:p w14:paraId="47640B8F" w14:textId="77777777" w:rsidR="00416A9B" w:rsidRDefault="00000000">
      <w:pPr>
        <w:pStyle w:val="Ttulo3"/>
      </w:pPr>
      <w:bookmarkStart w:id="2" w:name="Xbf97296574b0801d0625a5ab368921a2b04fff9"/>
      <w:bookmarkEnd w:id="1"/>
      <w:r>
        <w:t>Unidad 3: Relaciones métricas en geometría [3]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30"/>
        <w:gridCol w:w="4024"/>
      </w:tblGrid>
      <w:tr w:rsidR="00416A9B" w14:paraId="2E9AA53A" w14:textId="77777777" w:rsidTr="0041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641C4596" w14:textId="77777777" w:rsidR="00416A9B" w:rsidRDefault="00000000">
            <w:pPr>
              <w:pStyle w:val="Compact"/>
              <w:jc w:val="center"/>
            </w:pPr>
            <w:r>
              <w:t>Semana</w:t>
            </w:r>
          </w:p>
        </w:tc>
        <w:tc>
          <w:tcPr>
            <w:tcW w:w="3520" w:type="dxa"/>
          </w:tcPr>
          <w:p w14:paraId="2BA68720" w14:textId="77777777" w:rsidR="00416A9B" w:rsidRDefault="00000000">
            <w:pPr>
              <w:pStyle w:val="Compact"/>
            </w:pPr>
            <w:r>
              <w:t>Objetivo de la semana (Indicadores de logro)</w:t>
            </w:r>
          </w:p>
        </w:tc>
      </w:tr>
      <w:tr w:rsidR="00416A9B" w14:paraId="306DA796" w14:textId="77777777">
        <w:tc>
          <w:tcPr>
            <w:tcW w:w="4400" w:type="dxa"/>
          </w:tcPr>
          <w:p w14:paraId="7DC16A4C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20</w:t>
            </w:r>
          </w:p>
        </w:tc>
        <w:tc>
          <w:tcPr>
            <w:tcW w:w="3520" w:type="dxa"/>
          </w:tcPr>
          <w:p w14:paraId="0017E9B6" w14:textId="77777777" w:rsidR="00416A9B" w:rsidRDefault="00000000">
            <w:pPr>
              <w:pStyle w:val="Compact"/>
            </w:pPr>
            <w:r>
              <w:t>Identificar ángulos del centro, inscritos y semi-inscritos, relacionando la medida del ángulo del centro con el arco que subtiende [3].</w:t>
            </w:r>
          </w:p>
        </w:tc>
      </w:tr>
      <w:tr w:rsidR="00416A9B" w14:paraId="5150D570" w14:textId="77777777">
        <w:tc>
          <w:tcPr>
            <w:tcW w:w="4400" w:type="dxa"/>
          </w:tcPr>
          <w:p w14:paraId="79C2EF5F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21</w:t>
            </w:r>
          </w:p>
        </w:tc>
        <w:tc>
          <w:tcPr>
            <w:tcW w:w="3520" w:type="dxa"/>
          </w:tcPr>
          <w:p w14:paraId="4665FABC" w14:textId="77777777" w:rsidR="00416A9B" w:rsidRDefault="00000000">
            <w:pPr>
              <w:pStyle w:val="Compact"/>
            </w:pPr>
            <w:r>
              <w:t>Aplicar el modelo de huso horario en contextos literarios (“El Principito”) y relacionar arcos de circunferencia con tiempos de rotación [3].</w:t>
            </w:r>
          </w:p>
        </w:tc>
      </w:tr>
      <w:tr w:rsidR="00416A9B" w14:paraId="67BA84FB" w14:textId="77777777">
        <w:tc>
          <w:tcPr>
            <w:tcW w:w="4400" w:type="dxa"/>
          </w:tcPr>
          <w:p w14:paraId="25190D0B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22</w:t>
            </w:r>
          </w:p>
        </w:tc>
        <w:tc>
          <w:tcPr>
            <w:tcW w:w="3520" w:type="dxa"/>
          </w:tcPr>
          <w:p w14:paraId="4D16334A" w14:textId="77777777" w:rsidR="00416A9B" w:rsidRDefault="00000000">
            <w:pPr>
              <w:pStyle w:val="Compact"/>
            </w:pPr>
            <w:r>
              <w:t>Resolver problemas aplicando el teorema de las cuerdas (intersección interior) y justificar la semejanza de triángulos que genera [3].</w:t>
            </w:r>
          </w:p>
        </w:tc>
      </w:tr>
      <w:tr w:rsidR="00416A9B" w14:paraId="2B988E41" w14:textId="77777777">
        <w:tc>
          <w:tcPr>
            <w:tcW w:w="4400" w:type="dxa"/>
          </w:tcPr>
          <w:p w14:paraId="798C8EFC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23</w:t>
            </w:r>
          </w:p>
        </w:tc>
        <w:tc>
          <w:tcPr>
            <w:tcW w:w="3520" w:type="dxa"/>
          </w:tcPr>
          <w:p w14:paraId="205658C7" w14:textId="77777777" w:rsidR="00416A9B" w:rsidRDefault="00000000">
            <w:pPr>
              <w:pStyle w:val="Compact"/>
            </w:pPr>
            <w:r>
              <w:t>Aplicar el teorema de las secantes y de la tangente-secante (intersección exterior) para resolver problemas métricos variando el punto exterior [3].</w:t>
            </w:r>
          </w:p>
        </w:tc>
      </w:tr>
      <w:tr w:rsidR="00416A9B" w14:paraId="0D5D850F" w14:textId="77777777">
        <w:tc>
          <w:tcPr>
            <w:tcW w:w="4400" w:type="dxa"/>
          </w:tcPr>
          <w:p w14:paraId="169623CA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24</w:t>
            </w:r>
          </w:p>
        </w:tc>
        <w:tc>
          <w:tcPr>
            <w:tcW w:w="3520" w:type="dxa"/>
          </w:tcPr>
          <w:p w14:paraId="18E7BD80" w14:textId="77777777" w:rsidR="00416A9B" w:rsidRDefault="00000000">
            <w:pPr>
              <w:pStyle w:val="Compact"/>
            </w:pPr>
            <w:r>
              <w:t xml:space="preserve">Analizar y demostrar el Teorema de </w:t>
            </w:r>
            <w:r>
              <w:lastRenderedPageBreak/>
              <w:t>Johnson y verificar conjeturas geométricas usando tecnología [3].</w:t>
            </w:r>
          </w:p>
        </w:tc>
      </w:tr>
      <w:tr w:rsidR="00416A9B" w14:paraId="6D158276" w14:textId="77777777">
        <w:tc>
          <w:tcPr>
            <w:tcW w:w="4400" w:type="dxa"/>
          </w:tcPr>
          <w:p w14:paraId="57C654B5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Semana 25</w:t>
            </w:r>
          </w:p>
        </w:tc>
        <w:tc>
          <w:tcPr>
            <w:tcW w:w="3520" w:type="dxa"/>
          </w:tcPr>
          <w:p w14:paraId="6EAC8FCC" w14:textId="77777777" w:rsidR="00416A9B" w:rsidRDefault="00000000">
            <w:pPr>
              <w:pStyle w:val="Compact"/>
            </w:pPr>
            <w:r>
              <w:t>Reconocer patrones geométricos en diseños textiles y arquitectónicos (Mandalas) [3].</w:t>
            </w:r>
          </w:p>
        </w:tc>
      </w:tr>
      <w:tr w:rsidR="00416A9B" w14:paraId="59A4B84B" w14:textId="77777777">
        <w:tc>
          <w:tcPr>
            <w:tcW w:w="4400" w:type="dxa"/>
          </w:tcPr>
          <w:p w14:paraId="6D3AE4B9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26</w:t>
            </w:r>
          </w:p>
        </w:tc>
        <w:tc>
          <w:tcPr>
            <w:tcW w:w="3520" w:type="dxa"/>
          </w:tcPr>
          <w:p w14:paraId="076570CA" w14:textId="77777777" w:rsidR="00416A9B" w:rsidRDefault="00000000">
            <w:pPr>
              <w:pStyle w:val="Compact"/>
            </w:pPr>
            <w:r>
              <w:t>Aplicar relaciones métricas a fenómenos astronómicos (eclipses y conos de sombra) y calcular distancias en modelos de umbra y penumbra [3].</w:t>
            </w:r>
          </w:p>
        </w:tc>
      </w:tr>
      <w:tr w:rsidR="00416A9B" w14:paraId="5F0CF1AA" w14:textId="77777777">
        <w:tc>
          <w:tcPr>
            <w:tcW w:w="4400" w:type="dxa"/>
          </w:tcPr>
          <w:p w14:paraId="1F3EF6F4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27</w:t>
            </w:r>
          </w:p>
        </w:tc>
        <w:tc>
          <w:tcPr>
            <w:tcW w:w="3520" w:type="dxa"/>
          </w:tcPr>
          <w:p w14:paraId="4D94C316" w14:textId="77777777" w:rsidR="00416A9B" w:rsidRDefault="00000000">
            <w:pPr>
              <w:pStyle w:val="Compact"/>
            </w:pPr>
            <w:r>
              <w:t>Sintetizar y aplicar todos los teoremas (cuerdas, secantes, tangentes, ángulos) para resolver problemas complejos de geometría euclidiana [3].</w:t>
            </w:r>
          </w:p>
        </w:tc>
      </w:tr>
    </w:tbl>
    <w:p w14:paraId="0E9FFC53" w14:textId="77777777" w:rsidR="00416A9B" w:rsidRDefault="00000000">
      <w:r>
        <w:pict w14:anchorId="02C608C8">
          <v:rect id="_x0000_i1027" style="width:0;height:1.5pt" o:hralign="center" o:hrstd="t" o:hr="t"/>
        </w:pict>
      </w:r>
    </w:p>
    <w:p w14:paraId="2A9FAF68" w14:textId="77777777" w:rsidR="00416A9B" w:rsidRDefault="00000000">
      <w:pPr>
        <w:pStyle w:val="Ttulo3"/>
      </w:pPr>
      <w:bookmarkStart w:id="3" w:name="X0e980a5b142743ab930f8ef39288b39d4be0d7b"/>
      <w:bookmarkEnd w:id="2"/>
      <w:r>
        <w:t>Unidad 4: Necesidad y aplicación de los números complejos [4]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30"/>
        <w:gridCol w:w="4024"/>
      </w:tblGrid>
      <w:tr w:rsidR="00416A9B" w14:paraId="304F8123" w14:textId="77777777" w:rsidTr="0041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4B18E58C" w14:textId="77777777" w:rsidR="00416A9B" w:rsidRDefault="00000000">
            <w:pPr>
              <w:pStyle w:val="Compact"/>
              <w:jc w:val="center"/>
            </w:pPr>
            <w:r>
              <w:t>Semana</w:t>
            </w:r>
          </w:p>
        </w:tc>
        <w:tc>
          <w:tcPr>
            <w:tcW w:w="3520" w:type="dxa"/>
          </w:tcPr>
          <w:p w14:paraId="152B119D" w14:textId="77777777" w:rsidR="00416A9B" w:rsidRDefault="00000000">
            <w:pPr>
              <w:pStyle w:val="Compact"/>
            </w:pPr>
            <w:r>
              <w:t>Objetivo de la semana (Indicadores de logro)</w:t>
            </w:r>
          </w:p>
        </w:tc>
      </w:tr>
      <w:tr w:rsidR="00416A9B" w14:paraId="2D84BE95" w14:textId="77777777">
        <w:tc>
          <w:tcPr>
            <w:tcW w:w="4400" w:type="dxa"/>
          </w:tcPr>
          <w:p w14:paraId="7519F208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28</w:t>
            </w:r>
          </w:p>
        </w:tc>
        <w:tc>
          <w:tcPr>
            <w:tcW w:w="3520" w:type="dxa"/>
          </w:tcPr>
          <w:p w14:paraId="7F670055" w14:textId="77777777" w:rsidR="00416A9B" w:rsidRDefault="00000000">
            <w:pPr>
              <w:pStyle w:val="Compact"/>
            </w:pPr>
            <w:r>
              <w:t>Identificar que ciertas ecuaciones cuadráticas no tienen solución en los números reales y definir la unidad imaginaria [4].</w:t>
            </w:r>
          </w:p>
        </w:tc>
      </w:tr>
      <w:tr w:rsidR="00416A9B" w14:paraId="720902F4" w14:textId="77777777">
        <w:tc>
          <w:tcPr>
            <w:tcW w:w="4400" w:type="dxa"/>
          </w:tcPr>
          <w:p w14:paraId="58901DCA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29</w:t>
            </w:r>
          </w:p>
        </w:tc>
        <w:tc>
          <w:tcPr>
            <w:tcW w:w="3520" w:type="dxa"/>
          </w:tcPr>
          <w:p w14:paraId="2BD3A90C" w14:textId="77777777" w:rsidR="00416A9B" w:rsidRDefault="00000000">
            <w:pPr>
              <w:pStyle w:val="Compact"/>
            </w:pPr>
            <w:r>
              <w:t>Representar números complejos en el plano de Argand (Plano Complejo) e identificar su parte real e imaginaria [4].</w:t>
            </w:r>
          </w:p>
        </w:tc>
      </w:tr>
      <w:tr w:rsidR="00416A9B" w14:paraId="5558D54A" w14:textId="77777777">
        <w:tc>
          <w:tcPr>
            <w:tcW w:w="4400" w:type="dxa"/>
          </w:tcPr>
          <w:p w14:paraId="5EC3436C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30</w:t>
            </w:r>
          </w:p>
        </w:tc>
        <w:tc>
          <w:tcPr>
            <w:tcW w:w="3520" w:type="dxa"/>
          </w:tcPr>
          <w:p w14:paraId="03FE7EF3" w14:textId="77777777" w:rsidR="00416A9B" w:rsidRDefault="00000000">
            <w:pPr>
              <w:pStyle w:val="Compact"/>
            </w:pPr>
            <w:r>
              <w:t>Resolver adiciones y sustracciones de números complejos de forma simbólica y pictórica, relacionando la suma con la regla del paralelogramo [4].</w:t>
            </w:r>
          </w:p>
        </w:tc>
      </w:tr>
      <w:tr w:rsidR="00416A9B" w14:paraId="3A62FF3D" w14:textId="77777777">
        <w:tc>
          <w:tcPr>
            <w:tcW w:w="4400" w:type="dxa"/>
          </w:tcPr>
          <w:p w14:paraId="4BFB6DBF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31</w:t>
            </w:r>
          </w:p>
        </w:tc>
        <w:tc>
          <w:tcPr>
            <w:tcW w:w="3520" w:type="dxa"/>
          </w:tcPr>
          <w:p w14:paraId="07AE0784" w14:textId="77777777" w:rsidR="00416A9B" w:rsidRDefault="00000000">
            <w:pPr>
              <w:pStyle w:val="Compact"/>
            </w:pPr>
            <w:r>
              <w:t>Calcular potencias de “i” identificando el patrón cíclico y multiplicar números complejos en forma binomial [4].</w:t>
            </w:r>
          </w:p>
        </w:tc>
      </w:tr>
      <w:tr w:rsidR="00416A9B" w14:paraId="0F2E384A" w14:textId="77777777">
        <w:tc>
          <w:tcPr>
            <w:tcW w:w="4400" w:type="dxa"/>
          </w:tcPr>
          <w:p w14:paraId="02E6880D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32</w:t>
            </w:r>
          </w:p>
        </w:tc>
        <w:tc>
          <w:tcPr>
            <w:tcW w:w="3520" w:type="dxa"/>
          </w:tcPr>
          <w:p w14:paraId="60FE19BC" w14:textId="77777777" w:rsidR="00416A9B" w:rsidRDefault="00000000">
            <w:pPr>
              <w:pStyle w:val="Compact"/>
            </w:pPr>
            <w:r>
              <w:t xml:space="preserve">Interpretar la multiplicación por un escalar como </w:t>
            </w:r>
            <w:r>
              <w:lastRenderedPageBreak/>
              <w:t>dilatación/contracción y la multiplicación por “i” como una rotación de 90° [4].</w:t>
            </w:r>
          </w:p>
        </w:tc>
      </w:tr>
      <w:tr w:rsidR="00416A9B" w14:paraId="6A86F6AB" w14:textId="77777777">
        <w:tc>
          <w:tcPr>
            <w:tcW w:w="4400" w:type="dxa"/>
          </w:tcPr>
          <w:p w14:paraId="7B322414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Semana 33</w:t>
            </w:r>
          </w:p>
        </w:tc>
        <w:tc>
          <w:tcPr>
            <w:tcW w:w="3520" w:type="dxa"/>
          </w:tcPr>
          <w:p w14:paraId="4D9F121E" w14:textId="77777777" w:rsidR="00416A9B" w:rsidRDefault="00000000">
            <w:pPr>
              <w:pStyle w:val="Compact"/>
            </w:pPr>
            <w:r>
              <w:t>Calcular el módulo y el conjugado de un número complejo, y realizar divisiones mediante racionalización [4].</w:t>
            </w:r>
          </w:p>
        </w:tc>
      </w:tr>
      <w:tr w:rsidR="00416A9B" w14:paraId="7705A739" w14:textId="77777777">
        <w:tc>
          <w:tcPr>
            <w:tcW w:w="4400" w:type="dxa"/>
          </w:tcPr>
          <w:p w14:paraId="56B1DBEE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34</w:t>
            </w:r>
          </w:p>
        </w:tc>
        <w:tc>
          <w:tcPr>
            <w:tcW w:w="3520" w:type="dxa"/>
          </w:tcPr>
          <w:p w14:paraId="004F2330" w14:textId="77777777" w:rsidR="00416A9B" w:rsidRDefault="00000000">
            <w:pPr>
              <w:pStyle w:val="Compact"/>
            </w:pPr>
            <w:r>
              <w:t>Modelar circuitos eléctricos de corriente alterna usando impedancias complejas y distinguir resistencia de reactancia [4].</w:t>
            </w:r>
          </w:p>
        </w:tc>
      </w:tr>
      <w:tr w:rsidR="00416A9B" w14:paraId="79242CD3" w14:textId="77777777">
        <w:tc>
          <w:tcPr>
            <w:tcW w:w="4400" w:type="dxa"/>
          </w:tcPr>
          <w:p w14:paraId="2EED3E27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35</w:t>
            </w:r>
          </w:p>
        </w:tc>
        <w:tc>
          <w:tcPr>
            <w:tcW w:w="3520" w:type="dxa"/>
          </w:tcPr>
          <w:p w14:paraId="5E763D8D" w14:textId="77777777" w:rsidR="00416A9B" w:rsidRDefault="00000000">
            <w:pPr>
              <w:pStyle w:val="Compact"/>
            </w:pPr>
            <w:r>
              <w:t>Calcular la impedancia total en circuitos en serie sumando números complejos e interpretar la magnitud de la impedancia [4].</w:t>
            </w:r>
          </w:p>
        </w:tc>
      </w:tr>
      <w:tr w:rsidR="00416A9B" w14:paraId="6B21F794" w14:textId="77777777">
        <w:tc>
          <w:tcPr>
            <w:tcW w:w="4400" w:type="dxa"/>
          </w:tcPr>
          <w:p w14:paraId="7BD89C5A" w14:textId="77777777" w:rsidR="00416A9B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Semana 36</w:t>
            </w:r>
          </w:p>
        </w:tc>
        <w:tc>
          <w:tcPr>
            <w:tcW w:w="3520" w:type="dxa"/>
          </w:tcPr>
          <w:p w14:paraId="3FF312B8" w14:textId="77777777" w:rsidR="00416A9B" w:rsidRDefault="00000000">
            <w:pPr>
              <w:pStyle w:val="Compact"/>
            </w:pPr>
            <w:r>
              <w:t>Sintetizar los aprendizajes (de la raíz negativa a la aplicación eléctrica) y evaluar el dominio de la operatoria y representación [4].</w:t>
            </w:r>
          </w:p>
        </w:tc>
      </w:tr>
      <w:bookmarkEnd w:id="3"/>
    </w:tbl>
    <w:p w14:paraId="1123E7B3" w14:textId="77777777" w:rsidR="002B2213" w:rsidRDefault="002B2213"/>
    <w:sectPr w:rsidR="002B221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1EA2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091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6A9B"/>
    <w:rsid w:val="002B2213"/>
    <w:rsid w:val="00416A9B"/>
    <w:rsid w:val="00575763"/>
    <w:rsid w:val="00652C3E"/>
    <w:rsid w:val="00BA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820A9"/>
  <w15:docId w15:val="{5DFA8112-EDA5-4D6E-95B9-6F5BE7A4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785</Words>
  <Characters>4675</Characters>
  <Application>Microsoft Office Word</Application>
  <DocSecurity>0</DocSecurity>
  <Lines>222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3</cp:revision>
  <dcterms:created xsi:type="dcterms:W3CDTF">2026-03-24T15:00:00Z</dcterms:created>
  <dcterms:modified xsi:type="dcterms:W3CDTF">2026-03-24T15:20:00Z</dcterms:modified>
</cp:coreProperties>
</file>