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92CB" w14:textId="26227AFA" w:rsidR="0047562C" w:rsidRDefault="00311FDE">
      <w:r>
        <w:t>Ailton Fernandes – RA: 171912</w:t>
      </w:r>
    </w:p>
    <w:sectPr w:rsidR="00475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57"/>
    <w:rsid w:val="00311FDE"/>
    <w:rsid w:val="006D5758"/>
    <w:rsid w:val="008B1657"/>
    <w:rsid w:val="008E25B8"/>
    <w:rsid w:val="00D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F6D5"/>
  <w15:chartTrackingRefBased/>
  <w15:docId w15:val="{FDBDB222-964C-4E83-BE3E-4AF4676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fernandes</dc:creator>
  <cp:keywords/>
  <dc:description/>
  <cp:lastModifiedBy>ailton fernandes</cp:lastModifiedBy>
  <cp:revision>2</cp:revision>
  <dcterms:created xsi:type="dcterms:W3CDTF">2021-05-31T03:09:00Z</dcterms:created>
  <dcterms:modified xsi:type="dcterms:W3CDTF">2021-05-31T03:10:00Z</dcterms:modified>
</cp:coreProperties>
</file>