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rPr/>
      </w:pPr>
      <w:bookmarkStart w:colFirst="0" w:colLast="0" w:name="_xp4lzww0h2xl" w:id="0"/>
      <w:bookmarkEnd w:id="0"/>
      <w:r w:rsidDel="00000000" w:rsidR="00000000" w:rsidRPr="00000000">
        <w:rPr>
          <w:rtl w:val="0"/>
        </w:rPr>
        <w:t xml:space="preserve">Planeación inicial del proyecto</w:t>
        <w:br w:type="textWrapping"/>
        <w:t xml:space="preserve">Automatización de procesos de manufactura</w:t>
        <w:br w:type="textWrapping"/>
        <w:t xml:space="preserve">Profesor: Luis Miguel Mendez</w:t>
      </w:r>
    </w:p>
    <w:p w:rsidR="00000000" w:rsidDel="00000000" w:rsidP="00000000" w:rsidRDefault="00000000" w:rsidRPr="00000000" w14:paraId="00000002">
      <w:pPr>
        <w:rPr/>
      </w:pPr>
      <w:r w:rsidDel="00000000" w:rsidR="00000000" w:rsidRPr="00000000">
        <w:rPr>
          <w:rtl w:val="0"/>
        </w:rPr>
        <w:t xml:space="preserve">Presentado por: Grupo 4 APM, Dixon Alberto Cuesta Segura,  Juan Angel Vargas Rodriguez, Juan Esteban Otavo García, Santiago Camilo Fonseca Prieto, Sergio Andrés Bolaños Penagos, Sergio Avellaneda Piñeros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Para comenzar a planear su proyecto, debe revisar en el módulo de Planeación de proyectos, lo correspondiente a: Conceptos básicos y Entorno de proyecto y Metodología EDT, tenga claro los 7 pasos y cuáles son las entradas y salidas de cada paso y que se hace en el mismo.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Los 7 pasos son:</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EDT</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Cronograma</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Curva S</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Matriz de adquisiciones</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Matriz de riesgos</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Matriz de comunicaciones</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Matriz de asignación de responsabilidades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¿Qué es PMI, PMP y PM4R?</w:t>
        <w:br w:type="textWrapping"/>
        <w:br w:type="textWrapping"/>
        <w:t xml:space="preserve">El Project Management Institute (PMI) es una organización internacional fundada en 1969 que se dedica al desarrollo de estándares y buenas prácticas para la gestión de proyectos. En proyectos de automatización, los lineamientos del PMI permiten organizar actividades como la planificación del diseño, la adquisición de equipos, la programación de sistemas de control y la implementación de tecnologías como PLC o SCADA.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Por otra parte, PMP (Project Management Professional) es una certificación profesional otorgada por el PMI que acredita a una persona como especialista en gestión de proyectos. Esta certificación valida que el profesional posee conocimientos, experiencia y habilidades para dirigir proyectos, gestionar equipos de trabajo, controlar costos, administrar cronogramas y manejar riesgos.</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Finalmente, PM4R (Project Management for Results) es una metodología de gestión de proyectos desarrollada por el Banco Interamericano de Desarrollo (BID). Su enfoque principal consiste en orientar la planificación y ejecución de proyectos hacia el logro de resultados concretos y medibles. Esta metodología es utilizada principalmente en proyectos de desarrollo en América Latina, especialmente aquellos relacionados con infraestructura, tecnología y servicios públicos. PM4R propone etapas claras como identificación, planificación, ejecución, monitoreo y cierre del proyecto, asegurando que las actividades realizadas contribuyan directamente al cumplimiento de los objetivos planteados.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¿Por qué el BID plantea esta página?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El Banco Interamericano de Desarrollo (BID) plantea la página y la iniciativa PM4R (Project Management for Results) con el objetivo de fortalecer la gestión de proyectos en América Latina y el Caribe, especialmente en proyectos financiados o apoyados por esta institución. La plataforma fue creada para proporcionar metodologías, herramientas y capacitación que permitan mejorar la planificación, ejecución y control de proyectos de desarrollo.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El BID identificó que muchos proyectos en la región presentaban dificultades relacionadas con retrasos, sobrecostos, falta de seguimiento y baja efectividad en el logro de los resultados esperados. Debido a esto, desarrolló la metodología PM4R, que promueve un enfoque de gestión orientado a resultados, es decir, centrado en asegurar que los proyectos realmente cumplan los objetivos sociales, económicos o tecnológicos para los cuales fueron diseñados.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¿Qué cree que le aporta esta información?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Nos aporta una forma de:</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ordenar el alcance sin perderse</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separar claramente EDT, cronograma y presupuesto</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asignar responsables</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justificar técnica y económicamente la propuesta</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estructurar el proyecto</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Cuáles son los pasos enfocados a planeación y evaluación económica?</w:t>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EDT, porque define el alcance</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Cronograma, porque ordena duración, secuencia y ruta crítica.</w:t>
      </w:r>
    </w:p>
    <w:p w:rsidR="00000000" w:rsidDel="00000000" w:rsidP="00000000" w:rsidRDefault="00000000" w:rsidRPr="00000000" w14:paraId="00000027">
      <w:pPr>
        <w:numPr>
          <w:ilvl w:val="0"/>
          <w:numId w:val="4"/>
        </w:numPr>
        <w:ind w:left="720" w:hanging="360"/>
        <w:rPr>
          <w:u w:val="none"/>
        </w:rPr>
      </w:pPr>
      <w:r w:rsidDel="00000000" w:rsidR="00000000" w:rsidRPr="00000000">
        <w:rPr>
          <w:rtl w:val="0"/>
        </w:rPr>
        <w:t xml:space="preserve">Curva S, porque organiza el uso de recursos/costos en el tiempo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¿Qué cree que debe tener de esto, su proyecto?</w:t>
      </w:r>
    </w:p>
    <w:p w:rsidR="00000000" w:rsidDel="00000000" w:rsidP="00000000" w:rsidRDefault="00000000" w:rsidRPr="00000000" w14:paraId="0000002A">
      <w:pPr>
        <w:spacing w:after="240" w:before="240" w:lineRule="auto"/>
        <w:rPr/>
      </w:pPr>
      <w:r w:rsidDel="00000000" w:rsidR="00000000" w:rsidRPr="00000000">
        <w:rPr>
          <w:rtl w:val="0"/>
        </w:rPr>
        <w:t xml:space="preserve">Mínimo debería tener:</w:t>
      </w:r>
    </w:p>
    <w:p w:rsidR="00000000" w:rsidDel="00000000" w:rsidP="00000000" w:rsidRDefault="00000000" w:rsidRPr="00000000" w14:paraId="0000002B">
      <w:pPr>
        <w:numPr>
          <w:ilvl w:val="0"/>
          <w:numId w:val="3"/>
        </w:numPr>
        <w:spacing w:after="0" w:afterAutospacing="0" w:before="240" w:lineRule="auto"/>
        <w:ind w:left="720" w:hanging="360"/>
      </w:pPr>
      <w:r w:rsidDel="00000000" w:rsidR="00000000" w:rsidRPr="00000000">
        <w:rPr>
          <w:rtl w:val="0"/>
        </w:rPr>
        <w:t xml:space="preserve">EDT del proyecto,</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diccionario EDT,</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cronograma Gantt,</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presupuesto CAPEX/OPEX,</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flujo de caja,</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tl w:val="0"/>
        </w:rPr>
        <w:t xml:space="preserve">indicadores VPN/NPV, TIR, ROI, Payback,</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rtl w:val="0"/>
        </w:rPr>
        <w:t xml:space="preserve">evidencias de precios,</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responsables,</w:t>
      </w:r>
    </w:p>
    <w:p w:rsidR="00000000" w:rsidDel="00000000" w:rsidP="00000000" w:rsidRDefault="00000000" w:rsidRPr="00000000" w14:paraId="00000033">
      <w:pPr>
        <w:numPr>
          <w:ilvl w:val="0"/>
          <w:numId w:val="3"/>
        </w:numPr>
        <w:spacing w:after="240" w:before="0" w:beforeAutospacing="0" w:lineRule="auto"/>
        <w:ind w:left="720" w:hanging="360"/>
      </w:pPr>
      <w:r w:rsidDel="00000000" w:rsidR="00000000" w:rsidRPr="00000000">
        <w:rPr>
          <w:rtl w:val="0"/>
        </w:rPr>
        <w:t xml:space="preserve">y relación clara entre alcance técnico y viabilidad económica.</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¿Cuáles son las etapas de su EDT del proyecto y cuáles son las etapas de su EDT de producción?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sz w:val="30"/>
          <w:szCs w:val="30"/>
        </w:rPr>
      </w:pPr>
      <w:r w:rsidDel="00000000" w:rsidR="00000000" w:rsidRPr="00000000">
        <w:rPr>
          <w:rtl w:val="0"/>
        </w:rPr>
      </w:r>
    </w:p>
    <w:p w:rsidR="00000000" w:rsidDel="00000000" w:rsidP="00000000" w:rsidRDefault="00000000" w:rsidRPr="00000000" w14:paraId="00000039">
      <w:pPr>
        <w:rPr>
          <w:b w:val="1"/>
          <w:bCs w:val="1"/>
          <w:sz w:val="30"/>
          <w:szCs w:val="30"/>
        </w:rPr>
      </w:pPr>
      <w:r w:rsidDel="00000000" w:rsidR="00000000" w:rsidRPr="00000000">
        <w:rPr>
          <w:b w:val="1"/>
          <w:bCs w:val="1"/>
          <w:sz w:val="30"/>
          <w:szCs w:val="30"/>
          <w:rtl w:val="0"/>
        </w:rPr>
        <w:t xml:space="preserve">EDT de la producción: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1pvgh23f2oeo" w:id="1"/>
      <w:bookmarkEnd w:id="1"/>
      <w:r w:rsidDel="00000000" w:rsidR="00000000" w:rsidRPr="00000000">
        <w:rPr>
          <w:b w:val="1"/>
          <w:bCs w:val="1"/>
          <w:color w:val="000000"/>
          <w:sz w:val="26"/>
          <w:szCs w:val="26"/>
          <w:rtl w:val="0"/>
        </w:rPr>
        <w:t xml:space="preserve">1. Insumos de producción disponibles</w:t>
      </w:r>
    </w:p>
    <w:p w:rsidR="00000000" w:rsidDel="00000000" w:rsidP="00000000" w:rsidRDefault="00000000" w:rsidRPr="00000000" w14:paraId="0000003C">
      <w:pPr>
        <w:spacing w:after="240" w:before="240" w:lineRule="auto"/>
        <w:rPr/>
      </w:pPr>
      <w:r w:rsidDel="00000000" w:rsidR="00000000" w:rsidRPr="00000000">
        <w:rPr>
          <w:rtl w:val="0"/>
        </w:rPr>
        <w:t xml:space="preserve">1.1 Agua de proceso disponible</w:t>
        <w:br w:type="textWrapping"/>
        <w:t xml:space="preserve"> 1.2 Ingredientes/aditivos disponibles</w:t>
        <w:br w:type="textWrapping"/>
        <w:t xml:space="preserve"> 1.3 Envases y cierres disponibles</w:t>
        <w:br w:type="textWrapping"/>
        <w:t xml:space="preserve"> 1.4 Material de empaque disponible</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fhzvw8xknfrr" w:id="2"/>
      <w:bookmarkEnd w:id="2"/>
      <w:r w:rsidDel="00000000" w:rsidR="00000000" w:rsidRPr="00000000">
        <w:rPr>
          <w:b w:val="1"/>
          <w:bCs w:val="1"/>
          <w:color w:val="000000"/>
          <w:sz w:val="26"/>
          <w:szCs w:val="26"/>
          <w:rtl w:val="0"/>
        </w:rPr>
        <w:t xml:space="preserve">2. Producto base preparado</w:t>
      </w:r>
    </w:p>
    <w:p w:rsidR="00000000" w:rsidDel="00000000" w:rsidP="00000000" w:rsidRDefault="00000000" w:rsidRPr="00000000" w14:paraId="0000003E">
      <w:pPr>
        <w:spacing w:after="240" w:before="240" w:lineRule="auto"/>
        <w:rPr/>
      </w:pPr>
      <w:r w:rsidDel="00000000" w:rsidR="00000000" w:rsidRPr="00000000">
        <w:rPr>
          <w:rtl w:val="0"/>
        </w:rPr>
        <w:t xml:space="preserve">2.1 Agua tratada disponible</w:t>
        <w:br w:type="textWrapping"/>
        <w:t xml:space="preserve"> 2.2 Jarabe/base formulada disponible</w:t>
        <w:br w:type="textWrapping"/>
        <w:t xml:space="preserve"> 2.3 Mezcla final preparada</w:t>
        <w:br w:type="textWrapping"/>
        <w:t xml:space="preserve"> 2.4 Producto acondicionado térmicamente/carbonatado según receta</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hh1xsp38dkt2" w:id="3"/>
      <w:bookmarkEnd w:id="3"/>
      <w:r w:rsidDel="00000000" w:rsidR="00000000" w:rsidRPr="00000000">
        <w:rPr>
          <w:b w:val="1"/>
          <w:bCs w:val="1"/>
          <w:color w:val="000000"/>
          <w:sz w:val="26"/>
          <w:szCs w:val="26"/>
          <w:rtl w:val="0"/>
        </w:rPr>
        <w:t xml:space="preserve">3. Envases acondicionados</w:t>
      </w:r>
    </w:p>
    <w:p w:rsidR="00000000" w:rsidDel="00000000" w:rsidP="00000000" w:rsidRDefault="00000000" w:rsidRPr="00000000" w14:paraId="00000040">
      <w:pPr>
        <w:spacing w:after="240" w:before="240" w:lineRule="auto"/>
        <w:rPr/>
      </w:pPr>
      <w:r w:rsidDel="00000000" w:rsidR="00000000" w:rsidRPr="00000000">
        <w:rPr>
          <w:rtl w:val="0"/>
        </w:rPr>
        <w:t xml:space="preserve">3.1 Envases lavados/soplados/alimentados</w:t>
        <w:br w:type="textWrapping"/>
        <w:t xml:space="preserve"> 3.2 Cierres/tapas alimentados</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wel5o2lsfpa8" w:id="4"/>
      <w:bookmarkEnd w:id="4"/>
      <w:r w:rsidDel="00000000" w:rsidR="00000000" w:rsidRPr="00000000">
        <w:rPr>
          <w:b w:val="1"/>
          <w:bCs w:val="1"/>
          <w:color w:val="000000"/>
          <w:sz w:val="26"/>
          <w:szCs w:val="26"/>
          <w:rtl w:val="0"/>
        </w:rPr>
        <w:t xml:space="preserve">4. Producto envasado conforme</w:t>
      </w:r>
    </w:p>
    <w:p w:rsidR="00000000" w:rsidDel="00000000" w:rsidP="00000000" w:rsidRDefault="00000000" w:rsidRPr="00000000" w14:paraId="00000042">
      <w:pPr>
        <w:spacing w:after="240" w:before="240" w:lineRule="auto"/>
        <w:rPr/>
      </w:pPr>
      <w:r w:rsidDel="00000000" w:rsidR="00000000" w:rsidRPr="00000000">
        <w:rPr>
          <w:rtl w:val="0"/>
        </w:rPr>
        <w:t xml:space="preserve">4.1 Unidades llenadas</w:t>
        <w:br w:type="textWrapping"/>
        <w:t xml:space="preserve"> 4.2 Unidades cerradas</w:t>
        <w:br w:type="textWrapping"/>
        <w:t xml:space="preserve"> 4.3 Unidades inspeccionadas</w:t>
        <w:br w:type="textWrapping"/>
        <w:t xml:space="preserve"> 4.4 Unidades codificadas</w:t>
        <w:br w:type="textWrapping"/>
        <w:t xml:space="preserve"> 4.5 Unidades rechazadas segregadas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hb5wtvtvr4l2" w:id="5"/>
      <w:bookmarkEnd w:id="5"/>
      <w:r w:rsidDel="00000000" w:rsidR="00000000" w:rsidRPr="00000000">
        <w:rPr>
          <w:b w:val="1"/>
          <w:bCs w:val="1"/>
          <w:color w:val="000000"/>
          <w:sz w:val="26"/>
          <w:szCs w:val="26"/>
          <w:rtl w:val="0"/>
        </w:rPr>
        <w:t xml:space="preserve">5. Producto empacado y despachable</w:t>
      </w:r>
    </w:p>
    <w:p w:rsidR="00000000" w:rsidDel="00000000" w:rsidP="00000000" w:rsidRDefault="00000000" w:rsidRPr="00000000" w14:paraId="00000044">
      <w:pPr>
        <w:spacing w:after="240" w:before="240" w:lineRule="auto"/>
        <w:rPr/>
      </w:pPr>
      <w:r w:rsidDel="00000000" w:rsidR="00000000" w:rsidRPr="00000000">
        <w:rPr>
          <w:rtl w:val="0"/>
        </w:rPr>
        <w:t xml:space="preserve">5.1 Empaque secundario conformado</w:t>
        <w:br w:type="textWrapping"/>
        <w:t xml:space="preserve"> 5.2 Pallets conformados</w:t>
        <w:br w:type="textWrapping"/>
        <w:t xml:space="preserve"> 5.3 Lotes trazables y despachables</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r9ltg3bqkm4r" w:id="6"/>
      <w:bookmarkEnd w:id="6"/>
      <w:r w:rsidDel="00000000" w:rsidR="00000000" w:rsidRPr="00000000">
        <w:rPr>
          <w:b w:val="1"/>
          <w:bCs w:val="1"/>
          <w:color w:val="000000"/>
          <w:sz w:val="26"/>
          <w:szCs w:val="26"/>
          <w:rtl w:val="0"/>
        </w:rPr>
        <w:t xml:space="preserve">6. Servicios y datos de soporte disponibles</w:t>
      </w:r>
    </w:p>
    <w:p w:rsidR="00000000" w:rsidDel="00000000" w:rsidP="00000000" w:rsidRDefault="00000000" w:rsidRPr="00000000" w14:paraId="00000046">
      <w:pPr>
        <w:spacing w:after="240" w:before="240" w:lineRule="auto"/>
        <w:rPr/>
      </w:pPr>
      <w:r w:rsidDel="00000000" w:rsidR="00000000" w:rsidRPr="00000000">
        <w:rPr>
          <w:rtl w:val="0"/>
        </w:rPr>
        <w:t xml:space="preserve">6.1 Aire, energía y utilidades disponibles</w:t>
        <w:br w:type="textWrapping"/>
        <w:t xml:space="preserve"> 6.2 Datos de producción capturados</w:t>
        <w:br w:type="textWrapping"/>
        <w:t xml:space="preserve"> 6.3 Eventos, alarmas y lotes registrados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Qué es APU y cómo se puede establecer.</w:t>
        <w:br w:type="textWrapping"/>
        <w:br w:type="textWrapping"/>
        <w:t xml:space="preserve">El APU (Análisis de Precios Unitarios) es una herramienta utilizada en ingeniería y gestión de proyectos para determinar el costo unitario de una actividad específica dentro de una obra o proyecto. Su objetivo es calcular de manera detallada cuánto cuesta ejecutar una unidad de trabajo, por ejemplo, 1 m³ de concreto, 1 m² de mampostería o 1 m de tubería instalada.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El APU se basa en la descomposición de una actividad en todos los recursos necesarios para ejecutarla. Esto permite conocer con precisión los costos involucrados y facilita la elaboración de presupuestos, la planificación de obras y el control financiero del proyecto.</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Para establecer un Análisis de Precios Unitarios, se deben considerar principalmente los siguientes componentes: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Materiales</w:t>
      </w:r>
    </w:p>
    <w:p w:rsidR="00000000" w:rsidDel="00000000" w:rsidP="00000000" w:rsidRDefault="00000000" w:rsidRPr="00000000" w14:paraId="00000053">
      <w:pPr>
        <w:rPr/>
      </w:pPr>
      <w:r w:rsidDel="00000000" w:rsidR="00000000" w:rsidRPr="00000000">
        <w:rPr>
          <w:rtl w:val="0"/>
        </w:rPr>
        <w:t xml:space="preserve">Incluye todos los insumos necesarios para realizar la actividad. Se debe determinar la cantidad necesaria por unidad de obra y el costo unitario de cada material.</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Mano de obra</w:t>
      </w:r>
    </w:p>
    <w:p w:rsidR="00000000" w:rsidDel="00000000" w:rsidP="00000000" w:rsidRDefault="00000000" w:rsidRPr="00000000" w14:paraId="00000056">
      <w:pPr>
        <w:rPr/>
      </w:pPr>
      <w:r w:rsidDel="00000000" w:rsidR="00000000" w:rsidRPr="00000000">
        <w:rPr>
          <w:rtl w:val="0"/>
        </w:rPr>
        <w:t xml:space="preserve">Corresponde al costo del personal que interviene en la ejecución de la actividad, como obreros, técnicos o supervisores. Se calcula considerando el rendimiento del trabajador y el costo por jornada o por hora.</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Equipos y herramientas</w:t>
      </w:r>
    </w:p>
    <w:p w:rsidR="00000000" w:rsidDel="00000000" w:rsidP="00000000" w:rsidRDefault="00000000" w:rsidRPr="00000000" w14:paraId="00000059">
      <w:pPr>
        <w:rPr/>
      </w:pPr>
      <w:r w:rsidDel="00000000" w:rsidR="00000000" w:rsidRPr="00000000">
        <w:rPr>
          <w:rtl w:val="0"/>
        </w:rPr>
        <w:t xml:space="preserve">Incluye el uso de maquinaria, herramientas y equipos necesarios para realizar la actividad. Se considera el costo de operación, mantenimiento y depreciación.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Transporte</w:t>
      </w:r>
    </w:p>
    <w:p w:rsidR="00000000" w:rsidDel="00000000" w:rsidP="00000000" w:rsidRDefault="00000000" w:rsidRPr="00000000" w14:paraId="0000005C">
      <w:pPr>
        <w:rPr/>
      </w:pPr>
      <w:r w:rsidDel="00000000" w:rsidR="00000000" w:rsidRPr="00000000">
        <w:rPr>
          <w:rtl w:val="0"/>
        </w:rPr>
        <w:t xml:space="preserve">Se refiere al costo de movilizar materiales, equipos o personal hacia el lugar de ejecución del proyecto.</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El procedimiento general para establecer un APU consiste en identificar la actividad a analizar, determinar los recursos necesarios (materiales, mano de obra y equipos), calcular las cantidades requeridas por unidad de obra y multiplicarlas por sus respectivos costos unitarios. Finalmente, se suman todos los costos para obtener el precio unitario de la actividad.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En algunos casos, al resultado del APU se le agregan costos adicionales como AIU (Administración, Imprevistos y Utilidad) para obtener el precio final utilizado en el presupuesto de un proyecto.</w:t>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