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QuickStock — Java Project Structure</w:t>
      </w:r>
    </w:p>
    <w:p>
      <w:pPr>
        <w:jc w:val="center"/>
      </w:pPr>
      <w:r>
        <w:t>Two Spring Boot applications (Core + Payments) with Flyway + PostgreSQL</w:t>
      </w:r>
    </w:p>
    <w:p>
      <w:r>
        <w:rPr>
          <w:b/>
        </w:rPr>
        <w:t xml:space="preserve">Scope: </w:t>
      </w:r>
      <w:r>
        <w:t>Recommended monorepo layout and package layering for implementation.</w:t>
      </w:r>
    </w:p>
    <w:p>
      <w:pPr>
        <w:pStyle w:val="Heading1"/>
      </w:pPr>
      <w:r>
        <w:t>1. Repository options</w:t>
      </w:r>
    </w:p>
    <w:p>
      <w:r>
        <w:t>You can organize the code in either of these ways: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When to use</w:t>
            </w:r>
          </w:p>
        </w:tc>
      </w:tr>
      <w:tr>
        <w:tc>
          <w:tcPr>
            <w:tcW w:type="dxa" w:w="4320"/>
          </w:tcPr>
          <w:p>
            <w:r>
              <w:t>A. Monorepo (recommended)</w:t>
            </w:r>
          </w:p>
        </w:tc>
        <w:tc>
          <w:tcPr>
            <w:tcW w:type="dxa" w:w="4320"/>
          </w:tcPr>
          <w:p>
            <w:r>
              <w:t>One Git repository with a parent Maven/Gradle build and two modules. Easier versioning and local integration testing.</w:t>
            </w:r>
          </w:p>
        </w:tc>
      </w:tr>
      <w:tr>
        <w:tc>
          <w:tcPr>
            <w:tcW w:type="dxa" w:w="4320"/>
          </w:tcPr>
          <w:p>
            <w:r>
              <w:t>B. Two repositories</w:t>
            </w:r>
          </w:p>
        </w:tc>
        <w:tc>
          <w:tcPr>
            <w:tcW w:type="dxa" w:w="4320"/>
          </w:tcPr>
          <w:p>
            <w:r>
              <w:t>Separate repositories per service. Useful if teams release independently or access rules differ.</w:t>
            </w:r>
          </w:p>
        </w:tc>
      </w:tr>
    </w:tbl>
    <w:p/>
    <w:p>
      <w:pPr>
        <w:pStyle w:val="Heading1"/>
      </w:pPr>
      <w:r>
        <w:t>2. Monorepo folder structure (recommended)</w:t>
      </w:r>
    </w:p>
    <w:p>
      <w:r>
        <w:t>High-level tree:</w:t>
      </w:r>
    </w:p>
    <w:p>
      <w:r>
        <w:rPr>
          <w:rFonts w:ascii="Courier New" w:hAnsi="Courier New" w:eastAsia="Courier New"/>
          <w:sz w:val="19"/>
        </w:rPr>
        <w:t>quickstock/</w:t>
        <w:br/>
        <w:t>├─ README.md</w:t>
        <w:br/>
        <w:t>├─ docker-compose.yml</w:t>
        <w:br/>
        <w:t>├─ pom.xml                       (parent pom)</w:t>
        <w:br/>
        <w:t>├─ .editorconfig</w:t>
        <w:br/>
        <w:t>├─ .gitignore</w:t>
        <w:br/>
        <w:t>├─ docs/</w:t>
        <w:br/>
        <w:t>│  ├─ api-contracts/</w:t>
        <w:br/>
        <w:t>│  └─ architecture/</w:t>
        <w:br/>
        <w:t>├─ common-lib/                   (optional shared library: DTOs, errors, utils)</w:t>
        <w:br/>
        <w:t>│  ├─ pom.xml</w:t>
        <w:br/>
        <w:t>│  └─ src/main/java/com/quickstock/common/...</w:t>
        <w:br/>
        <w:t>├─ quickstock-core-service/</w:t>
        <w:br/>
        <w:t>│  ├─ pom.xml</w:t>
        <w:br/>
        <w:t>│  ├─ src/main/java/com/quickstock/core/...</w:t>
        <w:br/>
        <w:t>│  ├─ src/main/resources/</w:t>
        <w:br/>
        <w:t>│  │  ├─ application.yml</w:t>
        <w:br/>
        <w:t>│  │  └─ db/migration/           (Flyway migrations)</w:t>
        <w:br/>
        <w:t>│  │     ├─ V1__init_schema.sql</w:t>
        <w:br/>
        <w:t>│  │     ├─ V2__indexes.sql</w:t>
        <w:br/>
        <w:t>│  │     └─ V3__seed_data.sql     (optional)</w:t>
        <w:br/>
        <w:t>│  └─ src/test/java/com/quickstock/core/...</w:t>
        <w:br/>
        <w:t>└─ payments-service/</w:t>
        <w:br/>
        <w:t xml:space="preserve">   ├─ pom.xml</w:t>
        <w:br/>
        <w:t xml:space="preserve">   ├─ src/main/java/com/quickstock/payments/...</w:t>
        <w:br/>
        <w:t xml:space="preserve">   ├─ src/main/resources/</w:t>
        <w:br/>
        <w:t xml:space="preserve">   │  ├─ application.yml</w:t>
        <w:br/>
        <w:t xml:space="preserve">   │  └─ db/migration/           (Flyway migrations)</w:t>
        <w:br/>
        <w:t xml:space="preserve">   │     ├─ V1__init_schema.sql</w:t>
        <w:br/>
        <w:t xml:space="preserve">   │     ├─ V2__indexes.sql</w:t>
        <w:br/>
        <w:t xml:space="preserve">   │     └─ V3__seed_data.sql     (optional)</w:t>
        <w:br/>
        <w:t xml:space="preserve">   └─ src/test/java/com/quickstock/payments/...</w:t>
      </w:r>
    </w:p>
    <w:p>
      <w:pPr>
        <w:pStyle w:val="Heading1"/>
      </w:pPr>
      <w:r>
        <w:t>3. Core Service — package structure</w:t>
      </w:r>
    </w:p>
    <w:p>
      <w:r>
        <w:t>Suggested packages and responsibilities:</w:t>
      </w:r>
    </w:p>
    <w:p>
      <w:r>
        <w:rPr>
          <w:rFonts w:ascii="Courier New" w:hAnsi="Courier New" w:eastAsia="Courier New"/>
          <w:sz w:val="19"/>
        </w:rPr>
        <w:t>com.quickstock.core</w:t>
        <w:br/>
        <w:t>├─ CoreApplication.java</w:t>
        <w:br/>
        <w:t>├─ config/                       (security, OpenAPI, scheduling, beans)</w:t>
        <w:br/>
        <w:t>├─ controller/                   (REST endpoints)</w:t>
        <w:br/>
        <w:t>├─ dto/                          (request/response models)</w:t>
        <w:br/>
        <w:t>├─ domain/</w:t>
        <w:br/>
        <w:t>│  ├─ model/                     (JPA entities)</w:t>
        <w:br/>
        <w:t>│  ├─ enums/                     (OrderStatus, etc.)</w:t>
        <w:br/>
        <w:t>│  └─ exception/                 (domain exceptions)</w:t>
        <w:br/>
        <w:t>├─ repository/                   (Spring Data JPA)</w:t>
        <w:br/>
        <w:t>├─ service/                      (business logic + @Transactional)</w:t>
        <w:br/>
        <w:t>├─ integration/</w:t>
        <w:br/>
        <w:t>│  └─ payments/                  (REST client to payments-service)</w:t>
        <w:br/>
        <w:t>└─ web/</w:t>
        <w:br/>
        <w:t xml:space="preserve">   └─ error/                     (global exception handler, error response)</w:t>
      </w:r>
    </w:p>
    <w:p>
      <w:pPr>
        <w:pStyle w:val="Heading1"/>
      </w:pPr>
      <w:r>
        <w:t>4. Payments Service — package structure</w:t>
      </w:r>
    </w:p>
    <w:p>
      <w:r>
        <w:t>Suggested packages and responsibilities:</w:t>
      </w:r>
    </w:p>
    <w:p>
      <w:r>
        <w:rPr>
          <w:rFonts w:ascii="Courier New" w:hAnsi="Courier New" w:eastAsia="Courier New"/>
          <w:sz w:val="19"/>
        </w:rPr>
        <w:t>com.quickstock.payments</w:t>
        <w:br/>
        <w:t>├─ PaymentsApplication.java</w:t>
        <w:br/>
        <w:t>├─ config/                       (security for service-to-service, OpenAPI)</w:t>
        <w:br/>
        <w:t>├─ controller/                   (payment endpoints)</w:t>
        <w:br/>
        <w:t>├─ dto/                          (request/response models)</w:t>
        <w:br/>
        <w:t>├─ domain/</w:t>
        <w:br/>
        <w:t>│  ├─ model/                     (Payment, PaymentAttempt)</w:t>
        <w:br/>
        <w:t>│  ├─ enums/                     (PaymentStatus)</w:t>
        <w:br/>
        <w:t>│  └─ exception/</w:t>
        <w:br/>
        <w:t>├─ repository/</w:t>
        <w:br/>
        <w:t>├─ service/                      (idempotency, provider simulation, notifications)</w:t>
        <w:br/>
        <w:t>├─ integration/</w:t>
        <w:br/>
        <w:t>│  └─ core/                      (REST client to core-service)</w:t>
        <w:br/>
        <w:t>└─ web/</w:t>
        <w:br/>
        <w:t xml:space="preserve">   └─ error/                     (global exception handler, error response)</w:t>
      </w:r>
    </w:p>
    <w:p>
      <w:pPr>
        <w:pStyle w:val="Heading1"/>
      </w:pPr>
      <w:r>
        <w:t>5. Flyway conventions</w:t>
      </w:r>
    </w:p>
    <w:p>
      <w:r>
        <w:t>For each service, keep Flyway migrations here:</w:t>
      </w:r>
    </w:p>
    <w:p>
      <w:r>
        <w:rPr>
          <w:rFonts w:ascii="Courier New" w:hAnsi="Courier New" w:eastAsia="Courier New"/>
          <w:sz w:val="19"/>
        </w:rPr>
        <w:t>src/main/resources/db/migration/</w:t>
        <w:br/>
        <w:t xml:space="preserve">  V1__init_schema.sql</w:t>
        <w:br/>
        <w:t xml:space="preserve">  V2__indexes.sql</w:t>
        <w:br/>
        <w:t xml:space="preserve">  V3__seed_data.sql   (optional)</w:t>
      </w:r>
    </w:p>
    <w:p>
      <w:pPr>
        <w:pStyle w:val="ListBullet"/>
      </w:pPr>
      <w:r>
        <w:t>Naming rules:</w:t>
      </w:r>
      <w:r>
        <w:rPr>
          <w:b w:val="0"/>
        </w:rPr>
        <w:t xml:space="preserve"> Use </w:t>
      </w:r>
      <w:r>
        <w:rPr>
          <w:b/>
        </w:rPr>
        <w:t>V&lt;version&gt;__&lt;description&gt;.sql</w:t>
      </w:r>
    </w:p>
    <w:p>
      <w:pPr>
        <w:pStyle w:val="ListBullet"/>
      </w:pPr>
      <w:r>
        <w:t>Ordering:</w:t>
      </w:r>
      <w:r>
        <w:t xml:space="preserve"> Flyway runs migrations in version order, once per database.</w:t>
      </w:r>
    </w:p>
    <w:p>
      <w:pPr>
        <w:pStyle w:val="ListBullet"/>
      </w:pPr>
      <w:r>
        <w:t>Service boundaries:</w:t>
      </w:r>
      <w:r>
        <w:t xml:space="preserve"> Each service owns its own schema/database; avoid sharing tables across services.</w:t>
      </w:r>
    </w:p>
    <w:p>
      <w:pPr>
        <w:pStyle w:val="Heading1"/>
      </w:pPr>
      <w:r>
        <w:t>6. Local run (developer workflow)</w:t>
      </w:r>
    </w:p>
    <w:p>
      <w:r>
        <w:t>Typical local steps: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Command / Notes</w:t>
            </w:r>
          </w:p>
        </w:tc>
      </w:tr>
      <w:tr>
        <w:tc>
          <w:tcPr>
            <w:tcW w:type="dxa" w:w="4320"/>
          </w:tcPr>
          <w:p>
            <w:r>
              <w:t>Start databases</w:t>
            </w:r>
          </w:p>
        </w:tc>
        <w:tc>
          <w:tcPr>
            <w:tcW w:type="dxa" w:w="4320"/>
          </w:tcPr>
          <w:p>
            <w:r>
              <w:t>docker compose up -d</w:t>
            </w:r>
          </w:p>
        </w:tc>
      </w:tr>
      <w:tr>
        <w:tc>
          <w:tcPr>
            <w:tcW w:type="dxa" w:w="4320"/>
          </w:tcPr>
          <w:p>
            <w:r>
              <w:t>Run core service</w:t>
            </w:r>
          </w:p>
        </w:tc>
        <w:tc>
          <w:tcPr>
            <w:tcW w:type="dxa" w:w="4320"/>
          </w:tcPr>
          <w:p>
            <w:r>
              <w:t>./mvnw -pl quickstock-core-service spring-boot:run</w:t>
            </w:r>
          </w:p>
        </w:tc>
      </w:tr>
      <w:tr>
        <w:tc>
          <w:tcPr>
            <w:tcW w:type="dxa" w:w="4320"/>
          </w:tcPr>
          <w:p>
            <w:r>
              <w:t>Run payments service</w:t>
            </w:r>
          </w:p>
        </w:tc>
        <w:tc>
          <w:tcPr>
            <w:tcW w:type="dxa" w:w="4320"/>
          </w:tcPr>
          <w:p>
            <w:r>
              <w:t>./mvnw -pl payments-service spring-boot:run</w:t>
            </w:r>
          </w:p>
        </w:tc>
      </w:tr>
      <w:tr>
        <w:tc>
          <w:tcPr>
            <w:tcW w:type="dxa" w:w="4320"/>
          </w:tcPr>
          <w:p>
            <w:r>
              <w:t>Verify migrations</w:t>
            </w:r>
          </w:p>
        </w:tc>
        <w:tc>
          <w:tcPr>
            <w:tcW w:type="dxa" w:w="4320"/>
          </w:tcPr>
          <w:p>
            <w:r>
              <w:t>Check Flyway logs on startup; confirm tables exist in each DB.</w:t>
            </w:r>
          </w:p>
        </w:tc>
      </w:tr>
    </w:tbl>
    <w:p>
      <w:pPr>
        <w:pStyle w:val="Heading1"/>
      </w:pPr>
      <w:r>
        <w:t>7. Notes for QA → Dev transition</w:t>
      </w:r>
    </w:p>
    <w:p>
      <w:pPr>
        <w:pStyle w:val="ListBullet"/>
      </w:pPr>
      <w:r>
        <w:t>Key areas to focus on while implementing:</w:t>
      </w:r>
    </w:p>
    <w:p>
      <w:pPr>
        <w:pStyle w:val="ListBullet"/>
      </w:pPr>
      <w:r>
        <w:t>Transactional boundaries for reserve/release/expire inventory</w:t>
      </w:r>
    </w:p>
    <w:p>
      <w:pPr>
        <w:pStyle w:val="ListBullet"/>
      </w:pPr>
      <w:r>
        <w:t>Idempotency in payments (Idempotency-Key + unique constraint)</w:t>
      </w:r>
    </w:p>
    <w:p>
      <w:pPr>
        <w:pStyle w:val="ListBullet"/>
      </w:pPr>
      <w:r>
        <w:t>Integration tests with Testcontainers (PostgreSQL) for both services</w:t>
      </w:r>
    </w:p>
    <w:p>
      <w:pPr>
        <w:pStyle w:val="ListBullet"/>
      </w:pPr>
      <w:r>
        <w:t>Consistent error model (HTTP status + error codes)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