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о проделанной работе</w:t>
      </w:r>
    </w:p>
    <w:p>
      <w:r>
        <w:t>ООО «ДИСКВЭР»</w:t>
      </w:r>
    </w:p>
    <w:p>
      <w:r>
        <w:t>Отчётность в ФТС и конвертер УПД Wildberries для Диадока</w:t>
      </w:r>
    </w:p>
    <w:p>
      <w:r>
        <w:t>В «Пульте бизнеса» реализованы два направления: подготовка статистических форм по продажам в страны ЕАЭС и преобразование уведомлений о выкупе Wildberries в электронные УПД для загрузки в Диадок.</w:t>
      </w:r>
    </w:p>
    <w:p>
      <w:pPr>
        <w:pStyle w:val="Heading1"/>
      </w:pPr>
      <w:r>
        <w:t>1. Изначальная задача</w:t>
      </w:r>
    </w:p>
    <w:p>
      <w:r>
        <w:t>Отчётность в ФТС. Автоматизировать подготовку статистических форм по зарубежным продажам: собирать заказы, определять страну доставки и признак выкупа маркетплейсом, рассчитывать показатели товарных строк и формировать XML для загрузки в личный кабинет ФТС. Обеспечить контроль того, какие формы подготовлены и какие отмечены как сданные.</w:t>
      </w:r>
    </w:p>
    <w:p>
      <w:r>
        <w:t>Конвертер УПД для Диадока. Автоматически получать уведомления о выкупе товара от Wildberries, разбирать их состав и преобразовывать в УПД с реквизитами Дисквер. Сохранить суммы выкупа, корректно рассчитать НДС и сформировать файл в формате, пригодном для загрузки в Диадок. Предоставить сотруднику экран выгрузки и учёта обработки документов.</w:t>
      </w:r>
    </w:p>
    <w:p>
      <w:pPr>
        <w:pStyle w:val="Heading1"/>
      </w:pPr>
      <w:r>
        <w:t>2. Этапы и оценка трудоёмкости</w:t>
      </w:r>
    </w:p>
    <w:p>
      <w:r>
        <w:t>Ориентировочная трудоёмкость двух направлений составляет 80 часов с учётом использования существующей инфраструктуры Пульта, готовых модулей и образцов XML. Оценка не включает простои и ожидание ответов площадок и не является подтверждённым табелем фактически отработанного времени.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Этап</w:t>
            </w:r>
          </w:p>
        </w:tc>
        <w:tc>
          <w:tcPr>
            <w:tcW w:type="dxa" w:w="4873"/>
          </w:tcPr>
          <w:p>
            <w:r>
              <w:t>Оценка, ч</w:t>
            </w:r>
          </w:p>
        </w:tc>
      </w:tr>
      <w:tr>
        <w:tc>
          <w:tcPr>
            <w:tcW w:type="dxa" w:w="4873"/>
          </w:tcPr>
          <w:p>
            <w:r>
              <w:t>Анализ источников и форматов документов</w:t>
            </w:r>
          </w:p>
        </w:tc>
        <w:tc>
          <w:tcPr>
            <w:tcW w:type="dxa" w:w="4873"/>
          </w:tcPr>
          <w:p>
            <w:r>
              <w:t>12</w:t>
            </w:r>
          </w:p>
        </w:tc>
      </w:tr>
      <w:tr>
        <w:tc>
          <w:tcPr>
            <w:tcW w:type="dxa" w:w="4873"/>
          </w:tcPr>
          <w:p>
            <w:r>
              <w:t>Реализация</w:t>
            </w:r>
          </w:p>
        </w:tc>
        <w:tc>
          <w:tcPr>
            <w:tcW w:type="dxa" w:w="4873"/>
          </w:tcPr>
          <w:p>
            <w:r>
              <w:t>46</w:t>
            </w:r>
          </w:p>
        </w:tc>
      </w:tr>
      <w:tr>
        <w:tc>
          <w:tcPr>
            <w:tcW w:type="dxa" w:w="4873"/>
          </w:tcPr>
          <w:p>
            <w:r>
              <w:t xml:space="preserve">  Сбор заказов и признака выкупа</w:t>
            </w:r>
          </w:p>
        </w:tc>
        <w:tc>
          <w:tcPr>
            <w:tcW w:type="dxa" w:w="4873"/>
          </w:tcPr>
          <w:p>
            <w:r>
              <w:t>6</w:t>
            </w:r>
          </w:p>
        </w:tc>
      </w:tr>
      <w:tr>
        <w:tc>
          <w:tcPr>
            <w:tcW w:type="dxa" w:w="4873"/>
          </w:tcPr>
          <w:p>
            <w:r>
              <w:t xml:space="preserve">  Курсы валют и номера ГТД по партиям</w:t>
            </w:r>
          </w:p>
        </w:tc>
        <w:tc>
          <w:tcPr>
            <w:tcW w:type="dxa" w:w="4873"/>
          </w:tcPr>
          <w:p>
            <w:r>
              <w:t>4</w:t>
            </w:r>
          </w:p>
        </w:tc>
      </w:tr>
      <w:tr>
        <w:tc>
          <w:tcPr>
            <w:tcW w:type="dxa" w:w="4873"/>
          </w:tcPr>
          <w:p>
            <w:r>
              <w:t xml:space="preserve">  Расчёт статистических форм</w:t>
            </w:r>
          </w:p>
        </w:tc>
        <w:tc>
          <w:tcPr>
            <w:tcW w:type="dxa" w:w="4873"/>
          </w:tcPr>
          <w:p>
            <w:r>
              <w:t>8</w:t>
            </w:r>
          </w:p>
        </w:tc>
      </w:tr>
      <w:tr>
        <w:tc>
          <w:tcPr>
            <w:tcW w:type="dxa" w:w="4873"/>
          </w:tcPr>
          <w:p>
            <w:r>
              <w:t xml:space="preserve">  Генератор XML для ФТС</w:t>
            </w:r>
          </w:p>
        </w:tc>
        <w:tc>
          <w:tcPr>
            <w:tcW w:type="dxa" w:w="4873"/>
          </w:tcPr>
          <w:p>
            <w:r>
              <w:t>6</w:t>
            </w:r>
          </w:p>
        </w:tc>
      </w:tr>
      <w:tr>
        <w:tc>
          <w:tcPr>
            <w:tcW w:type="dxa" w:w="4873"/>
          </w:tcPr>
          <w:p>
            <w:r>
              <w:t xml:space="preserve">  Экран отчётности и статусы подачи</w:t>
            </w:r>
          </w:p>
        </w:tc>
        <w:tc>
          <w:tcPr>
            <w:tcW w:type="dxa" w:w="4873"/>
          </w:tcPr>
          <w:p>
            <w:r>
              <w:t>5</w:t>
            </w:r>
          </w:p>
        </w:tc>
      </w:tr>
      <w:tr>
        <w:tc>
          <w:tcPr>
            <w:tcW w:type="dxa" w:w="4873"/>
          </w:tcPr>
          <w:p>
            <w:r>
              <w:t xml:space="preserve">  Получение уведомлений Wildberries</w:t>
            </w:r>
          </w:p>
        </w:tc>
        <w:tc>
          <w:tcPr>
            <w:tcW w:type="dxa" w:w="4873"/>
          </w:tcPr>
          <w:p>
            <w:r>
              <w:t>5</w:t>
            </w:r>
          </w:p>
        </w:tc>
      </w:tr>
      <w:tr>
        <w:tc>
          <w:tcPr>
            <w:tcW w:type="dxa" w:w="4873"/>
          </w:tcPr>
          <w:p>
            <w:r>
              <w:t xml:space="preserve">  Конвертер УПД и реквизиты сторон</w:t>
            </w:r>
          </w:p>
        </w:tc>
        <w:tc>
          <w:tcPr>
            <w:tcW w:type="dxa" w:w="4873"/>
          </w:tcPr>
          <w:p>
            <w:r>
              <w:t>7</w:t>
            </w:r>
          </w:p>
        </w:tc>
      </w:tr>
      <w:tr>
        <w:tc>
          <w:tcPr>
            <w:tcW w:type="dxa" w:w="4873"/>
          </w:tcPr>
          <w:p>
            <w:r>
              <w:t xml:space="preserve">  Экран УПД, статусы и уведомления</w:t>
            </w:r>
          </w:p>
        </w:tc>
        <w:tc>
          <w:tcPr>
            <w:tcW w:type="dxa" w:w="4873"/>
          </w:tcPr>
          <w:p>
            <w:r>
              <w:t>5</w:t>
            </w:r>
          </w:p>
        </w:tc>
      </w:tr>
      <w:tr>
        <w:tc>
          <w:tcPr>
            <w:tcW w:type="dxa" w:w="4873"/>
          </w:tcPr>
          <w:p>
            <w:r>
              <w:t>Тестирование и сверка с принятыми документами</w:t>
            </w:r>
          </w:p>
        </w:tc>
        <w:tc>
          <w:tcPr>
            <w:tcW w:type="dxa" w:w="4873"/>
          </w:tcPr>
          <w:p>
            <w:r>
              <w:t>10</w:t>
            </w:r>
          </w:p>
        </w:tc>
      </w:tr>
      <w:tr>
        <w:tc>
          <w:tcPr>
            <w:tcW w:type="dxa" w:w="4873"/>
          </w:tcPr>
          <w:p>
            <w:r>
              <w:t>Исправления и доводка</w:t>
            </w:r>
          </w:p>
        </w:tc>
        <w:tc>
          <w:tcPr>
            <w:tcW w:type="dxa" w:w="4873"/>
          </w:tcPr>
          <w:p>
            <w:r>
              <w:t>12</w:t>
            </w:r>
          </w:p>
        </w:tc>
      </w:tr>
      <w:tr>
        <w:tc>
          <w:tcPr>
            <w:tcW w:type="dxa" w:w="4873"/>
          </w:tcPr>
          <w:p>
            <w:r>
              <w:t>Итого</w:t>
            </w:r>
          </w:p>
        </w:tc>
        <w:tc>
          <w:tcPr>
            <w:tcW w:type="dxa" w:w="4873"/>
          </w:tcPr>
          <w:p>
            <w:r>
              <w:t>80</w:t>
            </w:r>
          </w:p>
        </w:tc>
      </w:tr>
    </w:tbl>
    <w:p>
      <w:r>
        <w:t>Подпункты реализации раскрывают 46 часов и отдельно к итогу не прибавляются.</w:t>
      </w:r>
    </w:p>
    <w:p>
      <w:pPr>
        <w:pStyle w:val="Heading1"/>
      </w:pPr>
      <w:r>
        <w:t>3. Отчётность в ФТС</w:t>
      </w:r>
    </w:p>
    <w:p>
      <w:pPr>
        <w:pStyle w:val="Heading2"/>
      </w:pPr>
      <w:r>
        <w:t>Анализ и сбор исходных данных</w:t>
      </w:r>
    </w:p>
    <w:p>
      <w:r>
        <w:t>Разобран отчёт Ozon по заказам и установлен источник признака «подлежит выкупу». Этот признак позволяет отделять операции, по которым товар выкуплен площадкой, от операций, включаемых в статистическую форму Дисквер. Учтены ограничения выгрузки: схемы доставки запрашиваются отдельно, большие интервалы разбиваются на допустимые части.</w:t>
      </w:r>
    </w:p>
    <w:p>
      <w:r>
        <w:t>Реализованы заказ выгрузки, ожидание её готовности, разбор товарных строк и сохранение исходных данных. Повторная загрузка обновляет существующие записи без дублирования. Отбор строится по факту доставки товара, чтобы не потерять заказы, принятые в обработку раньше выбранного отчётного периода.</w:t>
      </w:r>
    </w:p>
    <w:p>
      <w:pPr>
        <w:pStyle w:val="Heading2"/>
      </w:pPr>
      <w:r>
        <w:t>Расчёт и формирование статистической формы</w:t>
      </w:r>
    </w:p>
    <w:p>
      <w:r>
        <w:t>Настроены определение страны по кластеру доставки и отбор стран ЕАЭС. Узбекистан исключён из состава ЕАЭС. Заказы разделяются по признаку выкупа: выкупленные площадкой операции исключаются из формы Дисквер и остаются видимыми в сводке.</w:t>
      </w:r>
    </w:p>
    <w:p>
      <w:r>
        <w:t>Для товарных строк собираются код ТН ВЭД, номер ГТД, страна происхождения, вес нетто, стоимость в рублях и долларах. Для пересчёта используется соответствующий операции курс ЦБ с кэшированием и учётом выходных. Номера ГТД определяются по товарным партиям; объединение строк учитывает одновременно код ТН ВЭД, ГТД и страну происхождения.</w:t>
      </w:r>
    </w:p>
    <w:p>
      <w:r>
        <w:t>Реализован генератор XML на основе образца принятой формы. Такой способ сохраняет структуру и пространства имён документа. Перед выгрузкой выполняется проверка корректности XML. Формы формируются отдельно по странам за выбранный отчётный период.</w:t>
      </w:r>
    </w:p>
    <w:p>
      <w:pPr>
        <w:pStyle w:val="Heading2"/>
      </w:pPr>
      <w:r>
        <w:t>Интерфейс и контроль обработки</w:t>
      </w:r>
    </w:p>
    <w:p>
      <w:r>
        <w:t>Создан экран «Отчёты ФТС»: сводные показатели по заказам в ЕАЭС, операциям с выкупом и формам к сдаче; таблица стран; выгрузка XML; ручная отметка подачи формы. Сбор и обновление данных включены в существующий ежедневный процесс.</w:t>
      </w:r>
    </w:p>
    <w:p>
      <w:r>
        <w:t>Подготовленный файл сотрудник загружает в личный кабинет ФТС. Отметка в Пульте служит для учёта обработки; подтверждение приёма проверяется в личном кабинете.</w:t>
      </w:r>
    </w:p>
    <w:p>
      <w:pPr>
        <w:pStyle w:val="Heading1"/>
      </w:pPr>
      <w:r>
        <w:t>4. Конвертер УПД Wildberries для Диадока</w:t>
      </w:r>
    </w:p>
    <w:p>
      <w:pPr>
        <w:pStyle w:val="Heading2"/>
      </w:pPr>
      <w:r>
        <w:t>Получение и разбор уведомлений</w:t>
      </w:r>
    </w:p>
    <w:p>
      <w:r>
        <w:t>Разобран интерфейс получения документов Wildberries и формат архивов с уведомлениями о выкупе. Реализованы обход списка документов, скачивание новых архивов с соблюдением ограничений площадки и разбор таблиц в товарные позиции. Повторное получение уже загруженных уведомлений исключено.</w:t>
      </w:r>
    </w:p>
    <w:p>
      <w:r>
        <w:t>Из уведомления извлекаются номер, товары, количество, цены, суммы выкупа и налоговые показатели. Для реквизитов УПД используются сведения самого уведомления, а не момент его публикации площадкой.</w:t>
      </w:r>
    </w:p>
    <w:p>
      <w:pPr>
        <w:pStyle w:val="Heading2"/>
      </w:pPr>
      <w:r>
        <w:t>Преобразование в электронный УПД</w:t>
      </w:r>
    </w:p>
    <w:p>
      <w:r>
        <w:t>Создан конвертер уведомления о выкупе в XML УПД для Диадока. В документ подставляются реквизиты Дисквер и покупателя, сведения о подписанте и основании полномочий, товарные строки, налоговые показатели и итоги. Соблюдаются кодировка, структура файла и правила формирования его имени.</w:t>
      </w:r>
    </w:p>
    <w:p>
      <w:r>
        <w:t>Идентификаторы участников ЭДО вынесены в справочник: их нельзя вычислить из ИНН и КПП. Если обязательный идентификатор не заполнен, генератор останавливается с понятной ошибкой, чтобы сотрудник не получил заведомо некорректный файл.</w:t>
      </w:r>
    </w:p>
    <w:p>
      <w:r>
        <w:t>Ставка НДС определяется по налоговому режиму Дисквер для соответствующей операции. Сумма выкупа сохраняется, НДС выделяется из неё, база рассчитывается как остаток. Для операций без НДС формируется предусмотренный форматом признак, а не числовая нулевая сумма налога. Итоги документа рассчитываются по товарным строкам с контролем округления.</w:t>
      </w:r>
    </w:p>
    <w:p>
      <w:r>
        <w:t>Конвертер использует структуру образца УПД, уже принятого контрагентом. Периоды, когда обязанность выставления документа отсутствовала, учитываются отдельно, чтобы такие уведомления не смешивались с документами, требующими обработки.</w:t>
      </w:r>
    </w:p>
    <w:p>
      <w:pPr>
        <w:pStyle w:val="Heading2"/>
      </w:pPr>
      <w:r>
        <w:t>Экран выгрузки и статусы</w:t>
      </w:r>
    </w:p>
    <w:p>
      <w:r>
        <w:t>Создан экран «УПД по выкупам»: список уведомлений, количество позиций, суммы, статусы и кнопка скачивания XML для Диадока. Добавлены фильтры с сохранением выбора и ручная отметка «загружен и подписан».</w:t>
      </w:r>
    </w:p>
    <w:p>
      <w:r>
        <w:t>В существующий ежедневный процесс включена проверка новых уведомлений и подготовка сводки ответственному сотруднику в рабочий бот. XML скачивается через экран Пульта. Загрузка в Диадок и подписание выполняются сотрудником; отметка обработки документа учитывается отдельно от отправки уведомления в бот.</w:t>
      </w:r>
    </w:p>
    <w:p>
      <w:pPr>
        <w:pStyle w:val="Heading1"/>
      </w:pPr>
      <w:r>
        <w:t>5. Проверка и доводка</w:t>
      </w:r>
    </w:p>
    <w:p>
      <w:r>
        <w:t>По материалам ранее выполненной работы статистическая форма сверялась с образцом, принятым ФТС: проверялись стоимость в рублях и долларах, вес нетто, код ТН ВЭД, ГТД и группировка товарных разделов. УПД сверялся с документом, принятым и подписанным контрагентом: проверялись структура, реквизиты, строки, налоговые показатели и суммы.</w:t>
      </w:r>
    </w:p>
    <w:p>
      <w:r>
        <w:t>В ходе доводки исправлены потеря заказов при недостаточной глубине выгрузки, объединение разных партий по одному коду ТН ВЭД, изменение пространств имён XML, включение страны вне ЕАЭС, некорректное представление операций без НДС и расхождения итогов из-за округления. Также сохранён выбор фильтров при изменении статуса документа.</w:t>
      </w:r>
    </w:p>
    <w:p>
      <w:r>
        <w:t>Проверена логика использования налогового режима продавца вместо ставки, указанной площадкой. Сборка документов защищена от отсутствующих обязательных реквизитов ЭДО.</w:t>
      </w:r>
    </w:p>
    <w:p>
      <w:pPr>
        <w:pStyle w:val="Heading1"/>
      </w:pPr>
      <w:r>
        <w:t>6. Результат</w:t>
      </w:r>
    </w:p>
    <w:p>
      <w:r>
        <w:t>Для Дисквер реализована подготовка XML статистических форм в ФТС: от сбора и отбора заказов до расчёта товарных показателей, выгрузки файлов и учёта подачи.</w:t>
      </w:r>
    </w:p>
    <w:p>
      <w:r>
        <w:t>Реализован конвертер уведомлений о выкупе Wildberries в УПД для Диадока: получение исходных документов, разбор товарных позиций, расчёт НДС, заполнение реквизитов, формирование XML и контроль обработки через интерфейс.</w:t>
      </w:r>
    </w:p>
    <w:p>
      <w:r>
        <w:t>Оба направления сокращают ручной перенос данных и повторяющиеся расчёты. Сотрудник получает подготовленный файл и видит его статус в Пульте. Для исторических операций полнота номеров ГТД и отметки ранее поданных форм уточняются по мере сверки исходных документов.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Дисквер — отчётность в ФТС и конвертер УПД для Диадока</dc:title>
  <dc:subject>Отчёт о проделанной работе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