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ind w:left="0" w:right="0" w:hanging="0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</w:r>
    </w:p>
    <w:p>
      <w:pPr>
        <w:pStyle w:val="TextBody"/>
        <w:spacing w:before="0" w:after="0"/>
        <w:ind w:left="0" w:right="0" w:hanging="0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</w:r>
    </w:p>
    <w:p>
      <w:pPr>
        <w:pStyle w:val="TextBody"/>
        <w:spacing w:before="0" w:after="0"/>
        <w:ind w:left="0" w:right="0" w:hanging="0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</w:r>
    </w:p>
    <w:p>
      <w:pPr>
        <w:pStyle w:val="TextBody"/>
        <w:spacing w:before="0" w:after="0"/>
        <w:ind w:left="0" w:right="0" w:hanging="0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Пакет описаний комплекса решений</w:t>
      </w:r>
    </w:p>
    <w:p>
      <w:pPr>
        <w:pStyle w:val="TextBody"/>
        <w:spacing w:before="0" w:after="0"/>
        <w:ind w:left="0" w:right="0" w:hanging="0"/>
        <w:jc w:val="center"/>
        <w:rPr>
          <w:b/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t>“</w:t>
      </w:r>
      <w:r>
        <w:rPr>
          <w:b/>
          <w:bCs/>
          <w:sz w:val="88"/>
          <w:szCs w:val="88"/>
        </w:rPr>
        <w:t>In4 MTA”</w:t>
      </w:r>
      <w:r>
        <w:br w:type="page"/>
      </w:r>
    </w:p>
    <w:p>
      <w:pPr>
        <w:pStyle w:val="TextBody"/>
        <w:spacing w:before="0" w:after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Пакет описаний “In4 MTA” состоит из следующих документов:</w:t>
      </w:r>
    </w:p>
    <w:p>
      <w:pPr>
        <w:pStyle w:val="TextBody"/>
        <w:spacing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0"/>
          <w:numId w:val="11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Описание для клиента</w:t>
      </w:r>
    </w:p>
    <w:p>
      <w:pPr>
        <w:pStyle w:val="TextBody"/>
        <w:numPr>
          <w:ilvl w:val="0"/>
          <w:numId w:val="11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Описание технической реализации</w:t>
      </w:r>
    </w:p>
    <w:p>
      <w:pPr>
        <w:pStyle w:val="TextBody"/>
        <w:numPr>
          <w:ilvl w:val="0"/>
          <w:numId w:val="11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Распределение технологических ролей</w:t>
      </w:r>
    </w:p>
    <w:p>
      <w:pPr>
        <w:pStyle w:val="TextBody"/>
        <w:numPr>
          <w:ilvl w:val="0"/>
          <w:numId w:val="11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Возможности в рамках технологических ролей</w:t>
      </w:r>
    </w:p>
    <w:p>
      <w:pPr>
        <w:pStyle w:val="TextBody"/>
        <w:numPr>
          <w:ilvl w:val="0"/>
          <w:numId w:val="11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Карта сценария внедрения</w:t>
      </w:r>
    </w:p>
    <w:p>
      <w:pPr>
        <w:pStyle w:val="TextBody"/>
        <w:numPr>
          <w:ilvl w:val="0"/>
          <w:numId w:val="11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Сценарий внедрения</w:t>
      </w:r>
    </w:p>
    <w:p>
      <w:pPr>
        <w:pStyle w:val="TextBody"/>
        <w:numPr>
          <w:ilvl w:val="0"/>
          <w:numId w:val="11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Описание работ, вытекающих из сценария</w:t>
      </w:r>
    </w:p>
    <w:p>
      <w:pPr>
        <w:pStyle w:val="TextBody"/>
        <w:numPr>
          <w:ilvl w:val="0"/>
          <w:numId w:val="11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Риски сценария внедрения</w:t>
      </w:r>
    </w:p>
    <w:p>
      <w:pPr>
        <w:pStyle w:val="TextBody"/>
        <w:numPr>
          <w:ilvl w:val="0"/>
          <w:numId w:val="11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Сохранность данных</w:t>
      </w:r>
    </w:p>
    <w:p>
      <w:pPr>
        <w:pStyle w:val="TextBody"/>
        <w:numPr>
          <w:ilvl w:val="0"/>
          <w:numId w:val="11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Безопасность</w:t>
      </w:r>
    </w:p>
    <w:p>
      <w:pPr>
        <w:pStyle w:val="TextBody"/>
        <w:numPr>
          <w:ilvl w:val="0"/>
          <w:numId w:val="11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Описание типов событий</w:t>
      </w:r>
    </w:p>
    <w:p>
      <w:pPr>
        <w:pStyle w:val="TextBody"/>
        <w:numPr>
          <w:ilvl w:val="0"/>
          <w:numId w:val="11"/>
        </w:numPr>
        <w:spacing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Типовые случаи</w:t>
      </w:r>
      <w:r>
        <w:br w:type="page"/>
      </w:r>
    </w:p>
    <w:p>
      <w:pPr>
        <w:pStyle w:val="TextBody"/>
        <w:spacing w:before="0" w:after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Описание для клиента</w:t>
      </w:r>
      <w:r>
        <w:br w:type="page"/>
      </w:r>
    </w:p>
    <w:p>
      <w:pPr>
        <w:sectPr>
          <w:headerReference w:type="default" r:id="rId2"/>
          <w:type w:val="nextPage"/>
          <w:pgSz w:w="11906" w:h="16838"/>
          <w:pgMar w:left="567" w:right="567" w:header="454" w:top="1013" w:footer="0" w:bottom="454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before="0" w:after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Описание тех.реализации</w:t>
      </w:r>
    </w:p>
    <w:p>
      <w:pPr>
        <w:sectPr>
          <w:headerReference w:type="default" r:id="rId3"/>
          <w:type w:val="nextPage"/>
          <w:pgSz w:orient="landscape" w:w="16838" w:h="11906"/>
          <w:pgMar w:left="510" w:right="510" w:header="0" w:top="510" w:footer="0" w:bottom="510" w:gutter="0"/>
          <w:pgNumType w:fmt="decimal"/>
          <w:formProt w:val="false"/>
          <w:textDirection w:val="lrTb"/>
          <w:docGrid w:type="default" w:linePitch="240" w:charSpace="4294961151"/>
        </w:sectPr>
        <w:pStyle w:val="TextBody"/>
        <w:spacing w:before="0" w:after="0"/>
        <w:ind w:left="0" w:right="0" w:hanging="0"/>
        <w:jc w:val="center"/>
        <w:rPr/>
      </w:pPr>
      <w:r>
        <w:rPr>
          <w:b/>
          <w:bCs/>
          <w:sz w:val="36"/>
          <w:szCs w:val="36"/>
        </w:rPr>
        <w:t>3. Распределение технологических ролей</w:t>
      </w:r>
    </w:p>
    <w:p>
      <w:pPr>
        <w:pStyle w:val="TextBody"/>
        <w:spacing w:before="0" w:after="0"/>
        <w:ind w:left="0" w:right="0" w:hanging="0"/>
        <w:jc w:val="center"/>
        <w:rPr/>
      </w:pPr>
      <w:r>
        <w:rPr>
          <w:b/>
          <w:bCs/>
          <w:sz w:val="36"/>
          <w:szCs w:val="36"/>
        </w:rPr>
        <w:t>4. Сценарий внедрения MTA-решений (метод soft-switch)</w:t>
      </w:r>
    </w:p>
    <w:p>
      <w:pPr>
        <w:pStyle w:val="TextBody"/>
        <w:spacing w:before="0" w:after="0"/>
        <w:ind w:left="0" w:right="0" w:hanging="0"/>
        <w:jc w:val="center"/>
        <w:rPr/>
      </w:pPr>
      <w:r>
        <w:rPr>
          <w:b/>
          <w:bCs/>
          <w:sz w:val="22"/>
          <w:szCs w:val="22"/>
        </w:rPr>
        <w:t>(применим как для внедрения In4 MTA, так и для любых переключений между MTA-решениями)</w:t>
      </w:r>
    </w:p>
    <w:p>
      <w:pPr>
        <w:pStyle w:val="TextBody"/>
        <w:spacing w:before="0" w:after="0"/>
        <w:ind w:left="0" w:right="0" w:hanging="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sectPr>
          <w:headerReference w:type="default" r:id="rId4"/>
          <w:type w:val="nextPage"/>
          <w:pgSz w:orient="landscape" w:w="16838" w:h="11906"/>
          <w:pgMar w:left="510" w:right="510" w:header="0" w:top="510" w:footer="0" w:bottom="510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spacing w:before="0" w:after="0"/>
        <w:ind w:left="0" w:right="0" w:hanging="0"/>
        <w:rPr/>
      </w:pPr>
      <w:r>
        <w:rPr>
          <w:b/>
          <w:bCs/>
          <w:sz w:val="22"/>
          <w:szCs w:val="22"/>
        </w:rPr>
        <w:t>I блок</w:t>
      </w:r>
      <w:r>
        <w:rPr>
          <w:b/>
          <w:bCs/>
          <w:sz w:val="18"/>
          <w:szCs w:val="18"/>
        </w:rPr>
        <w:t xml:space="preserve">  - Создание новой точки SMTP-терминации и промежуточного SMTP-шлюза (SMTP Proxy)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sz w:val="18"/>
          <w:szCs w:val="18"/>
        </w:rPr>
        <w:t>Cоздание виртуальной машины/использование имеющейся для размещения промежуточных сервисов (желательно, это должна быть точка проектируемого размещения MX-записи; IP должен смотреть в INTERNET; иметь валидные PTR, DKIM, SPF – информация о записях запрашивается у тех.специалиста);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sz w:val="18"/>
          <w:szCs w:val="18"/>
        </w:rPr>
        <w:t>Создание правил HaProxy для терминации почтового трафика (сервис "in4__haproxy@tcp-mail" );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sz w:val="18"/>
          <w:szCs w:val="18"/>
        </w:rPr>
        <w:t>Выкладка и запуск правил "in4__haproxy@tcp-mail" (на VM Шага 1);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sz w:val="18"/>
          <w:szCs w:val="18"/>
        </w:rPr>
        <w:t xml:space="preserve">Проверка доступности текущего MX-сервера (TCP 25,587) через сервис "in4__haproxy@tcp-mail"; 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sz w:val="18"/>
          <w:szCs w:val="18"/>
        </w:rPr>
        <w:t>Проверка доступности проектируемого MX-сервера (TCP 25, 587) из внешнего мира;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sz w:val="18"/>
          <w:szCs w:val="18"/>
        </w:rPr>
        <w:t xml:space="preserve">Тестирование. Демонстрация работы. </w:t>
      </w:r>
      <w:r>
        <w:rPr>
          <w:b/>
          <w:bCs/>
          <w:sz w:val="18"/>
          <w:szCs w:val="18"/>
        </w:rPr>
        <w:t>Получение обратной связи от Клиента;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b w:val="false"/>
          <w:bCs w:val="false"/>
          <w:sz w:val="18"/>
          <w:szCs w:val="18"/>
        </w:rPr>
        <w:t>Создание правил HaProxy для терминации почтового трафика SMTP Proxy (сервис "</w:t>
      </w:r>
      <w:hyperlink r:id="rId5">
        <w:r>
          <w:rPr>
            <w:rStyle w:val="InternetLink"/>
            <w:b w:val="false"/>
            <w:bCs w:val="false"/>
            <w:sz w:val="18"/>
            <w:szCs w:val="18"/>
          </w:rPr>
          <w:t>in4__haproxy@tcp-mail</w:t>
        </w:r>
      </w:hyperlink>
      <w:r>
        <w:rPr>
          <w:b w:val="false"/>
          <w:bCs w:val="false"/>
          <w:sz w:val="18"/>
          <w:szCs w:val="18"/>
        </w:rPr>
        <w:t>";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sz w:val="18"/>
          <w:szCs w:val="18"/>
        </w:rPr>
        <w:t xml:space="preserve">Выкладка и запуск кода промежуточной системы (SMTP Proxy, </w:t>
      </w:r>
      <w:bookmarkStart w:id="0" w:name="__DdeLink__76_906351080"/>
      <w:r>
        <w:rPr>
          <w:sz w:val="18"/>
          <w:szCs w:val="18"/>
        </w:rPr>
        <w:t>сервис “in4__mta@proxy”</w:t>
      </w:r>
      <w:bookmarkEnd w:id="0"/>
      <w:r>
        <w:rPr>
          <w:sz w:val="18"/>
          <w:szCs w:val="18"/>
        </w:rPr>
        <w:t>) - посредника, помогающего выполнить бесшовный переход на новое MTA-решение;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sz w:val="18"/>
          <w:szCs w:val="18"/>
        </w:rPr>
        <w:t>Проверка доступности “SMTP Proxy”проектируемого MX-сервера (TCP 26) из внешнего мира;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b w:val="false"/>
          <w:bCs w:val="false"/>
          <w:sz w:val="18"/>
          <w:szCs w:val="18"/>
        </w:rPr>
        <w:t xml:space="preserve">Тестирование. Демонстрация работы. </w:t>
      </w:r>
      <w:r>
        <w:rPr>
          <w:b/>
          <w:bCs/>
          <w:sz w:val="18"/>
          <w:szCs w:val="18"/>
        </w:rPr>
        <w:t>Получение обратной связи от Клиента;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sz w:val="18"/>
          <w:szCs w:val="18"/>
        </w:rPr>
        <w:t>Согласование времени переключения MX-записи на проектируемый MX-сервер (рекоммендация по времени: &gt;=среда; Требуется поддержка Proxy-protocol или согласование отсылки писем от 1 IP);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sz w:val="18"/>
          <w:szCs w:val="18"/>
        </w:rPr>
        <w:t>Переключение MX-записи на проектируемый MX-сервер (сервис "</w:t>
      </w:r>
      <w:hyperlink r:id="rId6">
        <w:r>
          <w:rPr>
            <w:rStyle w:val="InternetLink"/>
            <w:sz w:val="18"/>
            <w:szCs w:val="18"/>
          </w:rPr>
          <w:t>in4__haproxy@tcp-mail</w:t>
        </w:r>
      </w:hyperlink>
      <w:r>
        <w:rPr>
          <w:sz w:val="18"/>
          <w:szCs w:val="18"/>
        </w:rPr>
        <w:t>"; Режим работы: первые 5 минут TCP L3-4 (пересылка на прошлый MX в чистом виде), далее – SMTP L7 (пересылка через сервис “</w:t>
      </w:r>
      <w:hyperlink r:id="rId7">
        <w:r>
          <w:rPr>
            <w:rStyle w:val="InternetLink"/>
            <w:sz w:val="18"/>
            <w:szCs w:val="18"/>
          </w:rPr>
          <w:t>in4__mta@proxy</w:t>
        </w:r>
      </w:hyperlink>
      <w:r>
        <w:rPr>
          <w:rStyle w:val="InternetLink"/>
          <w:sz w:val="18"/>
          <w:szCs w:val="18"/>
        </w:rPr>
        <w:t>"</w:t>
      </w:r>
      <w:r>
        <w:rPr>
          <w:sz w:val="18"/>
          <w:szCs w:val="18"/>
        </w:rPr>
        <w:t>));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sz w:val="18"/>
          <w:szCs w:val="18"/>
        </w:rPr>
        <w:t xml:space="preserve">Анализ событий SMTP Proxy. </w:t>
      </w:r>
      <w:r>
        <w:rPr>
          <w:b/>
          <w:bCs/>
          <w:sz w:val="18"/>
          <w:szCs w:val="18"/>
        </w:rPr>
        <w:t xml:space="preserve">Получение обратной связи от Клиента; 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Сдача (email подтверждение).</w:t>
      </w:r>
    </w:p>
    <w:p>
      <w:pPr>
        <w:pStyle w:val="TextBody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spacing w:before="0" w:after="0"/>
        <w:ind w:left="0" w:right="0" w:hanging="0"/>
        <w:rPr/>
      </w:pPr>
      <w:r>
        <w:rPr>
          <w:b/>
          <w:bCs/>
          <w:sz w:val="22"/>
          <w:szCs w:val="22"/>
        </w:rPr>
        <w:t>II блок</w:t>
      </w:r>
      <w:r>
        <w:rPr>
          <w:b/>
          <w:bCs/>
          <w:sz w:val="18"/>
          <w:szCs w:val="18"/>
        </w:rPr>
        <w:t xml:space="preserve">  - Демонстрация технической работоспособности продукта - In4 MTA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sz w:val="18"/>
          <w:szCs w:val="18"/>
        </w:rPr>
        <w:t>Выкладка и запуск кода In4 MTA (на VM, созданную на 1 шаге I Блока);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sz w:val="18"/>
          <w:szCs w:val="18"/>
        </w:rPr>
        <w:t>Запуск In4 MTA в режиме DEMO (инстанс “</w:t>
      </w:r>
      <w:hyperlink r:id="rId8">
        <w:r>
          <w:rPr>
            <w:rStyle w:val="InternetLink"/>
            <w:sz w:val="18"/>
            <w:szCs w:val="18"/>
          </w:rPr>
          <w:t>in4__mta@demo</w:t>
        </w:r>
      </w:hyperlink>
      <w:r>
        <w:rPr>
          <w:sz w:val="18"/>
          <w:szCs w:val="18"/>
        </w:rPr>
        <w:t>”, все письма, приходящие на In4 MTA, не будут доставлены фактическим адресатам);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sz w:val="18"/>
          <w:szCs w:val="18"/>
        </w:rPr>
        <w:t>Переключение потока сервиса "in4__haproxy@tcp-mail" (TCP 26) на In4 MTA (localhost:26);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sz w:val="18"/>
          <w:szCs w:val="18"/>
        </w:rPr>
        <w:t>Тестирование. Демонстрация работы.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sz w:val="18"/>
          <w:szCs w:val="18"/>
          <w:highlight w:val="yellow"/>
        </w:rPr>
        <w:t>Включение правила, активирующего пересылку потока писем с SMTP Proxy на In4 MTA;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sz w:val="18"/>
          <w:szCs w:val="18"/>
        </w:rPr>
        <w:t>Анализ событий на In4 MTA  с использованием интерфейсов системы логирования. Поиск ошибок;</w:t>
      </w:r>
    </w:p>
    <w:p>
      <w:pPr>
        <w:pStyle w:val="TextBody"/>
        <w:numPr>
          <w:ilvl w:val="0"/>
          <w:numId w:val="2"/>
        </w:numPr>
        <w:spacing w:before="0" w:after="0"/>
        <w:rPr/>
      </w:pP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Cдача  (email подтверждение).</w:t>
      </w:r>
    </w:p>
    <w:p>
      <w:pPr>
        <w:pStyle w:val="TextBody"/>
        <w:numPr>
          <w:ilvl w:val="0"/>
          <w:numId w:val="0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spacing w:before="0" w:after="0"/>
        <w:ind w:left="0" w:right="0" w:hanging="0"/>
        <w:rPr/>
      </w:pPr>
      <w:r>
        <w:rPr>
          <w:b/>
          <w:bCs/>
          <w:sz w:val="22"/>
          <w:szCs w:val="22"/>
        </w:rPr>
        <w:t xml:space="preserve">III блок </w:t>
      </w:r>
      <w:r>
        <w:rPr>
          <w:b/>
          <w:bCs/>
          <w:sz w:val="18"/>
          <w:szCs w:val="18"/>
        </w:rPr>
        <w:t>- Внедрение именованным пользователям (потоки приёма и отправки сообщений)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>
          <w:sz w:val="18"/>
          <w:szCs w:val="18"/>
        </w:rPr>
        <w:t>Запуск In4 MTA в режиме PREPROD (инстанс “</w:t>
      </w:r>
      <w:hyperlink r:id="rId9">
        <w:r>
          <w:rPr>
            <w:rStyle w:val="InternetLink"/>
            <w:sz w:val="18"/>
            <w:szCs w:val="18"/>
          </w:rPr>
          <w:t>in4__mta@preprod</w:t>
        </w:r>
      </w:hyperlink>
      <w:r>
        <w:rPr>
          <w:sz w:val="18"/>
          <w:szCs w:val="18"/>
        </w:rPr>
        <w:t>”, фактическим адресатам будут доставлены только указанные в конфигурации письма на основании заголовков  "from"/"to"/"from_ip");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>
          <w:sz w:val="18"/>
          <w:szCs w:val="18"/>
        </w:rPr>
        <w:t>Согласование с Клиентом полей "from"/"to"/"from_ip" для внедрения In4 MTA на конкретном пользователе/письмах от конкретного адресата (например, письма конкретному сотруднику (поле TO) или переписка c EDSS (поле FROM));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>
          <w:sz w:val="18"/>
          <w:szCs w:val="18"/>
        </w:rPr>
        <w:t>Выбрать один из сценариев внедрения механизма доставки сообщений (сообщения извне поступают внутрь): двойная доставка (пользователь получает два письма - по одному от текущего MTA и In4 MTA. Добавление в конфигурацию только на In4 MTA) или переключение  пользователя на In4 MTA (добавление в конфигурацию на In4 MTA, переключение потока в конфигурации SMTP Proxy только на In4 MTA);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>
          <w:sz w:val="18"/>
          <w:szCs w:val="18"/>
        </w:rPr>
        <w:t>Выбрать один из сценариев внедрения механизма отправки сообщений (сообщения изнутри поступают наружу\внутрь): отправка на MX-домена\поддомена или указание имени сервера в качестве email-шлюза;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>
          <w:sz w:val="18"/>
          <w:szCs w:val="18"/>
        </w:rPr>
        <w:t>Активация на In4 MTA/SMTP Proxy правила потока для выбранного сценария;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>
          <w:sz w:val="18"/>
          <w:szCs w:val="18"/>
        </w:rPr>
        <w:t xml:space="preserve">Анализ событий SMTP Proxy; Анализ событий на In4 MTA; </w:t>
      </w:r>
      <w:r>
        <w:rPr>
          <w:b/>
          <w:bCs/>
          <w:sz w:val="18"/>
          <w:szCs w:val="18"/>
        </w:rPr>
        <w:t>Получение обратной связи от Клиента;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>
          <w:sz w:val="18"/>
          <w:szCs w:val="18"/>
        </w:rPr>
        <w:t>Cдача (email подтверждение).</w:t>
      </w:r>
    </w:p>
    <w:p>
      <w:pPr>
        <w:pStyle w:val="TextBody"/>
        <w:spacing w:before="0" w:after="0"/>
        <w:ind w:left="0" w:right="0" w:hanging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before="0" w:after="0"/>
        <w:ind w:left="0" w:right="0" w:hanging="0"/>
        <w:rPr/>
      </w:pPr>
      <w:r>
        <w:rPr>
          <w:b/>
          <w:bCs/>
          <w:sz w:val="22"/>
          <w:szCs w:val="22"/>
        </w:rPr>
        <w:t>IV блок</w:t>
      </w:r>
      <w:r>
        <w:rPr>
          <w:b/>
          <w:bCs/>
          <w:sz w:val="18"/>
          <w:szCs w:val="18"/>
        </w:rPr>
        <w:t xml:space="preserve">  - Внедрение всем пользователям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sz w:val="18"/>
          <w:szCs w:val="18"/>
        </w:rPr>
        <w:t>Выбор модели полного внедрения: "III этап" с другими пользователями или переключаем полностью;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Получение обратной связи от Клиента;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sz w:val="18"/>
          <w:szCs w:val="18"/>
        </w:rPr>
        <w:t>Отключаем промежуточный почтовый шлюз. Подключаем In4 MTA к точке MX (правила HaProxy); Подключаем Proxy-headers HaProxy;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sz w:val="18"/>
          <w:szCs w:val="18"/>
        </w:rPr>
        <w:t>Ограничение доступа на порты отладки (TCP 26);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Cдача (email подтверждение).</w:t>
      </w:r>
    </w:p>
    <w:p>
      <w:pPr>
        <w:pStyle w:val="TextBody"/>
        <w:spacing w:before="0" w:after="0"/>
        <w:ind w:left="0" w:right="0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TextBody"/>
        <w:spacing w:before="0" w:after="0"/>
        <w:ind w:left="0" w:right="0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TextBody"/>
        <w:spacing w:before="0" w:after="0"/>
        <w:ind w:left="0" w:right="0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 Описание работ, вытекающих из сценария</w:t>
      </w:r>
    </w:p>
    <w:p>
      <w:pPr>
        <w:pStyle w:val="TextBody"/>
        <w:spacing w:before="0" w:after="0"/>
        <w:ind w:left="0" w:right="0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sectPr>
          <w:type w:val="continuous"/>
          <w:pgSz w:orient="landscape" w:w="16838" w:h="11906"/>
          <w:pgMar w:left="510" w:right="510" w:header="0" w:top="510" w:footer="0" w:bottom="510" w:gutter="0"/>
          <w:cols w:num="2" w:equalWidth="false" w:sep="false">
            <w:col w:w="8616" w:space="0"/>
            <w:col w:w="7201"/>
          </w:cols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numPr>
          <w:ilvl w:val="0"/>
          <w:numId w:val="0"/>
        </w:numPr>
        <w:spacing w:before="0" w:after="0"/>
        <w:jc w:val="center"/>
        <w:rPr/>
      </w:pPr>
      <w:r>
        <w:rPr>
          <w:b/>
          <w:bCs/>
          <w:sz w:val="24"/>
          <w:szCs w:val="24"/>
        </w:rPr>
        <w:t xml:space="preserve">Работы, </w:t>
      </w:r>
      <w:bookmarkStart w:id="1" w:name="__DdeLink__111_1174703684"/>
      <w:r>
        <w:rPr>
          <w:b/>
          <w:bCs/>
          <w:sz w:val="24"/>
          <w:szCs w:val="24"/>
        </w:rPr>
        <w:t>производимые</w:t>
      </w:r>
      <w:bookmarkEnd w:id="1"/>
      <w:r>
        <w:rPr>
          <w:b/>
          <w:bCs/>
          <w:sz w:val="24"/>
          <w:szCs w:val="24"/>
        </w:rPr>
        <w:t xml:space="preserve"> на стороне Клиента/в зоне Клиента</w:t>
      </w:r>
    </w:p>
    <w:p>
      <w:pPr>
        <w:pStyle w:val="TextBody"/>
        <w:spacing w:before="0" w:after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TextBody"/>
        <w:spacing w:before="0" w:after="0"/>
        <w:rPr/>
      </w:pPr>
      <w:r>
        <w:rPr>
          <w:b/>
          <w:bCs/>
          <w:sz w:val="18"/>
          <w:szCs w:val="18"/>
        </w:rPr>
        <w:t>Блок 1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b/>
          <w:bCs/>
          <w:sz w:val="18"/>
          <w:szCs w:val="18"/>
        </w:rPr>
        <w:t>Шаг 1</w:t>
      </w:r>
      <w:r>
        <w:rPr>
          <w:b w:val="false"/>
          <w:bCs w:val="false"/>
          <w:sz w:val="18"/>
          <w:szCs w:val="18"/>
        </w:rPr>
        <w:t xml:space="preserve"> - Выделить IP-адрес серверу (при отсутствии); Внести в конфигурацию DNS PTR\DKIM\SPF записи, присланные Cone Center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b/>
          <w:bCs/>
          <w:sz w:val="18"/>
          <w:szCs w:val="18"/>
        </w:rPr>
        <w:t>Шаг 4</w:t>
      </w:r>
      <w:r>
        <w:rPr>
          <w:b w:val="false"/>
          <w:bCs w:val="false"/>
          <w:sz w:val="18"/>
          <w:szCs w:val="18"/>
        </w:rPr>
        <w:t xml:space="preserve"> - Открытие порта на FW: поток из  </w:t>
      </w:r>
      <w:bookmarkStart w:id="2" w:name="__DdeLink__141_1740452900"/>
      <w:r>
        <w:rPr>
          <w:b w:val="false"/>
          <w:bCs w:val="false"/>
          <w:sz w:val="18"/>
          <w:szCs w:val="18"/>
        </w:rPr>
        <w:t>NEW_MX</w:t>
      </w:r>
      <w:bookmarkEnd w:id="2"/>
      <w:r>
        <w:rPr>
          <w:b w:val="false"/>
          <w:bCs w:val="false"/>
          <w:sz w:val="18"/>
          <w:szCs w:val="18"/>
        </w:rPr>
        <w:t xml:space="preserve"> (IP)  на OLD_MX (194.204.11.250), TCP 25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b/>
          <w:bCs/>
          <w:sz w:val="18"/>
          <w:szCs w:val="18"/>
        </w:rPr>
        <w:t xml:space="preserve">Шаг 5 </w:t>
      </w:r>
      <w:r>
        <w:rPr>
          <w:b w:val="false"/>
          <w:bCs w:val="false"/>
          <w:sz w:val="18"/>
          <w:szCs w:val="18"/>
        </w:rPr>
        <w:t xml:space="preserve">- Открытие порта на FW: поток из сети интернет на </w:t>
      </w:r>
      <w:r>
        <w:rPr>
          <w:b w:val="false"/>
          <w:bCs w:val="false"/>
          <w:sz w:val="18"/>
          <w:szCs w:val="18"/>
        </w:rPr>
        <w:t>NEW_MX</w:t>
      </w:r>
      <w:r>
        <w:rPr>
          <w:b w:val="false"/>
          <w:bCs w:val="false"/>
          <w:sz w:val="18"/>
          <w:szCs w:val="18"/>
        </w:rPr>
        <w:t xml:space="preserve"> (IP), TCP 25, 587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b/>
          <w:bCs/>
          <w:sz w:val="18"/>
          <w:szCs w:val="18"/>
        </w:rPr>
        <w:t>Шаг 6</w:t>
      </w:r>
      <w:r>
        <w:rPr>
          <w:b w:val="false"/>
          <w:bCs w:val="false"/>
          <w:sz w:val="18"/>
          <w:szCs w:val="18"/>
        </w:rPr>
        <w:t xml:space="preserve"> - Телефонное\email-общение; 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b/>
          <w:bCs/>
          <w:sz w:val="18"/>
          <w:szCs w:val="18"/>
        </w:rPr>
        <w:t>Шаг 7</w:t>
      </w:r>
      <w:r>
        <w:rPr>
          <w:b w:val="false"/>
          <w:bCs w:val="false"/>
          <w:sz w:val="18"/>
          <w:szCs w:val="18"/>
        </w:rPr>
        <w:t xml:space="preserve"> - Назвать удобное время переключения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b/>
          <w:bCs/>
          <w:sz w:val="18"/>
          <w:szCs w:val="18"/>
        </w:rPr>
        <w:t>Шаг 8</w:t>
      </w:r>
      <w:r>
        <w:rPr>
          <w:b w:val="false"/>
          <w:bCs w:val="false"/>
          <w:sz w:val="18"/>
          <w:szCs w:val="18"/>
        </w:rPr>
        <w:t xml:space="preserve"> - Изменить запись MX с OLD_MX на  </w:t>
      </w:r>
      <w:r>
        <w:rPr>
          <w:b w:val="false"/>
          <w:bCs w:val="false"/>
          <w:sz w:val="18"/>
          <w:szCs w:val="18"/>
        </w:rPr>
        <w:t>NEW_MX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b/>
          <w:bCs/>
          <w:sz w:val="18"/>
          <w:szCs w:val="18"/>
        </w:rPr>
        <w:t>Шаг 10</w:t>
      </w:r>
      <w:r>
        <w:rPr>
          <w:b w:val="false"/>
          <w:bCs w:val="false"/>
          <w:sz w:val="18"/>
          <w:szCs w:val="18"/>
        </w:rPr>
        <w:t xml:space="preserve"> - Телефонное\email-общение; 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b/>
          <w:bCs/>
          <w:sz w:val="18"/>
          <w:szCs w:val="18"/>
        </w:rPr>
        <w:t>Шаг 12 -</w:t>
      </w:r>
      <w:r>
        <w:rPr>
          <w:b w:val="false"/>
          <w:bCs w:val="false"/>
          <w:sz w:val="18"/>
          <w:szCs w:val="18"/>
        </w:rPr>
        <w:t xml:space="preserve"> Телефонное\email-общение; 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b/>
          <w:bCs/>
          <w:sz w:val="18"/>
          <w:szCs w:val="18"/>
        </w:rPr>
        <w:t>Шаг 13</w:t>
      </w:r>
      <w:r>
        <w:rPr>
          <w:b w:val="false"/>
          <w:bCs w:val="false"/>
          <w:sz w:val="18"/>
          <w:szCs w:val="18"/>
        </w:rPr>
        <w:t xml:space="preserve"> - Подтверждение того, что почтовый поток работает стабильно, без видимых ошибок.</w:t>
      </w:r>
    </w:p>
    <w:p>
      <w:pPr>
        <w:pStyle w:val="TextBody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spacing w:before="0" w:after="0"/>
        <w:rPr/>
      </w:pPr>
      <w:r>
        <w:rPr>
          <w:b/>
          <w:bCs/>
          <w:sz w:val="18"/>
          <w:szCs w:val="18"/>
        </w:rPr>
        <w:t>Блок 2</w:t>
      </w:r>
    </w:p>
    <w:p>
      <w:pPr>
        <w:pStyle w:val="TextBody"/>
        <w:numPr>
          <w:ilvl w:val="0"/>
          <w:numId w:val="7"/>
        </w:numPr>
        <w:spacing w:before="0" w:after="0"/>
        <w:rPr/>
      </w:pPr>
      <w:r>
        <w:rPr>
          <w:b/>
          <w:bCs/>
          <w:sz w:val="18"/>
          <w:szCs w:val="18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TextBody"/>
        <w:spacing w:before="0" w:after="0"/>
        <w:rPr/>
      </w:pPr>
      <w:r>
        <w:rPr>
          <w:b/>
          <w:bCs/>
          <w:sz w:val="18"/>
          <w:szCs w:val="18"/>
        </w:rPr>
        <w:t>Блок 3</w:t>
      </w:r>
    </w:p>
    <w:p>
      <w:pPr>
        <w:pStyle w:val="TextBody"/>
        <w:numPr>
          <w:ilvl w:val="0"/>
          <w:numId w:val="8"/>
        </w:numPr>
        <w:spacing w:before="0" w:after="0"/>
        <w:rPr/>
      </w:pPr>
      <w:r>
        <w:rPr>
          <w:b/>
          <w:bCs/>
          <w:sz w:val="18"/>
          <w:szCs w:val="18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TextBody"/>
        <w:spacing w:before="0" w:after="0"/>
        <w:rPr/>
      </w:pPr>
      <w:r>
        <w:rPr>
          <w:b/>
          <w:bCs/>
          <w:sz w:val="18"/>
          <w:szCs w:val="18"/>
        </w:rPr>
        <w:t>Блок 4</w:t>
      </w:r>
    </w:p>
    <w:p>
      <w:pPr>
        <w:pStyle w:val="TextBody"/>
        <w:numPr>
          <w:ilvl w:val="0"/>
          <w:numId w:val="12"/>
        </w:numPr>
        <w:spacing w:before="0" w:after="0"/>
        <w:rPr/>
      </w:pPr>
      <w:r>
        <w:rPr/>
        <w:t xml:space="preserve">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>
          <w:b/>
          <w:bCs/>
          <w:sz w:val="24"/>
          <w:szCs w:val="24"/>
        </w:rPr>
        <w:t>Работы, производимые на стороне Cone Center</w:t>
      </w:r>
    </w:p>
    <w:p>
      <w:pPr>
        <w:pStyle w:val="TextBody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0" w:after="0"/>
        <w:jc w:val="left"/>
        <w:rPr/>
      </w:pPr>
      <w:r>
        <w:rPr>
          <w:b/>
          <w:bCs/>
          <w:sz w:val="18"/>
          <w:szCs w:val="18"/>
        </w:rPr>
        <w:t>Блок 1</w:t>
      </w:r>
    </w:p>
    <w:p>
      <w:pPr>
        <w:pStyle w:val="TextBody"/>
        <w:numPr>
          <w:ilvl w:val="0"/>
          <w:numId w:val="6"/>
        </w:numPr>
        <w:spacing w:before="0" w:after="0"/>
        <w:jc w:val="left"/>
        <w:rPr/>
      </w:pPr>
      <w:r>
        <w:rPr>
          <w:b w:val="false"/>
          <w:bCs w:val="false"/>
          <w:sz w:val="18"/>
          <w:szCs w:val="18"/>
        </w:rPr>
        <w:t xml:space="preserve">мчм </w:t>
      </w:r>
    </w:p>
    <w:p>
      <w:pPr>
        <w:pStyle w:val="TextBody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spacing w:before="0" w:after="0"/>
        <w:rPr/>
      </w:pPr>
      <w:r>
        <w:rPr>
          <w:b/>
          <w:bCs/>
          <w:sz w:val="18"/>
          <w:szCs w:val="18"/>
        </w:rPr>
        <w:t>Блок 2</w:t>
      </w:r>
    </w:p>
    <w:p>
      <w:pPr>
        <w:pStyle w:val="TextBody"/>
        <w:numPr>
          <w:ilvl w:val="0"/>
          <w:numId w:val="7"/>
        </w:numPr>
        <w:spacing w:before="0" w:after="0"/>
        <w:rPr/>
      </w:pPr>
      <w:r>
        <w:rPr>
          <w:b/>
          <w:bCs/>
          <w:sz w:val="18"/>
          <w:szCs w:val="18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TextBody"/>
        <w:spacing w:before="0" w:after="0"/>
        <w:rPr/>
      </w:pPr>
      <w:r>
        <w:rPr>
          <w:b/>
          <w:bCs/>
          <w:sz w:val="18"/>
          <w:szCs w:val="18"/>
        </w:rPr>
        <w:t>Блок 3</w:t>
      </w:r>
    </w:p>
    <w:p>
      <w:pPr>
        <w:pStyle w:val="TextBody"/>
        <w:numPr>
          <w:ilvl w:val="0"/>
          <w:numId w:val="9"/>
        </w:numPr>
        <w:spacing w:before="0" w:after="0"/>
        <w:rPr/>
      </w:pPr>
      <w:r>
        <w:rPr>
          <w:b/>
          <w:bCs/>
          <w:sz w:val="18"/>
          <w:szCs w:val="18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TextBody"/>
        <w:spacing w:before="0" w:after="0"/>
        <w:rPr/>
      </w:pPr>
      <w:r>
        <w:rPr>
          <w:b/>
          <w:bCs/>
          <w:sz w:val="18"/>
          <w:szCs w:val="18"/>
        </w:rPr>
        <w:t>Блок 4</w:t>
      </w:r>
    </w:p>
    <w:p>
      <w:pPr>
        <w:pStyle w:val="TextBody"/>
        <w:numPr>
          <w:ilvl w:val="0"/>
          <w:numId w:val="10"/>
        </w:numPr>
        <w:spacing w:before="0" w:after="0"/>
        <w:rPr/>
      </w:pPr>
      <w:r>
        <w:rPr>
          <w:b w:val="false"/>
          <w:bCs w:val="false"/>
          <w:sz w:val="18"/>
          <w:szCs w:val="18"/>
        </w:rPr>
        <w:t xml:space="preserve"> </w:t>
      </w:r>
    </w:p>
    <w:p>
      <w:pPr>
        <w:pStyle w:val="TextBody"/>
        <w:numPr>
          <w:ilvl w:val="0"/>
          <w:numId w:val="0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spacing w:before="0" w:after="0"/>
        <w:ind w:left="0" w:right="0" w:hanging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TextBody"/>
        <w:spacing w:before="0" w:after="0"/>
        <w:ind w:left="0" w:right="0" w:hanging="0"/>
        <w:jc w:val="center"/>
        <w:rPr/>
      </w:pPr>
      <w:r>
        <w:rPr>
          <w:b/>
          <w:bCs/>
          <w:sz w:val="36"/>
          <w:szCs w:val="36"/>
        </w:rPr>
        <w:t>6. Карта внедрения</w:t>
      </w:r>
    </w:p>
    <w:p>
      <w:pPr>
        <w:pStyle w:val="TextBody"/>
        <w:spacing w:before="0" w:after="0"/>
        <w:ind w:left="0" w:right="0" w:hanging="0"/>
        <w:jc w:val="center"/>
        <w:rPr/>
      </w:pPr>
      <w:r>
        <w:rPr>
          <w:b/>
          <w:bCs/>
          <w:sz w:val="36"/>
          <w:szCs w:val="36"/>
        </w:rPr>
        <w:t>7. Описание типов событий</w:t>
      </w:r>
    </w:p>
    <w:sectPr>
      <w:type w:val="continuous"/>
      <w:pgSz w:orient="landscape" w:w="16838" w:h="11906"/>
      <w:pgMar w:left="510" w:right="510" w:header="0" w:top="510" w:footer="0" w:bottom="510" w:gutter="0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 w:val="fals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 w:val="false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 w:val="false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 w:val="false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 w:val="false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b w:val="false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18"/>
    </w:rPr>
  </w:style>
  <w:style w:type="character" w:styleId="ListLabel2">
    <w:name w:val="ListLabel 2"/>
    <w:qFormat/>
    <w:rPr>
      <w:rFonts w:cs="OpenSymbol"/>
      <w:b w:val="false"/>
      <w:sz w:val="18"/>
    </w:rPr>
  </w:style>
  <w:style w:type="character" w:styleId="ListLabel3">
    <w:name w:val="ListLabel 3"/>
    <w:qFormat/>
    <w:rPr>
      <w:rFonts w:cs="OpenSymbol"/>
      <w:b w:val="false"/>
      <w:sz w:val="18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  <w:b w:val="false"/>
      <w:sz w:val="18"/>
    </w:rPr>
  </w:style>
  <w:style w:type="character" w:styleId="ListLabel6">
    <w:name w:val="ListLabel 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yperlink" Target="mailto:in4__haproxy@tcp-mail" TargetMode="External"/><Relationship Id="rId6" Type="http://schemas.openxmlformats.org/officeDocument/2006/relationships/hyperlink" Target="mailto:in4__haproxy@tcp-mail" TargetMode="External"/><Relationship Id="rId7" Type="http://schemas.openxmlformats.org/officeDocument/2006/relationships/hyperlink" Target="mailto:in4__mta@proxy" TargetMode="External"/><Relationship Id="rId8" Type="http://schemas.openxmlformats.org/officeDocument/2006/relationships/hyperlink" Target="mailto:in4__mta@demo" TargetMode="External"/><Relationship Id="rId9" Type="http://schemas.openxmlformats.org/officeDocument/2006/relationships/hyperlink" Target="mailto:in4__mta@preprod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705</TotalTime>
  <Application>LibreOffice/5.0.5.2$Linux_X86_64 LibreOffice_project/00m0$Build-2</Application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2016-08-05T14:41:47Z</dcterms:created>
  <dc:language>en-US</dc:language>
  <cp:lastPrinted>2016-08-09T14:57:20Z</cp:lastPrinted>
  <dcterms:modified xsi:type="dcterms:W3CDTF">2016-09-30T13:57:38Z</dcterms:modified>
  <cp:revision>52</cp:revision>
</cp:coreProperties>
</file>