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 </w:t>
      </w: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w:t>
      </w:r>
      <w:r>
        <w:rPr>
          <w:rFonts w:ascii="Times New Roman" w:hAnsi="Times New Roman"/>
          <w:b/>
          <w:bCs/>
          <w:i w:val="false"/>
          <w:caps w:val="false"/>
          <w:smallCaps w:val="false"/>
          <w:color w:val="000000"/>
          <w:spacing w:val="0"/>
          <w:sz w:val="28"/>
          <w:szCs w:val="28"/>
        </w:rPr>
        <w:t xml:space="preserve">Прогноз масштабів хім. аварії </w:t>
      </w:r>
      <w:r>
        <w:rPr>
          <w:rFonts w:ascii="Times New Roman" w:hAnsi="Times New Roman"/>
          <w:b/>
          <w:bCs/>
          <w:i w:val="false"/>
          <w:caps w:val="false"/>
          <w:smallCaps w:val="false"/>
          <w:color w:val="333333"/>
          <w:spacing w:val="0"/>
          <w:sz w:val="28"/>
          <w:szCs w:val="28"/>
        </w:rPr>
        <w:t xml:space="preserve">(forecast) </w:t>
      </w:r>
      <w:r>
        <w:rPr>
          <w:rFonts w:ascii="Times New Roman" w:hAnsi="Times New Roman"/>
          <w:b w:val="false"/>
          <w:bCs w:val="false"/>
          <w:i w:val="false"/>
          <w:caps w:val="false"/>
          <w:smallCaps w:val="false"/>
          <w:color w:val="333333"/>
          <w:spacing w:val="0"/>
          <w:sz w:val="28"/>
          <w:szCs w:val="28"/>
        </w:rPr>
        <w:t xml:space="preserve">— застосунок щодо прогнозування масштабів хімічної аварії (посилання на </w:t>
      </w:r>
      <w:r>
        <w:rPr>
          <w:rFonts w:ascii="Times New Roman" w:hAnsi="Times New Roman"/>
          <w:b/>
          <w:bCs/>
          <w:i w:val="false"/>
          <w:caps w:val="false"/>
          <w:smallCaps w:val="false"/>
          <w:color w:val="333333"/>
          <w:spacing w:val="0"/>
          <w:sz w:val="28"/>
          <w:szCs w:val="28"/>
        </w:rPr>
        <w:t>forecast.inf.ua</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b/>
          <w:bCs/>
        </w:rPr>
      </w:pPr>
      <w:r>
        <w:rPr>
          <w:rFonts w:ascii="Times New Roman" w:hAnsi="Times New Roman"/>
          <w:b/>
          <w:bCs/>
          <w:i w:val="false"/>
          <w:caps w:val="false"/>
          <w:smallCaps w:val="false"/>
          <w:color w:val="333333"/>
          <w:spacing w:val="0"/>
          <w:sz w:val="28"/>
          <w:szCs w:val="28"/>
        </w:rPr>
        <w:t xml:space="preserve">1.5.  </w:t>
      </w:r>
      <w:r>
        <w:rPr>
          <w:rFonts w:ascii="Times New Roman" w:hAnsi="Times New Roman"/>
          <w:b/>
          <w:bCs/>
          <w:i w:val="false"/>
          <w:caps w:val="false"/>
          <w:smallCaps w:val="false"/>
          <w:color w:val="000000"/>
          <w:spacing w:val="0"/>
          <w:sz w:val="28"/>
          <w:szCs w:val="28"/>
        </w:rPr>
        <w:t xml:space="preserve">Прогноз масштабів хім. аварії  -  </w:t>
      </w:r>
      <w:r>
        <w:rPr>
          <w:rFonts w:ascii="Times New Roman" w:hAnsi="Times New Roman"/>
          <w:b w:val="false"/>
          <w:bCs w:val="false"/>
          <w:i w:val="false"/>
          <w:caps w:val="false"/>
          <w:smallCaps w:val="false"/>
          <w:color w:val="333333"/>
          <w:spacing w:val="0"/>
          <w:sz w:val="28"/>
          <w:szCs w:val="28"/>
        </w:rPr>
        <w:t>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b/>
          <w:bCs/>
        </w:rPr>
      </w:pPr>
      <w:r>
        <w:rPr>
          <w:rFonts w:ascii="Times New Roman" w:hAnsi="Times New Roman"/>
          <w:b/>
          <w:bCs/>
          <w:i w:val="false"/>
          <w:caps w:val="false"/>
          <w:smallCaps w:val="false"/>
          <w:color w:val="333333"/>
          <w:spacing w:val="0"/>
          <w:sz w:val="28"/>
          <w:szCs w:val="28"/>
        </w:rPr>
        <w:t xml:space="preserve">1.6. Прогноз кількості постраждалих під час ядерного вибуху — </w:t>
      </w:r>
      <w:r>
        <w:rPr>
          <w:rFonts w:ascii="Times New Roman" w:hAnsi="Times New Roman"/>
          <w:b w:val="false"/>
          <w:bCs w:val="false"/>
          <w:i w:val="false"/>
          <w:caps w:val="false"/>
          <w:smallCaps w:val="false"/>
          <w:color w:val="333333"/>
          <w:spacing w:val="0"/>
          <w:sz w:val="28"/>
          <w:szCs w:val="28"/>
        </w:rPr>
        <w:t>застосунок щодо прогнозування кількості постраждалих під час наземного ядерного вибуху.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1.7.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Рівні небезпечного впливу (AEGL) БОР та НХР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та небезпечних хімічних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 xml:space="preserve">отруєння людей за рівнями: </w:t>
      </w:r>
      <w:r>
        <w:rPr>
          <w:rFonts w:eastAsia="Noto Serif CJK SC" w:cs="Lohit Devanagari" w:ascii="Times New Roman" w:hAnsi="Times New Roman"/>
          <w:b/>
          <w:bCs/>
          <w:i w:val="false"/>
          <w:caps w:val="false"/>
          <w:smallCaps w:val="false"/>
          <w:color w:val="000000"/>
          <w:spacing w:val="0"/>
          <w:sz w:val="28"/>
          <w:szCs w:val="28"/>
        </w:rPr>
        <w:t xml:space="preserve">AEGL1 (зона початкового/низького впливу), AEGL2 (зона середньої небезпеки (ризик для здоров'я)), AEGL3 (зона смертельної небезпеки) </w:t>
      </w:r>
      <w:r>
        <w:rPr>
          <w:rFonts w:eastAsia="Noto Serif CJK SC" w:cs="Lohit Devanagari" w:ascii="Times New Roman" w:hAnsi="Times New Roman"/>
          <w:b w:val="false"/>
          <w:i w:val="false"/>
          <w:caps w:val="false"/>
          <w:smallCaps w:val="false"/>
          <w:color w:val="000000"/>
          <w:spacing w:val="0"/>
          <w:sz w:val="28"/>
          <w:szCs w:val="28"/>
        </w:rPr>
        <w:t>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val="false"/>
          <w:i w:val="false"/>
          <w:caps w:val="false"/>
          <w:smallCaps w:val="false"/>
          <w:color w:val="000000"/>
          <w:spacing w:val="0"/>
          <w:sz w:val="28"/>
          <w:szCs w:val="28"/>
        </w:rPr>
        <w:t>При введенні інформації про фактичну концентрацію БОР та НХР на місцевості застосунок визначає, до якого рівня небезпечного впливу відноситься забруднення місцевості БОР та НХР у точці вимірювання їх концентрації.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3.4. Розрахунок сил РХБ захисту</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призначений для розрахунку кількості підрозділів РХБ захисту, необхідних для залучення до радіаційної і хімічної розвідки, санітарної обробки людей та спеціальної обробки транспорту в обсягах, визначених на підставі оцінки радіаційної та хімічної обстановки.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 xml:space="preserve">(посилання на перелік документів Управління </w:t>
      </w:r>
      <w:r>
        <w:rPr>
          <w:rFonts w:eastAsia="Times New Roman" w:cs="Times New Roman" w:ascii="Times New Roman" w:hAnsi="Times New Roman"/>
          <w:b w:val="false"/>
          <w:bCs w:val="false"/>
          <w:i w:val="false"/>
          <w:caps w:val="false"/>
          <w:smallCaps w:val="false"/>
          <w:color w:val="000000"/>
          <w:spacing w:val="0"/>
          <w:sz w:val="28"/>
          <w:szCs w:val="28"/>
        </w:rPr>
        <w:t xml:space="preserve">організації </w:t>
      </w:r>
      <w:r>
        <w:rPr>
          <w:rFonts w:eastAsia="Times New Roman" w:cs="Times New Roman" w:ascii="Times New Roman" w:hAnsi="Times New Roman"/>
          <w:b w:val="false"/>
          <w:bCs w:val="false"/>
          <w:i w:val="false"/>
          <w:caps w:val="false"/>
          <w:smallCaps w:val="false"/>
          <w:color w:val="000000"/>
          <w:spacing w:val="0"/>
          <w:sz w:val="28"/>
          <w:szCs w:val="28"/>
        </w:rPr>
        <w:t>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bCs/>
          <w:sz w:val="28"/>
          <w:szCs w:val="28"/>
        </w:rPr>
        <w:t>Нанесення умовних знаків РХБЗ:</w:t>
      </w:r>
      <w:r>
        <w:rPr>
          <w:rFonts w:ascii="Times New Roman" w:hAnsi="Times New Roman"/>
          <w:sz w:val="28"/>
          <w:szCs w:val="28"/>
        </w:rPr>
        <w:t xml:space="preserve"> на панелі під картою натисність кнопку випадаючого списку </w:t>
      </w:r>
      <w:r>
        <w:rPr>
          <w:rFonts w:ascii="Times New Roman" w:hAnsi="Times New Roman"/>
          <w:b/>
          <w:bCs/>
          <w:sz w:val="28"/>
          <w:szCs w:val="28"/>
        </w:rPr>
        <w:t>«Знак РХБЗ»</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bCs/>
          <w:sz w:val="28"/>
          <w:szCs w:val="28"/>
        </w:rPr>
        <w:t>«Завершити знак».</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Видалення умовного знаку: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 xml:space="preserve">» </w:t>
      </w:r>
      <w:r>
        <w:rPr>
          <w:rFonts w:ascii="Times New Roman" w:hAnsi="Times New Roman"/>
          <w:b w:val="false"/>
          <w:bCs w:val="false"/>
          <w:sz w:val="28"/>
          <w:szCs w:val="28"/>
        </w:rPr>
        <w:t xml:space="preserve">та на карті клікніть по нанесеному знаку.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під картою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w:t>
      </w:r>
      <w:r>
        <w:rPr>
          <w:rFonts w:ascii="Times New Roman" w:hAnsi="Times New Roman"/>
          <w:sz w:val="28"/>
          <w:szCs w:val="28"/>
        </w:rPr>
        <w:t>на карті клікніть по нанесеному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багатокутник: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sz w:val="28"/>
          <w:szCs w:val="28"/>
        </w:rPr>
        <w:t>Видалення цих геометричних фігур здійснюється аналогічно видаленню умовних знаків.</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діалоговому вікні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 тобто довжину еліпса у метрах (система автоматично розрахує ширину еліпса в залежності від швидкості вітру, яка була вставлена у ручному режимі у віконце метеовіджету під картою)</w:t>
      </w:r>
    </w:p>
    <w:p>
      <w:pPr>
        <w:pStyle w:val="BodyText"/>
        <w:numPr>
          <w:ilvl w:val="0"/>
          <w:numId w:val="0"/>
        </w:numPr>
        <w:spacing w:lineRule="auto" w:line="240" w:before="0" w:after="0"/>
        <w:ind w:hanging="0" w:left="0"/>
        <w:jc w:val="both"/>
        <w:rPr>
          <w:sz w:val="28"/>
          <w:szCs w:val="28"/>
        </w:rPr>
      </w:pPr>
      <w:r>
        <w:rPr>
          <w:sz w:val="28"/>
          <w:szCs w:val="28"/>
        </w:rPr>
        <w:t>Система автоматично побудує трирівневий каскад зон:</w:t>
      </w:r>
    </w:p>
    <w:p>
      <w:pPr>
        <w:pStyle w:val="BodyText"/>
        <w:numPr>
          <w:ilvl w:val="1"/>
          <w:numId w:val="1"/>
        </w:numPr>
        <w:tabs>
          <w:tab w:val="clear" w:pos="709"/>
          <w:tab w:val="left" w:pos="0" w:leader="none"/>
        </w:tabs>
        <w:spacing w:lineRule="auto" w:line="240" w:before="0" w:after="0"/>
        <w:ind w:hanging="283" w:left="1418"/>
        <w:jc w:val="both"/>
        <w:rPr>
          <w:sz w:val="28"/>
          <w:szCs w:val="28"/>
        </w:rPr>
      </w:pPr>
      <w:r>
        <w:rPr>
          <w:sz w:val="28"/>
          <w:szCs w:val="28"/>
        </w:rPr>
        <w:t xml:space="preserve">🟡 </w:t>
      </w:r>
      <w:r>
        <w:rPr>
          <w:b/>
          <w:sz w:val="28"/>
          <w:szCs w:val="28"/>
        </w:rPr>
        <w:t>AEGL-1 (жовта, 100% розміру):</w:t>
      </w:r>
      <w:r>
        <w:rPr>
          <w:sz w:val="28"/>
          <w:szCs w:val="28"/>
        </w:rPr>
        <w:t xml:space="preserve"> зона початкового/низького впливу.</w:t>
      </w:r>
    </w:p>
    <w:p>
      <w:pPr>
        <w:pStyle w:val="BodyText"/>
        <w:numPr>
          <w:ilvl w:val="1"/>
          <w:numId w:val="1"/>
        </w:numPr>
        <w:tabs>
          <w:tab w:val="clear" w:pos="709"/>
          <w:tab w:val="left" w:pos="0" w:leader="none"/>
        </w:tabs>
        <w:spacing w:lineRule="auto" w:line="240" w:before="0" w:after="0"/>
        <w:ind w:hanging="283" w:left="1418"/>
        <w:jc w:val="both"/>
        <w:rPr>
          <w:sz w:val="28"/>
          <w:szCs w:val="28"/>
        </w:rPr>
      </w:pPr>
      <w:r>
        <w:rPr>
          <w:sz w:val="28"/>
          <w:szCs w:val="28"/>
        </w:rPr>
        <w:t xml:space="preserve">🟠 </w:t>
      </w:r>
      <w:r>
        <w:rPr>
          <w:b/>
          <w:sz w:val="28"/>
          <w:szCs w:val="28"/>
        </w:rPr>
        <w:t>AEGL-2 (помаранчева, 60% розміру):</w:t>
      </w:r>
      <w:r>
        <w:rPr>
          <w:sz w:val="28"/>
          <w:szCs w:val="28"/>
        </w:rPr>
        <w:t xml:space="preserve"> зона середньої небезпеки (ризик для здоров'я).</w:t>
      </w:r>
    </w:p>
    <w:p>
      <w:pPr>
        <w:pStyle w:val="BodyText"/>
        <w:widowControl/>
        <w:numPr>
          <w:ilvl w:val="0"/>
          <w:numId w:val="1"/>
        </w:numPr>
        <w:suppressAutoHyphens w:val="true"/>
        <w:bidi w:val="0"/>
        <w:spacing w:lineRule="auto" w:line="240" w:before="0" w:after="0"/>
        <w:ind w:hanging="283" w:left="1417" w:right="0"/>
        <w:jc w:val="both"/>
        <w:rPr/>
      </w:pPr>
      <w:r>
        <w:rPr>
          <w:sz w:val="28"/>
          <w:szCs w:val="28"/>
        </w:rPr>
        <w:t xml:space="preserve">🔴 </w:t>
      </w:r>
      <w:r>
        <w:rPr>
          <w:b/>
          <w:sz w:val="28"/>
          <w:szCs w:val="28"/>
        </w:rPr>
        <w:t>AEGL-3 (Червона, 30% розміру):</w:t>
      </w:r>
      <w:r>
        <w:rPr>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sz w:val="28"/>
          <w:szCs w:val="28"/>
        </w:rPr>
      </w:pPr>
      <w:r>
        <w:rPr>
          <w:b/>
          <w:bCs/>
          <w:sz w:val="28"/>
          <w:szCs w:val="28"/>
        </w:rPr>
        <w:t>Вид</w:t>
      </w:r>
      <w:r>
        <w:rPr>
          <w:b/>
          <w:sz w:val="28"/>
          <w:szCs w:val="28"/>
        </w:rPr>
        <w:t>алення зони хімічного забруднення:</w:t>
      </w:r>
      <w:r>
        <w:rPr>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Style19"/>
        <w:widowControl/>
        <w:suppressAutoHyphens w:val="true"/>
        <w:bidi w:val="0"/>
        <w:spacing w:lineRule="auto" w:line="240" w:before="0" w:after="0"/>
        <w:ind w:hanging="0" w:left="0" w:right="0"/>
        <w:jc w:val="both"/>
        <w:rPr>
          <w:b/>
          <w:bCs/>
        </w:rPr>
      </w:pPr>
      <w:r>
        <w:rPr>
          <w:rFonts w:ascii="Times New Roman" w:hAnsi="Times New Roman"/>
          <w:b/>
          <w:bCs/>
          <w:sz w:val="28"/>
          <w:szCs w:val="28"/>
        </w:rPr>
        <w:t>3. Нанесення маршрутів РХБ розвідки:</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автоматичному режимі: </w:t>
      </w:r>
      <w:r>
        <w:rPr>
          <w:rFonts w:ascii="Times New Roman" w:hAnsi="Times New Roman"/>
          <w:b w:val="false"/>
          <w:bCs w:val="false"/>
          <w:sz w:val="28"/>
          <w:szCs w:val="28"/>
        </w:rPr>
        <w:t>у віконці під картою ввести перелік населених пунктів (через точку із комою) маршруту розвідки, тобто визначити дві точки: початок та кінець маршруту, при необхідності  - після початку вставити проміжні точки маршруту. При співпаданні найменування НП з такою ж назвою з іншого регіону України або іншої країни програма може не коректно сформувати маршрут, в цьому випадку треба після назви НП написати найменування області, в якій розташований зазначений НП.</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ручному режимі: </w:t>
      </w:r>
      <w:r>
        <w:rPr>
          <w:rFonts w:ascii="Times New Roman" w:hAnsi="Times New Roman"/>
          <w:b w:val="false"/>
          <w:bCs w:val="false"/>
          <w:sz w:val="28"/>
          <w:szCs w:val="28"/>
        </w:rPr>
        <w:t xml:space="preserve">кліком мишки визначаєте точки маршруту на карті, при цьому кінець маршруту наноситься двійним кліком. У випадаючому віконці вставляєте № маршруту. </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Видалення окремого маршуту </w:t>
      </w:r>
      <w:r>
        <w:rPr>
          <w:rFonts w:ascii="Times New Roman" w:hAnsi="Times New Roman"/>
          <w:b w:val="false"/>
          <w:bCs w:val="false"/>
          <w:sz w:val="28"/>
          <w:szCs w:val="28"/>
        </w:rPr>
        <w:t xml:space="preserve">здійснюється аналогічно видаленню умовних знаків.    </w:t>
      </w:r>
    </w:p>
    <w:p>
      <w:pPr>
        <w:pStyle w:val="Style19"/>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3"/>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 xml:space="preserve">HTML / </w:t>
      </w:r>
      <w:r>
        <w:rPr>
          <w:rFonts w:ascii="Times New Roman" w:hAnsi="Times New Roman"/>
          <w:b/>
          <w:sz w:val="28"/>
          <w:szCs w:val="28"/>
        </w:rPr>
        <w:t>🖨 Друк/PDF:</w:t>
      </w:r>
      <w:r>
        <w:rPr>
          <w:rFonts w:ascii="Times New Roman" w:hAnsi="Times New Roman"/>
          <w:sz w:val="28"/>
          <w:szCs w:val="28"/>
        </w:rPr>
        <w:t xml:space="preserve"> при натисканні на кнопку «HTML» поточна карта з обстановкою зберігається у форматі html; відповідно при натисканні кнопки «Друк/PDF» карта друкується або зберігається у форматі pdf.</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swiss"/>
    <w:pitch w:val="variable"/>
  </w:font>
  <w:font w:name="Symbol">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826</TotalTime>
  <Application>LibreOffice/7.6.7.2$Linux_X86_64 LibreOffice_project/60$Build-2</Application>
  <AppVersion>15.0000</AppVersion>
  <Pages>4</Pages>
  <Words>1126</Words>
  <Characters>7347</Characters>
  <CharactersWithSpaces>8453</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2026-10-09T09:38:11Z</dcterms:modified>
  <cp:revision>118</cp:revision>
  <dc:subject/>
  <dc:title/>
</cp:coreProperties>
</file>

<file path=docProps/custom.xml><?xml version="1.0" encoding="utf-8"?>
<Properties xmlns="http://schemas.openxmlformats.org/officeDocument/2006/custom-properties" xmlns:vt="http://schemas.openxmlformats.org/officeDocument/2006/docPropsVTypes"/>
</file>