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suppressAutoHyphens w:val="true"/>
        <w:bidi w:val="0"/>
        <w:spacing w:lineRule="auto" w:line="240" w:before="0" w:after="0"/>
        <w:ind w:firstLine="567" w:left="0" w:right="0"/>
        <w:jc w:val="center"/>
        <w:rPr>
          <w:rFonts w:ascii="Times New Roman" w:hAnsi="Times New Roman"/>
          <w:b/>
          <w:bCs/>
          <w:i w:val="false"/>
          <w:i w:val="false"/>
          <w:caps/>
          <w:color w:val="000000"/>
          <w:spacing w:val="0"/>
          <w:sz w:val="28"/>
          <w:szCs w:val="28"/>
        </w:rPr>
      </w:pPr>
      <w:r>
        <w:rPr>
          <w:rFonts w:ascii="Times New Roman" w:hAnsi="Times New Roman"/>
          <w:b/>
          <w:bCs/>
          <w:i w:val="false"/>
          <w:caps/>
          <w:color w:val="000000"/>
          <w:spacing w:val="0"/>
          <w:sz w:val="28"/>
          <w:szCs w:val="28"/>
        </w:rPr>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i w:val="false"/>
          <w:caps/>
          <w:color w:val="000000"/>
          <w:spacing w:val="0"/>
          <w:sz w:val="28"/>
          <w:szCs w:val="28"/>
        </w:rPr>
        <w:t xml:space="preserve">ПлатформА підтримки заходів реагування </w:t>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i w:val="false"/>
          <w:caps/>
          <w:color w:val="000000"/>
          <w:spacing w:val="0"/>
          <w:sz w:val="28"/>
          <w:szCs w:val="28"/>
        </w:rPr>
        <w:t>на ХБРЯ інциденти</w:t>
      </w:r>
    </w:p>
    <w:p>
      <w:pPr>
        <w:pStyle w:val="BodyText"/>
        <w:widowControl/>
        <w:suppressAutoHyphens w:val="true"/>
        <w:bidi w:val="0"/>
        <w:spacing w:lineRule="auto" w:line="240" w:before="0" w:after="0"/>
        <w:ind w:firstLine="567" w:left="0" w:right="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Платформа підтримки заходів реагування на ХБРЯ інциденти</w:t>
      </w:r>
      <w:r>
        <w:rPr>
          <w:rFonts w:ascii="Times New Roman" w:hAnsi="Times New Roman"/>
          <w:b w:val="false"/>
          <w:i w:val="false"/>
          <w:caps w:val="false"/>
          <w:smallCaps w:val="false"/>
          <w:color w:val="000000"/>
          <w:spacing w:val="0"/>
          <w:sz w:val="28"/>
          <w:szCs w:val="28"/>
        </w:rPr>
        <w:t xml:space="preserve"> (далі </w:t>
      </w:r>
      <w:r>
        <w:rPr>
          <w:rFonts w:eastAsia="Times New Roman" w:cs="Times New Roman" w:ascii="Times New Roman" w:hAnsi="Times New Roman"/>
          <w:b w:val="false"/>
          <w:i w:val="false"/>
          <w:caps w:val="false"/>
          <w:smallCaps w:val="false"/>
          <w:color w:val="000000"/>
          <w:spacing w:val="0"/>
          <w:sz w:val="28"/>
          <w:szCs w:val="28"/>
        </w:rPr>
        <w:t>−</w:t>
      </w:r>
      <w:r>
        <w:rPr>
          <w:rFonts w:eastAsia="Noto Serif CJK SC" w:cs="Lohit Devanagari" w:ascii="Times New Roman" w:hAnsi="Times New Roman"/>
          <w:b w:val="false"/>
          <w:i w:val="false"/>
          <w:caps w:val="false"/>
          <w:smallCaps w:val="false"/>
          <w:color w:val="000000"/>
          <w:spacing w:val="0"/>
          <w:sz w:val="28"/>
          <w:szCs w:val="28"/>
        </w:rPr>
        <w:t xml:space="preserve"> </w:t>
      </w:r>
      <w:r>
        <w:rPr>
          <w:rFonts w:eastAsia="Noto Serif CJK SC" w:cs="Lohit Devanagari" w:ascii="Times New Roman" w:hAnsi="Times New Roman"/>
          <w:b/>
          <w:bCs/>
          <w:i w:val="false"/>
          <w:caps w:val="false"/>
          <w:smallCaps w:val="false"/>
          <w:color w:val="000000"/>
          <w:spacing w:val="0"/>
          <w:sz w:val="28"/>
          <w:szCs w:val="28"/>
        </w:rPr>
        <w:t>Платформа РХБ захисту</w:t>
      </w:r>
      <w:r>
        <w:rPr>
          <w:rFonts w:ascii="Times New Roman" w:hAnsi="Times New Roman"/>
          <w:b w:val="false"/>
          <w:i w:val="false"/>
          <w:caps w:val="false"/>
          <w:smallCaps w:val="false"/>
          <w:color w:val="000000"/>
          <w:spacing w:val="0"/>
          <w:sz w:val="28"/>
          <w:szCs w:val="28"/>
        </w:rPr>
        <w:t xml:space="preserve">)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w:t>
      </w:r>
      <w:r>
        <w:rPr>
          <w:rFonts w:ascii="Times New Roman" w:hAnsi="Times New Roman"/>
          <w:b w:val="false"/>
          <w:bCs w:val="false"/>
          <w:i w:val="false"/>
          <w:caps w:val="false"/>
          <w:smallCaps w:val="false"/>
          <w:color w:val="000000"/>
          <w:spacing w:val="0"/>
          <w:sz w:val="28"/>
          <w:szCs w:val="28"/>
        </w:rPr>
        <w:t>це    веб-портал, призначений для підвищення ефективності роботи  фахівців РХБ захисту під час оцінки РХБ обстановки та підготовки пропозицій щодо захисту населення та ліквідації наслідків ХБРЯ інцидентів.</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Платформа РХБ захисту об’єднує робочу карту та модулі щодо контролю за радіаційним моніторингом на території України та країн ЄС, прогнозування масштабів хімічної аварії, нанесення на карту радіаційної та хімічної обстановки за даними розвідки, оперативного пошуку аварійних карток небезпечних хімічних речовин, розрахунків дози опромінення людей у зоні радіоактивного забруднення та формалізовані документи щодо оцінки РХБ обстановки при виникненні ХБРЯ інцидентів:</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Модуль 1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w:t>
      </w:r>
      <w:r>
        <w:rPr>
          <w:rFonts w:ascii="Times New Roman" w:hAnsi="Times New Roman"/>
          <w:b/>
          <w:bCs/>
          <w:i w:val="false"/>
          <w:caps w:val="false"/>
          <w:smallCaps w:val="false"/>
          <w:color w:val="000000"/>
          <w:spacing w:val="0"/>
          <w:sz w:val="28"/>
          <w:szCs w:val="28"/>
        </w:rPr>
        <w:t>РХБ ОБСТАНОВКА</w:t>
      </w:r>
      <w:r>
        <w:rPr>
          <w:rFonts w:ascii="Times New Roman" w:hAnsi="Times New Roman"/>
          <w:b w:val="false"/>
          <w:bCs w:val="false"/>
          <w:i w:val="false"/>
          <w:caps w:val="false"/>
          <w:smallCaps w:val="false"/>
          <w:color w:val="000000"/>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1.1. Карта радіаційного моніторингу </w:t>
      </w:r>
      <w:r>
        <w:rPr>
          <w:rFonts w:ascii="Times New Roman" w:hAnsi="Times New Roman"/>
          <w:b w:val="false"/>
          <w:bCs w:val="false"/>
          <w:i w:val="false"/>
          <w:caps w:val="false"/>
          <w:smallCaps w:val="false"/>
          <w:color w:val="000000"/>
          <w:spacing w:val="0"/>
          <w:sz w:val="28"/>
          <w:szCs w:val="28"/>
        </w:rPr>
        <w:t>(посилання на SaveEcobot).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1.2. Карта радіаційного моніторингу </w:t>
      </w:r>
      <w:r>
        <w:rPr>
          <w:rFonts w:ascii="Times New Roman" w:hAnsi="Times New Roman"/>
          <w:b w:val="false"/>
          <w:bCs w:val="false"/>
          <w:i w:val="false"/>
          <w:caps w:val="false"/>
          <w:smallCaps w:val="false"/>
          <w:color w:val="000000"/>
          <w:spacing w:val="0"/>
          <w:sz w:val="28"/>
          <w:szCs w:val="28"/>
        </w:rPr>
        <w:t>(посилання на Укргідрометцентр).</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1.3. Карта радіаційного моніторингу країн ЄС </w:t>
      </w:r>
      <w:r>
        <w:rPr>
          <w:rFonts w:ascii="Times New Roman" w:hAnsi="Times New Roman"/>
          <w:b w:val="false"/>
          <w:bCs w:val="false"/>
          <w:i w:val="false"/>
          <w:caps w:val="false"/>
          <w:smallCaps w:val="false"/>
          <w:color w:val="000000"/>
          <w:spacing w:val="0"/>
          <w:sz w:val="28"/>
          <w:szCs w:val="28"/>
        </w:rPr>
        <w:t xml:space="preserve">(посилання на </w:t>
      </w:r>
      <w:r>
        <w:rPr>
          <w:rFonts w:ascii="Times New Roman" w:hAnsi="Times New Roman"/>
          <w:b w:val="false"/>
          <w:bCs w:val="false"/>
          <w:i w:val="false"/>
          <w:caps w:val="false"/>
          <w:smallCaps w:val="false"/>
          <w:color w:val="333333"/>
          <w:spacing w:val="0"/>
          <w:sz w:val="28"/>
          <w:szCs w:val="28"/>
        </w:rPr>
        <w:t>EURDEP).</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333333"/>
          <w:spacing w:val="0"/>
          <w:sz w:val="28"/>
          <w:szCs w:val="28"/>
        </w:rPr>
        <w:t xml:space="preserve">1.4. Карта прогнозу хімічної обстановки </w:t>
      </w:r>
      <w:r>
        <w:rPr>
          <w:rFonts w:ascii="Times New Roman" w:hAnsi="Times New Roman"/>
          <w:b w:val="false"/>
          <w:bCs w:val="false"/>
          <w:i w:val="false"/>
          <w:caps w:val="false"/>
          <w:smallCaps w:val="false"/>
          <w:color w:val="333333"/>
          <w:spacing w:val="0"/>
          <w:sz w:val="28"/>
          <w:szCs w:val="28"/>
        </w:rPr>
        <w:t>(посилання на Forecast) — застосунок щодо прогнозування масштабів хімічної аварії.</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333333"/>
          <w:spacing w:val="0"/>
          <w:sz w:val="28"/>
          <w:szCs w:val="28"/>
        </w:rPr>
        <w:t xml:space="preserve">1.5. Карта фактичної РХ обстановки </w:t>
      </w:r>
      <w:r>
        <w:rPr>
          <w:rFonts w:eastAsia="Times New Roman" w:cs="Times New Roman" w:ascii="Times New Roman" w:hAnsi="Times New Roman"/>
          <w:b w:val="false"/>
          <w:bCs w:val="false"/>
          <w:i w:val="false"/>
          <w:caps w:val="false"/>
          <w:smallCaps w:val="false"/>
          <w:color w:val="333333"/>
          <w:spacing w:val="0"/>
          <w:sz w:val="28"/>
          <w:szCs w:val="28"/>
        </w:rPr>
        <w:t>−</w:t>
      </w:r>
      <w:r>
        <w:rPr>
          <w:rFonts w:eastAsia="Noto Serif CJK SC" w:cs="Lohit Devanagari" w:ascii="Times New Roman" w:hAnsi="Times New Roman"/>
          <w:b w:val="false"/>
          <w:bCs w:val="false"/>
          <w:i w:val="false"/>
          <w:caps w:val="false"/>
          <w:smallCaps w:val="false"/>
          <w:color w:val="333333"/>
          <w:spacing w:val="0"/>
          <w:sz w:val="28"/>
          <w:szCs w:val="28"/>
        </w:rPr>
        <w:t xml:space="preserve"> застосунок, призначений для оперативного нанесення радіаційної та хімічної обстановки на карту OpenStreetMap за даними радіаційної та хімічної розвідки</w:t>
      </w:r>
      <w:r>
        <w:rPr>
          <w:rFonts w:ascii="Times New Roman" w:hAnsi="Times New Roman"/>
          <w:b w:val="false"/>
          <w:bCs w:val="false"/>
          <w:i w:val="false"/>
          <w:caps w:val="false"/>
          <w:smallCaps w:val="false"/>
          <w:color w:val="333333"/>
          <w:spacing w:val="0"/>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b/>
          <w:bCs/>
          <w:i w:val="false"/>
          <w:caps w:val="false"/>
          <w:smallCaps w:val="false"/>
          <w:color w:val="000000"/>
          <w:spacing w:val="0"/>
          <w:sz w:val="28"/>
          <w:szCs w:val="28"/>
        </w:rPr>
        <w:t xml:space="preserve">Модуль 2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БАЗИ ДАНИХ:</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2.1. Аварійні картки небезпечних хімічних речовин</w:t>
      </w:r>
      <w:r>
        <w:rPr>
          <w:rFonts w:eastAsia="Noto Serif CJK SC" w:cs="Lohit Devanagari" w:ascii="Times New Roman" w:hAnsi="Times New Roman"/>
          <w:b w:val="false"/>
          <w:bCs w:val="false"/>
          <w:i w:val="false"/>
          <w:caps w:val="false"/>
          <w:smallCaps w:val="false"/>
          <w:color w:val="000000"/>
          <w:spacing w:val="0"/>
          <w:sz w:val="28"/>
          <w:szCs w:val="28"/>
        </w:rPr>
        <w:t xml:space="preserve"> — застосунок, що включає базу аварійних карток небезпечних хімічних речовин, які завантажуються в PDF форматі та містять інформацію про основні властивості НХР, засоби індивідуального захисту та дії щодо локалізації хімічної аварії (є пошук за назвою НХР або номером аварійної картки).</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2.2. Токсодози бойових отруйних речовин </w:t>
      </w:r>
      <w:r>
        <w:rPr>
          <w:rFonts w:eastAsia="Times New Roman" w:cs="Times New Roman" w:ascii="Times New Roman" w:hAnsi="Times New Roman"/>
          <w:b w:val="false"/>
          <w:bCs w:val="false"/>
          <w:i w:val="false"/>
          <w:caps w:val="false"/>
          <w:smallCaps w:val="false"/>
          <w:color w:val="000000"/>
          <w:spacing w:val="0"/>
          <w:sz w:val="28"/>
          <w:szCs w:val="28"/>
        </w:rPr>
        <w:t xml:space="preserve">− застосунок, що включає  інформацію про концентрації бойових отруйних речовин, що викликають ознаки </w:t>
      </w:r>
      <w:r>
        <w:rPr>
          <w:rFonts w:eastAsia="Noto Serif CJK SC" w:cs="Lohit Devanagari" w:ascii="Times New Roman" w:hAnsi="Times New Roman"/>
          <w:b w:val="false"/>
          <w:i w:val="false"/>
          <w:caps w:val="false"/>
          <w:smallCaps w:val="false"/>
          <w:color w:val="000000"/>
          <w:spacing w:val="0"/>
          <w:sz w:val="28"/>
          <w:szCs w:val="28"/>
        </w:rPr>
        <w:t>отруєння людей за рівнями: AEGL1 (порогові ознаки отруєння), AEGL2 (середні ознаки отруєння), AEGL3 (важкі ознаки отруєння) протягом визначеного часу  (10 хв, 30 хв, 1 год, 4 год, 8 год).</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Модуль 3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РОЗРАХУНКИ:</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3.1. Калькулятор дози (ядерний вибух)</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Times New Roman" w:cs="Times New Roman" w:ascii="Times New Roman" w:hAnsi="Times New Roman"/>
          <w:b w:val="false"/>
          <w:bCs w:val="false"/>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дози опромінення людей, які знаходиться в зоні радіоактивного забруднення після ядерного вибуху (вхідні дані: потужність дози випромінювання за даними розвідки на час t після ядерного вибуху, тривалість опромінення людей та коефіцієнт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3.2. Калькулятор дози (аварія на АЕС)</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Times New Roman" w:cs="Times New Roman" w:ascii="Times New Roman" w:hAnsi="Times New Roman"/>
          <w:b w:val="false"/>
          <w:bCs w:val="false"/>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дози опромінення людей, які знаходиться в зоні радіоактивного забруднення після аварії на атомній електростанції (вхідні дані: потужність дози випромінювання за даними розвідки на час t після аварії на АЕС, тривалість опромінення людини та коефіцієнт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3.3. Калькулятор допустимого часу опромінення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val="false"/>
          <w:bCs w:val="false"/>
          <w:i w:val="false"/>
          <w:caps w:val="false"/>
          <w:smallCaps w:val="false"/>
          <w:color w:val="000000"/>
          <w:spacing w:val="0"/>
          <w:sz w:val="28"/>
          <w:szCs w:val="28"/>
        </w:rPr>
        <w:t xml:space="preserve"> застосунок, призначений для розрахунку допустимого часу опромінення людей у зоні радіоактивного забруднення при заданій дозі опромінення (вхідні дані: потужність дози випромінювання , задана доза опромінення, коефіцієнт захисту). </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Модуль 4 </w:t>
      </w:r>
      <w:r>
        <w:rPr>
          <w:rFonts w:eastAsia="Times New Roman" w:cs="Times New Roman" w:ascii="Times New Roman" w:hAnsi="Times New Roman"/>
          <w:b/>
          <w:bCs/>
          <w:i w:val="false"/>
          <w:caps w:val="false"/>
          <w:smallCaps w:val="false"/>
          <w:color w:val="000000"/>
          <w:spacing w:val="0"/>
          <w:sz w:val="28"/>
          <w:szCs w:val="28"/>
        </w:rPr>
        <w:t>−</w:t>
      </w:r>
      <w:r>
        <w:rPr>
          <w:rFonts w:eastAsia="Noto Serif CJK SC" w:cs="Lohit Devanagari" w:ascii="Times New Roman" w:hAnsi="Times New Roman"/>
          <w:b/>
          <w:bCs/>
          <w:i w:val="false"/>
          <w:caps w:val="false"/>
          <w:smallCaps w:val="false"/>
          <w:color w:val="000000"/>
          <w:spacing w:val="0"/>
          <w:sz w:val="28"/>
          <w:szCs w:val="28"/>
        </w:rPr>
        <w:t xml:space="preserve"> ДОВІДКА:</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Noto Serif CJK SC" w:cs="Lohit Devanagari" w:ascii="Times New Roman" w:hAnsi="Times New Roman"/>
          <w:b/>
          <w:bCs/>
          <w:i w:val="false"/>
          <w:caps w:val="false"/>
          <w:smallCaps w:val="false"/>
          <w:color w:val="000000"/>
          <w:spacing w:val="0"/>
          <w:sz w:val="28"/>
          <w:szCs w:val="28"/>
        </w:rPr>
        <w:t xml:space="preserve">4.1. </w:t>
      </w:r>
      <w:r>
        <w:rPr>
          <w:rFonts w:eastAsia="Noto Serif CJK SC" w:cs="Lohit Devanagari" w:ascii="Times New Roman" w:hAnsi="Times New Roman"/>
          <w:b w:val="false"/>
          <w:bCs w:val="false"/>
          <w:i w:val="false"/>
          <w:caps w:val="false"/>
          <w:smallCaps w:val="false"/>
          <w:color w:val="000000"/>
          <w:spacing w:val="0"/>
          <w:sz w:val="28"/>
          <w:szCs w:val="28"/>
        </w:rPr>
        <w:t xml:space="preserve"> </w:t>
      </w:r>
      <w:r>
        <w:rPr>
          <w:rFonts w:eastAsia="Noto Serif CJK SC" w:cs="Lohit Devanagari" w:ascii="Times New Roman" w:hAnsi="Times New Roman"/>
          <w:b/>
          <w:bCs/>
          <w:i w:val="false"/>
          <w:caps w:val="false"/>
          <w:smallCaps w:val="false"/>
          <w:color w:val="000000"/>
          <w:spacing w:val="0"/>
          <w:sz w:val="28"/>
          <w:szCs w:val="28"/>
        </w:rPr>
        <w:t xml:space="preserve">Укргідрометцентр </w:t>
      </w:r>
      <w:r>
        <w:rPr>
          <w:rFonts w:eastAsia="Times New Roman" w:cs="Times New Roman" w:ascii="Times New Roman" w:hAnsi="Times New Roman"/>
          <w:b w:val="false"/>
          <w:bCs w:val="false"/>
          <w:i w:val="false"/>
          <w:caps w:val="false"/>
          <w:smallCaps w:val="false"/>
          <w:color w:val="000000"/>
          <w:spacing w:val="0"/>
          <w:sz w:val="28"/>
          <w:szCs w:val="28"/>
        </w:rPr>
        <w:t>− метеорологічні умови (посилання на Укргідрометцентр).</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i w:val="false"/>
          <w:caps w:val="false"/>
          <w:smallCaps w:val="false"/>
          <w:color w:val="000000"/>
          <w:spacing w:val="0"/>
          <w:sz w:val="28"/>
          <w:szCs w:val="28"/>
        </w:rPr>
        <w:t xml:space="preserve">4.2. Нормативно-правова база РХЗ − </w:t>
      </w:r>
      <w:r>
        <w:rPr>
          <w:rFonts w:eastAsia="Times New Roman" w:cs="Times New Roman" w:ascii="Times New Roman" w:hAnsi="Times New Roman"/>
          <w:b w:val="false"/>
          <w:bCs w:val="false"/>
          <w:i w:val="false"/>
          <w:caps w:val="false"/>
          <w:smallCaps w:val="false"/>
          <w:color w:val="000000"/>
          <w:spacing w:val="0"/>
          <w:sz w:val="28"/>
          <w:szCs w:val="28"/>
        </w:rPr>
        <w:t>(посилання на перелік документів Управління радіаційного, хімічного та біологічного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i w:val="false"/>
          <w:caps w:val="false"/>
          <w:smallCaps w:val="false"/>
          <w:color w:val="000000"/>
          <w:spacing w:val="0"/>
          <w:sz w:val="28"/>
          <w:szCs w:val="28"/>
        </w:rPr>
        <w:t xml:space="preserve">4.3. СОП 1.1/РХБЗ/ДСНС </w:t>
      </w:r>
      <w:r>
        <w:rPr>
          <w:rFonts w:eastAsia="Times New Roman" w:cs="Times New Roman" w:ascii="Times New Roman" w:hAnsi="Times New Roman"/>
          <w:i w:val="false"/>
          <w:sz w:val="28"/>
          <w:szCs w:val="28"/>
        </w:rPr>
        <w:t xml:space="preserve"> «Порядок проведення демеркуризації» (посилання). </w:t>
      </w:r>
      <w:r>
        <w:rPr>
          <w:rFonts w:eastAsia="Times New Roman" w:cs="Times New Roman" w:ascii="Times New Roman" w:hAnsi="Times New Roman"/>
          <w:b/>
          <w:bCs/>
          <w:i w:val="false"/>
          <w:sz w:val="28"/>
          <w:szCs w:val="28"/>
        </w:rPr>
        <w:t>СОП 1.2./РХБЗ/ДСНС</w:t>
      </w:r>
      <w:r>
        <w:rPr>
          <w:rFonts w:eastAsia="Times New Roman" w:cs="Times New Roman" w:ascii="Times New Roman" w:hAnsi="Times New Roman"/>
          <w:i w:val="false"/>
          <w:sz w:val="28"/>
          <w:szCs w:val="28"/>
        </w:rPr>
        <w:t xml:space="preserve"> «Порядок дій пожежно-рятувальних підрозділів при залученні на надзвичайну ситуацію (подію), пов’язану з небезпечними хімічними речовинами».</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i w:val="false"/>
          <w:sz w:val="28"/>
          <w:szCs w:val="28"/>
        </w:rPr>
        <w:t xml:space="preserve">4.4. Формалізовані документи та довідкові матеріали </w:t>
      </w:r>
      <w:r>
        <w:rPr>
          <w:rFonts w:eastAsia="Times New Roman" w:cs="Times New Roman" w:ascii="Times New Roman" w:hAnsi="Times New Roman"/>
          <w:b w:val="false"/>
          <w:bCs w:val="false"/>
          <w:i w:val="false"/>
          <w:sz w:val="28"/>
          <w:szCs w:val="28"/>
        </w:rPr>
        <w:t>− бланки формалізованих документів у форматі docx для підготовки доповідей щодо оцінки радіаційної та хімічної обстановки за даними прогнозування та радіаційної і хімічної розвідки при застосуванні ядерної та хімічної зброї, аварії на АЕС та хімічно небезпечному об’єкті;</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val="false"/>
          <w:bCs w:val="false"/>
          <w:i w:val="false"/>
          <w:sz w:val="28"/>
          <w:szCs w:val="28"/>
        </w:rPr>
        <w:t xml:space="preserve"> </w:t>
      </w:r>
      <w:r>
        <w:rPr>
          <w:rFonts w:eastAsia="Times New Roman" w:cs="Times New Roman" w:ascii="Times New Roman" w:hAnsi="Times New Roman"/>
          <w:b w:val="false"/>
          <w:bCs w:val="false"/>
          <w:i w:val="false"/>
          <w:sz w:val="28"/>
          <w:szCs w:val="28"/>
        </w:rPr>
        <w:t>довідкові матеріали з РХБ захисту.</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val="false"/>
          <w:bCs w:val="false"/>
          <w:i w:val="false"/>
          <w:sz w:val="28"/>
          <w:szCs w:val="28"/>
        </w:rPr>
        <w:t xml:space="preserve">Окремо віджет </w:t>
      </w:r>
      <w:r>
        <w:rPr>
          <w:rFonts w:eastAsia="Times New Roman" w:cs="Times New Roman" w:ascii="Times New Roman" w:hAnsi="Times New Roman"/>
          <w:b/>
          <w:bCs/>
          <w:i w:val="false"/>
          <w:sz w:val="28"/>
          <w:szCs w:val="28"/>
        </w:rPr>
        <w:t xml:space="preserve">−  МОНІТОРИНГ ВІТРУ </w:t>
      </w:r>
      <w:r>
        <w:rPr>
          <w:rFonts w:eastAsia="Times New Roman" w:cs="Times New Roman" w:ascii="Times New Roman" w:hAnsi="Times New Roman"/>
          <w:b w:val="false"/>
          <w:bCs w:val="false"/>
          <w:i w:val="false"/>
          <w:sz w:val="28"/>
          <w:szCs w:val="28"/>
        </w:rPr>
        <w:t>(посилання на Windy).</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val="false"/>
          <w:bCs w:val="false"/>
          <w:i w:val="false"/>
          <w:sz w:val="28"/>
          <w:szCs w:val="28"/>
        </w:rPr>
        <w:t xml:space="preserve">На робочій карті, яка розташована в центрі інтерфейсу </w:t>
      </w:r>
      <w:r>
        <w:rPr>
          <w:rFonts w:eastAsia="Times New Roman" w:cs="Times New Roman" w:ascii="Times New Roman" w:hAnsi="Times New Roman"/>
          <w:b w:val="false"/>
          <w:bCs w:val="false"/>
          <w:i w:val="false"/>
          <w:caps w:val="false"/>
          <w:smallCaps w:val="false"/>
          <w:color w:val="000000"/>
          <w:spacing w:val="0"/>
          <w:sz w:val="28"/>
          <w:szCs w:val="28"/>
        </w:rPr>
        <w:t xml:space="preserve">Платформи РХБ захисту, можна наносити радіаційно та хімічно небезпечні об’єкти, зони радіоактивного та хімічного забруднення, а при збереженні карти у форматі png − наносити інші умовні знаки згідно з Методичними рекомендаціями щодо розроблення картографічних документів у сфері цивільного захисту.   </w:t>
      </w:r>
      <w:r>
        <w:rPr>
          <w:rFonts w:eastAsia="Times New Roman" w:cs="Times New Roman" w:ascii="Times New Roman" w:hAnsi="Times New Roman"/>
          <w:b w:val="false"/>
          <w:bCs w:val="false"/>
          <w:i w:val="false"/>
          <w:sz w:val="28"/>
          <w:szCs w:val="28"/>
        </w:rPr>
        <w:t xml:space="preserve"> </w:t>
      </w:r>
    </w:p>
    <w:p>
      <w:pPr>
        <w:pStyle w:val="BodyText"/>
        <w:widowControl/>
        <w:suppressAutoHyphens w:val="true"/>
        <w:bidi w:val="0"/>
        <w:spacing w:lineRule="auto" w:line="240" w:before="0" w:after="0"/>
        <w:ind w:firstLine="567" w:left="0" w:right="0"/>
        <w:jc w:val="both"/>
        <w:rPr>
          <w:rFonts w:ascii="Times New Roman" w:hAnsi="Times New Roman"/>
          <w:b/>
          <w:bCs/>
          <w:sz w:val="28"/>
          <w:szCs w:val="28"/>
        </w:rPr>
      </w:pPr>
      <w:r>
        <w:rPr>
          <w:rFonts w:ascii="Times New Roman" w:hAnsi="Times New Roman"/>
          <w:b/>
          <w:bCs/>
          <w:sz w:val="28"/>
          <w:szCs w:val="28"/>
        </w:rPr>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sz w:val="28"/>
          <w:szCs w:val="28"/>
        </w:rPr>
        <w:t xml:space="preserve">ІНСТРУКЦІЯ  </w:t>
      </w:r>
    </w:p>
    <w:p>
      <w:pPr>
        <w:pStyle w:val="Heading2"/>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sz w:val="28"/>
          <w:szCs w:val="28"/>
        </w:rPr>
        <w:t xml:space="preserve">щодо нанесення обстановки на робочу карту </w:t>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b/>
          <w:bCs/>
          <w:sz w:val="28"/>
          <w:szCs w:val="28"/>
        </w:rPr>
        <w:t>Платформи підтримки заходів реагування на ХБРЯ інциденти</w:t>
      </w:r>
    </w:p>
    <w:p>
      <w:pPr>
        <w:pStyle w:val="BodyText"/>
        <w:widowControl/>
        <w:suppressAutoHyphens w:val="true"/>
        <w:bidi w:val="0"/>
        <w:spacing w:lineRule="auto" w:line="240" w:before="0" w:after="0"/>
        <w:ind w:firstLine="567" w:left="0" w:right="0"/>
        <w:jc w:val="center"/>
        <w:rPr>
          <w:rFonts w:ascii="Times New Roman" w:hAnsi="Times New Roman"/>
          <w:sz w:val="28"/>
          <w:szCs w:val="28"/>
        </w:rPr>
      </w:pPr>
      <w:r>
        <w:rPr>
          <w:rFonts w:ascii="Times New Roman" w:hAnsi="Times New Roman"/>
          <w:sz w:val="28"/>
          <w:szCs w:val="28"/>
        </w:rPr>
      </w:r>
    </w:p>
    <w:p>
      <w:pPr>
        <w:pStyle w:val="Heading3"/>
        <w:spacing w:lineRule="auto" w:line="240" w:before="0" w:after="0"/>
        <w:jc w:val="both"/>
        <w:rPr>
          <w:rFonts w:ascii="Times New Roman" w:hAnsi="Times New Roman"/>
          <w:sz w:val="28"/>
          <w:szCs w:val="28"/>
        </w:rPr>
      </w:pPr>
      <w:r>
        <w:rPr>
          <w:rFonts w:ascii="Times New Roman" w:hAnsi="Times New Roman"/>
          <w:sz w:val="28"/>
          <w:szCs w:val="28"/>
        </w:rPr>
        <w:t>1. Нанесення умовних знаків та тексту</w:t>
      </w:r>
    </w:p>
    <w:p>
      <w:pPr>
        <w:pStyle w:val="BodyText"/>
        <w:numPr>
          <w:ilvl w:val="0"/>
          <w:numId w:val="1"/>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b/>
          <w:sz w:val="28"/>
          <w:szCs w:val="28"/>
        </w:rPr>
        <w:t>Умовні знаки:</w:t>
      </w:r>
      <w:r>
        <w:rPr>
          <w:rFonts w:ascii="Times New Roman" w:hAnsi="Times New Roman"/>
          <w:sz w:val="28"/>
          <w:szCs w:val="28"/>
        </w:rPr>
        <w:t xml:space="preserve"> На панелі управління знаками ( </w:t>
      </w:r>
      <w:r>
        <w:rPr>
          <w:rFonts w:ascii="Times New Roman" w:hAnsi="Times New Roman"/>
          <w:sz w:val="28"/>
          <w:szCs w:val="28"/>
        </w:rPr>
        <w:t>під картою</w:t>
      </w:r>
      <w:r>
        <w:rPr>
          <w:rFonts w:ascii="Times New Roman" w:hAnsi="Times New Roman"/>
          <w:sz w:val="28"/>
          <w:szCs w:val="28"/>
        </w:rPr>
        <w:t xml:space="preserve">) натисність кнопку </w:t>
      </w:r>
      <w:r>
        <w:rPr>
          <w:rFonts w:ascii="Times New Roman" w:hAnsi="Times New Roman"/>
          <w:b/>
          <w:bCs/>
          <w:sz w:val="28"/>
          <w:szCs w:val="28"/>
        </w:rPr>
        <w:t>«Оберіть знак»</w:t>
      </w:r>
      <w:r>
        <w:rPr>
          <w:rFonts w:ascii="Times New Roman" w:hAnsi="Times New Roman"/>
          <w:b w:val="false"/>
          <w:bCs w:val="false"/>
          <w:sz w:val="28"/>
          <w:szCs w:val="28"/>
        </w:rPr>
        <w:t>,</w:t>
      </w:r>
      <w:r>
        <w:rPr>
          <w:rFonts w:ascii="Times New Roman" w:hAnsi="Times New Roman"/>
          <w:sz w:val="28"/>
          <w:szCs w:val="28"/>
        </w:rPr>
        <w:t xml:space="preserve"> виберіть умовний знак з випадаючого списку та клікніть на карті точку для його нанесення.</w:t>
      </w:r>
    </w:p>
    <w:p>
      <w:pPr>
        <w:pStyle w:val="BodyText"/>
        <w:numPr>
          <w:ilvl w:val="0"/>
          <w:numId w:val="1"/>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b/>
          <w:sz w:val="28"/>
          <w:szCs w:val="28"/>
        </w:rPr>
        <w:t>Текстові підписи:</w:t>
      </w:r>
      <w:r>
        <w:rPr>
          <w:rFonts w:ascii="Times New Roman" w:hAnsi="Times New Roman"/>
          <w:sz w:val="28"/>
          <w:szCs w:val="28"/>
        </w:rPr>
        <w:t xml:space="preserve"> На панелі управління знаками натисніть кнопку </w:t>
      </w:r>
      <w:r>
        <w:rPr>
          <w:rFonts w:ascii="Times New Roman" w:hAnsi="Times New Roman"/>
          <w:b/>
          <w:sz w:val="28"/>
          <w:szCs w:val="28"/>
        </w:rPr>
        <w:t>«Текст»</w:t>
      </w:r>
      <w:r>
        <w:rPr>
          <w:rFonts w:ascii="Times New Roman" w:hAnsi="Times New Roman"/>
          <w:sz w:val="28"/>
          <w:szCs w:val="28"/>
        </w:rPr>
        <w:t>, клікніть на карті точку, введіть текст у діалоговому вікні та нажміть ОК.</w:t>
      </w:r>
    </w:p>
    <w:p>
      <w:pPr>
        <w:pStyle w:val="BodyText"/>
        <w:numPr>
          <w:ilvl w:val="0"/>
          <w:numId w:val="1"/>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b/>
          <w:sz w:val="28"/>
          <w:szCs w:val="28"/>
        </w:rPr>
        <w:t>Видалення умовного знаку/тексту:</w:t>
      </w:r>
      <w:r>
        <w:rPr>
          <w:rFonts w:ascii="Times New Roman" w:hAnsi="Times New Roman"/>
          <w:sz w:val="28"/>
          <w:szCs w:val="28"/>
        </w:rPr>
        <w:t xml:space="preserve"> на карті клікніть по нанесеному знаку або тексту для його видалення.</w:t>
      </w:r>
    </w:p>
    <w:p>
      <w:pPr>
        <w:pStyle w:val="BodyText"/>
        <w:numPr>
          <w:ilvl w:val="0"/>
          <w:numId w:val="1"/>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b/>
          <w:sz w:val="28"/>
          <w:szCs w:val="28"/>
        </w:rPr>
        <w:t>Коло, прямокутник:</w:t>
      </w:r>
      <w:r>
        <w:rPr>
          <w:rFonts w:ascii="Times New Roman" w:hAnsi="Times New Roman"/>
          <w:sz w:val="28"/>
          <w:szCs w:val="28"/>
        </w:rPr>
        <w:t xml:space="preserve"> На панелі Leaflet (на карті вгорі ліворуч) виберіть:</w:t>
      </w:r>
    </w:p>
    <w:p>
      <w:pPr>
        <w:pStyle w:val="BodyText"/>
        <w:numPr>
          <w:ilvl w:val="0"/>
          <w:numId w:val="0"/>
        </w:numPr>
        <w:spacing w:lineRule="auto" w:line="240" w:before="0" w:after="0"/>
        <w:ind w:hanging="0" w:lef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bCs/>
          <w:sz w:val="28"/>
          <w:szCs w:val="28"/>
        </w:rPr>
        <w:t>коло</w:t>
      </w:r>
      <w:r>
        <w:rPr>
          <w:rFonts w:ascii="Times New Roman" w:hAnsi="Times New Roman"/>
          <w:sz w:val="28"/>
          <w:szCs w:val="28"/>
        </w:rPr>
        <w:t xml:space="preserve">  - на карті клікніть центр кола та розтягніть коло з нажатою лівою клавішею мишки до необхідного розміру;</w:t>
      </w:r>
    </w:p>
    <w:p>
      <w:pPr>
        <w:pStyle w:val="BodyText"/>
        <w:numPr>
          <w:ilvl w:val="0"/>
          <w:numId w:val="0"/>
        </w:numPr>
        <w:spacing w:lineRule="auto" w:line="240" w:before="0" w:after="0"/>
        <w:ind w:hanging="0" w:left="0"/>
        <w:jc w:val="both"/>
        <w:rPr>
          <w:rFonts w:ascii="Times New Roman" w:hAnsi="Times New Roman"/>
          <w:sz w:val="28"/>
          <w:szCs w:val="28"/>
        </w:rPr>
      </w:pPr>
      <w:r>
        <w:rPr>
          <w:rFonts w:ascii="Times New Roman" w:hAnsi="Times New Roman"/>
          <w:b/>
          <w:bCs/>
          <w:sz w:val="28"/>
          <w:szCs w:val="28"/>
        </w:rPr>
        <w:t>прямокутник</w:t>
      </w:r>
      <w:r>
        <w:rPr>
          <w:rFonts w:ascii="Times New Roman" w:hAnsi="Times New Roman"/>
          <w:sz w:val="28"/>
          <w:szCs w:val="28"/>
        </w:rPr>
        <w:t xml:space="preserve"> - на карті клікніть точку кута прямокутника та розтягніть прямокутник з нажатою лівою клавішею мишки до необхідного розміру; </w:t>
      </w:r>
    </w:p>
    <w:p>
      <w:pPr>
        <w:pStyle w:val="BodyText"/>
        <w:numPr>
          <w:ilvl w:val="0"/>
          <w:numId w:val="0"/>
        </w:numPr>
        <w:spacing w:lineRule="auto" w:line="240" w:before="0" w:after="0"/>
        <w:ind w:hanging="0" w:left="0"/>
        <w:jc w:val="both"/>
        <w:rPr>
          <w:rFonts w:ascii="Times New Roman" w:hAnsi="Times New Roman"/>
          <w:sz w:val="28"/>
          <w:szCs w:val="28"/>
        </w:rPr>
      </w:pPr>
      <w:r>
        <w:rPr>
          <w:rFonts w:ascii="Times New Roman" w:hAnsi="Times New Roman"/>
          <w:b/>
          <w:bCs/>
          <w:sz w:val="28"/>
          <w:szCs w:val="28"/>
        </w:rPr>
        <w:t>багатокутник</w:t>
      </w:r>
      <w:r>
        <w:rPr>
          <w:rFonts w:ascii="Times New Roman" w:hAnsi="Times New Roman"/>
          <w:sz w:val="28"/>
          <w:szCs w:val="28"/>
        </w:rPr>
        <w:t xml:space="preserve"> - на карті клікніть послідовно точки багатокутника, при цьому остання точка кліку збігається з першою точкою.</w:t>
      </w:r>
    </w:p>
    <w:p>
      <w:pPr>
        <w:pStyle w:val="BodyText"/>
        <w:numPr>
          <w:ilvl w:val="0"/>
          <w:numId w:val="0"/>
        </w:numPr>
        <w:spacing w:lineRule="auto" w:line="240" w:before="0" w:after="0"/>
        <w:ind w:hanging="0" w:left="0"/>
        <w:rPr>
          <w:rFonts w:ascii="Times New Roman" w:hAnsi="Times New Roman"/>
          <w:sz w:val="28"/>
          <w:szCs w:val="28"/>
        </w:rPr>
      </w:pPr>
      <w:r>
        <w:rPr>
          <w:rFonts w:ascii="Times New Roman" w:hAnsi="Times New Roman"/>
          <w:sz w:val="28"/>
          <w:szCs w:val="28"/>
        </w:rPr>
      </w:r>
    </w:p>
    <w:p>
      <w:pPr>
        <w:pStyle w:val="BodyText"/>
        <w:spacing w:lineRule="auto" w:line="240" w:before="0" w:after="0"/>
        <w:jc w:val="both"/>
        <w:rPr>
          <w:rFonts w:ascii="Times New Roman" w:hAnsi="Times New Roman"/>
          <w:sz w:val="28"/>
          <w:szCs w:val="28"/>
        </w:rPr>
      </w:pPr>
      <w:r>
        <w:rPr>
          <w:rFonts w:ascii="Times New Roman" w:hAnsi="Times New Roman"/>
          <w:b/>
          <w:bCs/>
          <w:sz w:val="28"/>
          <w:szCs w:val="28"/>
        </w:rPr>
        <w:t>2. Нанесення зон хімічного забруднення за міжнародними рівнями токсичного впливу (A</w:t>
      </w:r>
      <w:r>
        <w:rPr>
          <w:rFonts w:ascii="Times New Roman" w:hAnsi="Times New Roman"/>
          <w:b/>
          <w:sz w:val="28"/>
          <w:szCs w:val="28"/>
        </w:rPr>
        <w:t xml:space="preserve">EGL-1, AEGL-2, AEGL-3)  </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 xml:space="preserve">1. Перед початком нанесення </w:t>
      </w:r>
      <w:r>
        <w:rPr>
          <w:rFonts w:ascii="Times New Roman" w:hAnsi="Times New Roman"/>
          <w:b w:val="false"/>
          <w:bCs w:val="false"/>
          <w:sz w:val="28"/>
          <w:szCs w:val="28"/>
        </w:rPr>
        <w:t>зон хімічного забруднення за міжнародними рівнями токсичного впливу (AEGL-1, AEGL-2, AEGL-3)</w:t>
      </w:r>
      <w:r>
        <w:rPr>
          <w:rFonts w:ascii="Times New Roman" w:hAnsi="Times New Roman"/>
          <w:b/>
          <w:bCs w:val="false"/>
          <w:sz w:val="28"/>
          <w:szCs w:val="28"/>
        </w:rPr>
        <w:t xml:space="preserve"> </w:t>
      </w:r>
      <w:r>
        <w:rPr>
          <w:rFonts w:ascii="Times New Roman" w:hAnsi="Times New Roman"/>
          <w:sz w:val="28"/>
          <w:szCs w:val="28"/>
        </w:rPr>
        <w:t xml:space="preserve">на панелі управління знаками введіть у поле </w:t>
      </w:r>
      <w:r>
        <w:rPr>
          <w:rFonts w:ascii="Times New Roman" w:hAnsi="Times New Roman"/>
          <w:b/>
          <w:sz w:val="28"/>
          <w:szCs w:val="28"/>
        </w:rPr>
        <w:t>«Напрямок вітру»</w:t>
      </w:r>
      <w:r>
        <w:rPr>
          <w:rFonts w:ascii="Times New Roman" w:hAnsi="Times New Roman"/>
          <w:sz w:val="28"/>
          <w:szCs w:val="28"/>
        </w:rPr>
        <w:t xml:space="preserve"> значення напрямку вітру в градусах (напрямок  від 0 до 360</w:t>
      </w:r>
      <w:r>
        <w:rPr>
          <w:rFonts w:ascii="Times New Roman" w:hAnsi="Times New Roman"/>
          <w:sz w:val="28"/>
          <w:szCs w:val="28"/>
          <w:vertAlign w:val="superscript"/>
        </w:rPr>
        <w:t xml:space="preserve">0 </w:t>
      </w:r>
      <w:r>
        <w:rPr>
          <w:rFonts w:ascii="Times New Roman" w:hAnsi="Times New Roman"/>
          <w:sz w:val="28"/>
          <w:szCs w:val="28"/>
        </w:rPr>
        <w:t xml:space="preserve">- «звідкіля дує вітер»), а також для інформації  - у полі </w:t>
      </w:r>
      <w:r>
        <w:rPr>
          <w:rFonts w:ascii="Times New Roman" w:hAnsi="Times New Roman"/>
          <w:b/>
          <w:sz w:val="28"/>
          <w:szCs w:val="28"/>
        </w:rPr>
        <w:t>«Швидкість вітру»</w:t>
      </w:r>
      <w:r>
        <w:rPr>
          <w:rFonts w:ascii="Times New Roman" w:hAnsi="Times New Roman"/>
          <w:sz w:val="28"/>
          <w:szCs w:val="28"/>
        </w:rPr>
        <w:t xml:space="preserve"> введіть значення швидкості вітру у </w:t>
      </w:r>
      <w:r>
        <w:rPr>
          <w:rFonts w:ascii="Times New Roman" w:hAnsi="Times New Roman"/>
          <w:b/>
          <w:sz w:val="28"/>
          <w:szCs w:val="28"/>
        </w:rPr>
        <w:t xml:space="preserve">м/с та </w:t>
      </w:r>
      <w:r>
        <w:rPr>
          <w:rFonts w:ascii="Times New Roman" w:hAnsi="Times New Roman"/>
          <w:b w:val="false"/>
          <w:bCs w:val="false"/>
          <w:sz w:val="28"/>
          <w:szCs w:val="28"/>
        </w:rPr>
        <w:t xml:space="preserve">натисність </w:t>
      </w:r>
      <w:r>
        <w:rPr>
          <w:rFonts w:ascii="Times New Roman" w:hAnsi="Times New Roman"/>
          <w:sz w:val="28"/>
          <w:szCs w:val="28"/>
        </w:rPr>
        <w:t xml:space="preserve">кнопку </w:t>
      </w:r>
      <w:r>
        <w:rPr>
          <w:rFonts w:ascii="Times New Roman" w:hAnsi="Times New Roman"/>
          <w:b/>
          <w:sz w:val="28"/>
          <w:szCs w:val="28"/>
        </w:rPr>
        <w:t>«Застосувати метео»</w:t>
      </w:r>
      <w:r>
        <w:rPr>
          <w:rFonts w:ascii="Times New Roman" w:hAnsi="Times New Roman"/>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 xml:space="preserve">2. Натисніть кнопку </w:t>
      </w:r>
      <w:r>
        <w:rPr>
          <w:rFonts w:ascii="Times New Roman" w:hAnsi="Times New Roman"/>
          <w:b/>
          <w:sz w:val="28"/>
          <w:szCs w:val="28"/>
        </w:rPr>
        <w:t>«Еліпс»</w:t>
      </w:r>
      <w:r>
        <w:rPr>
          <w:rFonts w:ascii="Times New Roman" w:hAnsi="Times New Roman"/>
          <w:sz w:val="28"/>
          <w:szCs w:val="28"/>
        </w:rPr>
        <w:t>.</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 xml:space="preserve">3. Клікніть на карті </w:t>
      </w:r>
      <w:r>
        <w:rPr>
          <w:rFonts w:ascii="Times New Roman" w:hAnsi="Times New Roman"/>
          <w:b/>
          <w:bCs/>
          <w:sz w:val="28"/>
          <w:szCs w:val="28"/>
        </w:rPr>
        <w:t>(на комп’ютері — мишкою, в смартфоні — торкніться пальцем)</w:t>
      </w:r>
      <w:r>
        <w:rPr>
          <w:rFonts w:ascii="Times New Roman" w:hAnsi="Times New Roman"/>
          <w:sz w:val="28"/>
          <w:szCs w:val="28"/>
        </w:rPr>
        <w:t xml:space="preserve"> у</w:t>
      </w:r>
      <w:r>
        <w:rPr>
          <w:rFonts w:ascii="Times New Roman" w:hAnsi="Times New Roman"/>
          <w:sz w:val="28"/>
          <w:szCs w:val="28"/>
        </w:rPr>
        <w:t xml:space="preserve"> точці хімічної аварії (застосування хімічної зброї).</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ascii="Times New Roman" w:hAnsi="Times New Roman"/>
          <w:sz w:val="28"/>
          <w:szCs w:val="28"/>
        </w:rPr>
        <w:t>4. В діалогових вікнах послідовно введіть:</w:t>
      </w:r>
    </w:p>
    <w:p>
      <w:pPr>
        <w:pStyle w:val="BodyText"/>
        <w:numPr>
          <w:ilvl w:val="1"/>
          <w:numId w:val="2"/>
        </w:numPr>
        <w:tabs>
          <w:tab w:val="clear" w:pos="709"/>
          <w:tab w:val="left" w:pos="0" w:leader="none"/>
        </w:tabs>
        <w:spacing w:lineRule="auto" w:line="240" w:before="0" w:after="0"/>
        <w:ind w:hanging="283" w:left="1418"/>
        <w:jc w:val="both"/>
        <w:rPr>
          <w:rFonts w:ascii="Times New Roman" w:hAnsi="Times New Roman"/>
          <w:sz w:val="28"/>
          <w:szCs w:val="28"/>
        </w:rPr>
      </w:pPr>
      <w:r>
        <w:rPr>
          <w:rFonts w:ascii="Times New Roman" w:hAnsi="Times New Roman"/>
          <w:sz w:val="28"/>
          <w:szCs w:val="28"/>
        </w:rPr>
        <w:t>максимальну довжину хмари (за вітром) у метрах.</w:t>
      </w:r>
    </w:p>
    <w:p>
      <w:pPr>
        <w:pStyle w:val="BodyText"/>
        <w:numPr>
          <w:ilvl w:val="1"/>
          <w:numId w:val="2"/>
        </w:numPr>
        <w:tabs>
          <w:tab w:val="clear" w:pos="709"/>
          <w:tab w:val="left" w:pos="0" w:leader="none"/>
        </w:tabs>
        <w:spacing w:lineRule="auto" w:line="240" w:before="0" w:after="0"/>
        <w:ind w:hanging="283" w:left="1418"/>
        <w:jc w:val="both"/>
        <w:rPr>
          <w:rFonts w:ascii="Times New Roman" w:hAnsi="Times New Roman"/>
          <w:sz w:val="28"/>
          <w:szCs w:val="28"/>
        </w:rPr>
      </w:pPr>
      <w:r>
        <w:rPr>
          <w:rFonts w:ascii="Times New Roman" w:hAnsi="Times New Roman"/>
          <w:sz w:val="28"/>
          <w:szCs w:val="28"/>
        </w:rPr>
        <w:t>максимальну ширину хмари (бокове поширення) у метрах.</w:t>
      </w:r>
    </w:p>
    <w:p>
      <w:pPr>
        <w:pStyle w:val="BodyText"/>
        <w:numPr>
          <w:ilvl w:val="0"/>
          <w:numId w:val="0"/>
        </w:numPr>
        <w:spacing w:lineRule="auto" w:line="240" w:before="0" w:after="0"/>
        <w:ind w:hanging="0" w:left="0"/>
        <w:jc w:val="both"/>
        <w:rPr>
          <w:rFonts w:ascii="Times New Roman" w:hAnsi="Times New Roman"/>
          <w:sz w:val="28"/>
          <w:szCs w:val="28"/>
        </w:rPr>
      </w:pPr>
      <w:r>
        <w:rPr>
          <w:rFonts w:ascii="Times New Roman" w:hAnsi="Times New Roman"/>
          <w:sz w:val="28"/>
          <w:szCs w:val="28"/>
        </w:rPr>
        <w:t>Система автоматично побудує трирівневий каскад зон:</w:t>
      </w:r>
    </w:p>
    <w:p>
      <w:pPr>
        <w:pStyle w:val="BodyText"/>
        <w:numPr>
          <w:ilvl w:val="1"/>
          <w:numId w:val="2"/>
        </w:numPr>
        <w:tabs>
          <w:tab w:val="clear" w:pos="709"/>
          <w:tab w:val="left" w:pos="0" w:leader="none"/>
        </w:tabs>
        <w:spacing w:lineRule="auto" w:line="240" w:before="0" w:after="0"/>
        <w:ind w:hanging="283" w:left="1418"/>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AEGL-1 (жовта, 100% розміру):</w:t>
      </w:r>
      <w:r>
        <w:rPr>
          <w:rFonts w:ascii="Times New Roman" w:hAnsi="Times New Roman"/>
          <w:sz w:val="28"/>
          <w:szCs w:val="28"/>
        </w:rPr>
        <w:t xml:space="preserve"> зона початкового/низького впливу.</w:t>
      </w:r>
    </w:p>
    <w:p>
      <w:pPr>
        <w:pStyle w:val="BodyText"/>
        <w:numPr>
          <w:ilvl w:val="1"/>
          <w:numId w:val="2"/>
        </w:numPr>
        <w:tabs>
          <w:tab w:val="clear" w:pos="709"/>
          <w:tab w:val="left" w:pos="0" w:leader="none"/>
        </w:tabs>
        <w:spacing w:lineRule="auto" w:line="240" w:before="0" w:after="0"/>
        <w:ind w:hanging="283" w:left="1418"/>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AEGL-2 (помаранчева, 60% розміру):</w:t>
      </w:r>
      <w:r>
        <w:rPr>
          <w:rFonts w:ascii="Times New Roman" w:hAnsi="Times New Roman"/>
          <w:sz w:val="28"/>
          <w:szCs w:val="28"/>
        </w:rPr>
        <w:t xml:space="preserve"> зона середньої небезпеки (ризик для здоров'я).</w:t>
      </w:r>
    </w:p>
    <w:p>
      <w:pPr>
        <w:pStyle w:val="BodyText"/>
        <w:widowControl/>
        <w:numPr>
          <w:ilvl w:val="0"/>
          <w:numId w:val="3"/>
        </w:numPr>
        <w:suppressAutoHyphens w:val="true"/>
        <w:bidi w:val="0"/>
        <w:spacing w:lineRule="auto" w:line="240" w:before="0" w:after="0"/>
        <w:ind w:hanging="340" w:left="1417" w:right="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AEGL-3 (Червона, 30% розміру):</w:t>
      </w:r>
      <w:r>
        <w:rPr>
          <w:rFonts w:ascii="Times New Roman" w:hAnsi="Times New Roman"/>
          <w:sz w:val="28"/>
          <w:szCs w:val="28"/>
        </w:rPr>
        <w:t xml:space="preserve"> зона смертельної небезпеки).</w:t>
      </w:r>
    </w:p>
    <w:p>
      <w:pPr>
        <w:pStyle w:val="Style19"/>
        <w:widowControl/>
        <w:suppressAutoHyphens w:val="true"/>
        <w:bidi w:val="0"/>
        <w:spacing w:lineRule="auto" w:line="240" w:before="0" w:after="0"/>
        <w:ind w:hanging="0" w:left="567" w:right="0"/>
        <w:jc w:val="both"/>
        <w:rPr>
          <w:rFonts w:ascii="Times New Roman" w:hAnsi="Times New Roman"/>
          <w:sz w:val="28"/>
          <w:szCs w:val="28"/>
        </w:rPr>
      </w:pPr>
      <w:r>
        <w:rPr>
          <w:rFonts w:ascii="Times New Roman" w:hAnsi="Times New Roman"/>
          <w:b/>
          <w:bCs/>
          <w:sz w:val="28"/>
          <w:szCs w:val="28"/>
        </w:rPr>
        <w:t>Вид</w:t>
      </w:r>
      <w:r>
        <w:rPr>
          <w:rFonts w:ascii="Times New Roman" w:hAnsi="Times New Roman"/>
          <w:b/>
          <w:sz w:val="28"/>
          <w:szCs w:val="28"/>
        </w:rPr>
        <w:t>алення зони хімічного забруднення:</w:t>
      </w:r>
      <w:r>
        <w:rPr>
          <w:rFonts w:ascii="Times New Roman" w:hAnsi="Times New Roman"/>
          <w:sz w:val="28"/>
          <w:szCs w:val="28"/>
        </w:rPr>
        <w:t xml:space="preserve"> Якщо необхідно видалити зону хімічного забруднення  - клікніть по центру еліпсу на карті </w:t>
      </w:r>
      <w:r>
        <w:rPr>
          <w:rFonts w:ascii="Times New Roman" w:hAnsi="Times New Roman"/>
          <w:b/>
          <w:bCs/>
          <w:sz w:val="28"/>
          <w:szCs w:val="28"/>
        </w:rPr>
        <w:t xml:space="preserve">(на комп’ютері — мишкою, в смартфоні — торкніться пальцем) </w:t>
      </w:r>
      <w:r>
        <w:rPr>
          <w:rFonts w:ascii="Times New Roman" w:hAnsi="Times New Roman"/>
          <w:sz w:val="28"/>
          <w:szCs w:val="28"/>
        </w:rPr>
        <w:t xml:space="preserve">та підтвердіть видалення. </w:t>
      </w:r>
    </w:p>
    <w:p>
      <w:pPr>
        <w:pStyle w:val="BodyText"/>
        <w:spacing w:lineRule="auto" w:line="240" w:before="0" w:after="0"/>
        <w:jc w:val="both"/>
        <w:rPr>
          <w:rFonts w:ascii="Times New Roman" w:hAnsi="Times New Roman"/>
          <w:sz w:val="28"/>
          <w:szCs w:val="28"/>
        </w:rPr>
      </w:pPr>
      <w:r>
        <w:rPr>
          <w:rFonts w:ascii="Times New Roman" w:hAnsi="Times New Roman"/>
          <w:sz w:val="28"/>
          <w:szCs w:val="28"/>
        </w:rPr>
      </w:r>
    </w:p>
    <w:p>
      <w:pPr>
        <w:pStyle w:val="Heading3"/>
        <w:spacing w:lineRule="auto" w:line="240" w:before="0" w:after="0"/>
        <w:jc w:val="both"/>
        <w:rPr>
          <w:rFonts w:ascii="Times New Roman" w:hAnsi="Times New Roman"/>
          <w:sz w:val="28"/>
          <w:szCs w:val="28"/>
        </w:rPr>
      </w:pPr>
      <w:r>
        <w:rPr>
          <w:rFonts w:ascii="Times New Roman" w:hAnsi="Times New Roman"/>
          <w:sz w:val="28"/>
          <w:szCs w:val="28"/>
        </w:rPr>
        <w:t>3. Вимірювання відстаней (лінійка)</w:t>
      </w:r>
    </w:p>
    <w:p>
      <w:pPr>
        <w:pStyle w:val="BodyText"/>
        <w:numPr>
          <w:ilvl w:val="0"/>
          <w:numId w:val="4"/>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sz w:val="28"/>
          <w:szCs w:val="28"/>
        </w:rPr>
        <w:t xml:space="preserve">На панелі Leaflet (на карті вгорі ліворуч) виберіть </w:t>
      </w:r>
      <w:r>
        <w:rPr>
          <w:rFonts w:ascii="Times New Roman" w:hAnsi="Times New Roman"/>
          <w:b/>
          <w:sz w:val="28"/>
          <w:szCs w:val="28"/>
        </w:rPr>
        <w:t>«Малювання лінії»</w:t>
      </w:r>
      <w:r>
        <w:rPr>
          <w:rFonts w:ascii="Times New Roman" w:hAnsi="Times New Roman"/>
          <w:sz w:val="28"/>
          <w:szCs w:val="28"/>
        </w:rPr>
        <w:t xml:space="preserve"> (лінія з точками).</w:t>
      </w:r>
    </w:p>
    <w:p>
      <w:pPr>
        <w:pStyle w:val="BodyText"/>
        <w:numPr>
          <w:ilvl w:val="0"/>
          <w:numId w:val="4"/>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sz w:val="28"/>
          <w:szCs w:val="28"/>
        </w:rPr>
        <w:t>Послідовно клікайте по карті (наприклад, від епіцентру хмари до населеного пункту), відстань автоматично відображатиметься в метрах або кілометрах.</w:t>
      </w:r>
    </w:p>
    <w:p>
      <w:pPr>
        <w:pStyle w:val="BodyText"/>
        <w:numPr>
          <w:ilvl w:val="0"/>
          <w:numId w:val="4"/>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sz w:val="28"/>
          <w:szCs w:val="28"/>
        </w:rPr>
        <w:t>Для завершення вимірювання двічі клікніть на останній точці.</w:t>
      </w:r>
    </w:p>
    <w:p>
      <w:pPr>
        <w:pStyle w:val="BodyText"/>
        <w:numPr>
          <w:ilvl w:val="0"/>
          <w:numId w:val="4"/>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sz w:val="28"/>
          <w:szCs w:val="28"/>
        </w:rPr>
        <w:t xml:space="preserve">Для видалення лінійки натисніть іконку </w:t>
      </w:r>
      <w:r>
        <w:rPr>
          <w:rFonts w:ascii="Times New Roman" w:hAnsi="Times New Roman"/>
          <w:b/>
          <w:sz w:val="28"/>
          <w:szCs w:val="28"/>
        </w:rPr>
        <w:t>Смітника</w:t>
      </w:r>
      <w:r>
        <w:rPr>
          <w:rFonts w:ascii="Times New Roman" w:hAnsi="Times New Roman"/>
          <w:sz w:val="28"/>
          <w:szCs w:val="28"/>
        </w:rPr>
        <w:t xml:space="preserve"> у лівій панелі та клікніть по лінії.</w:t>
      </w:r>
    </w:p>
    <w:p>
      <w:pPr>
        <w:pStyle w:val="Heading3"/>
        <w:spacing w:lineRule="auto" w:line="240" w:before="0" w:after="0"/>
        <w:jc w:val="both"/>
        <w:rPr>
          <w:rFonts w:ascii="Times New Roman" w:hAnsi="Times New Roman"/>
          <w:sz w:val="28"/>
          <w:szCs w:val="28"/>
        </w:rPr>
      </w:pPr>
      <w:r>
        <w:rPr>
          <w:rFonts w:ascii="Times New Roman" w:hAnsi="Times New Roman"/>
          <w:sz w:val="28"/>
          <w:szCs w:val="28"/>
        </w:rPr>
        <w:t>4. Очищення та експорт</w:t>
      </w:r>
    </w:p>
    <w:p>
      <w:pPr>
        <w:pStyle w:val="BodyText"/>
        <w:numPr>
          <w:ilvl w:val="0"/>
          <w:numId w:val="5"/>
        </w:numPr>
        <w:tabs>
          <w:tab w:val="clear" w:pos="709"/>
          <w:tab w:val="left" w:pos="0" w:leader="none"/>
        </w:tabs>
        <w:spacing w:lineRule="auto" w:line="240" w:before="0" w:after="0"/>
        <w:ind w:hanging="283" w:left="709"/>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PNG / 🖨 PDF:</w:t>
      </w:r>
      <w:r>
        <w:rPr>
          <w:rFonts w:ascii="Times New Roman" w:hAnsi="Times New Roman"/>
          <w:sz w:val="28"/>
          <w:szCs w:val="28"/>
        </w:rPr>
        <w:t xml:space="preserve"> Кнопки внизу правої панелі дозволяють миттєво зберегти знімок поточної карти або роздрукувати її.</w:t>
      </w:r>
    </w:p>
    <w:p>
      <w:pPr>
        <w:pStyle w:val="BodyText"/>
        <w:widowControl/>
        <w:suppressAutoHyphens w:val="true"/>
        <w:bidi w:val="0"/>
        <w:spacing w:lineRule="auto" w:line="240" w:before="0" w:after="0"/>
        <w:ind w:firstLine="567" w:left="0" w:right="0"/>
        <w:jc w:val="both"/>
        <w:rPr>
          <w:rFonts w:ascii="Times New Roman" w:hAnsi="Times New Roman"/>
          <w:sz w:val="28"/>
          <w:szCs w:val="28"/>
        </w:rPr>
      </w:pPr>
      <w:r>
        <w:rPr>
          <w:rFonts w:eastAsia="Times New Roman" w:cs="Times New Roman" w:ascii="Times New Roman" w:hAnsi="Times New Roman"/>
          <w:b/>
          <w:bCs w:val="false"/>
          <w:i w:val="false"/>
          <w:sz w:val="28"/>
          <w:szCs w:val="28"/>
        </w:rPr>
        <w:t>Кнопка «Очистити»</w:t>
      </w:r>
      <w:r>
        <w:rPr>
          <w:rFonts w:eastAsia="Times New Roman" w:cs="Times New Roman" w:ascii="Times New Roman" w:hAnsi="Times New Roman"/>
          <w:b w:val="false"/>
          <w:bCs w:val="false"/>
          <w:i w:val="false"/>
          <w:sz w:val="28"/>
          <w:szCs w:val="28"/>
        </w:rPr>
        <w:t xml:space="preserve"> повністю видаляє всю обстановку та перезавантажує карту до чистого стану.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ru-RU" w:eastAsia="zh-CN" w:bidi="hi-IN"/>
    </w:rPr>
  </w:style>
  <w:style w:type="paragraph" w:styleId="Heading1">
    <w:name w:val="Heading 1"/>
    <w:basedOn w:val="Style13"/>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Style13"/>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Style13"/>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Hyperlink">
    <w:name w:val="Hyperlink"/>
    <w:rPr>
      <w:color w:val="000080"/>
      <w:u w:val="single"/>
    </w:rPr>
  </w:style>
  <w:style w:type="character" w:styleId="Style10">
    <w:name w:val="Маркери"/>
    <w:qFormat/>
    <w:rPr>
      <w:rFonts w:ascii="OpenSymbol" w:hAnsi="OpenSymbol" w:eastAsia="OpenSymbol" w:cs="OpenSymbol"/>
    </w:rPr>
  </w:style>
  <w:style w:type="character" w:styleId="Style11">
    <w:name w:val="Первинний текст"/>
    <w:qFormat/>
    <w:rPr>
      <w:rFonts w:ascii="Liberation Mono" w:hAnsi="Liberation Mono" w:eastAsia="Noto Sans Mono CJK SC" w:cs="Liberation Mono"/>
    </w:rPr>
  </w:style>
  <w:style w:type="character" w:styleId="Style12">
    <w:name w:val="Символ нумерації"/>
    <w:qFormat/>
    <w:rPr/>
  </w:style>
  <w:style w:type="character" w:styleId="DefaultParagraphFont">
    <w:name w:val="Default Paragraph Font"/>
    <w:qFormat/>
    <w:rPr/>
  </w:style>
  <w:style w:type="character" w:styleId="Rvts0">
    <w:name w:val="rvts0"/>
    <w:basedOn w:val="DefaultParagraphFont"/>
    <w:qFormat/>
    <w:rPr>
      <w:rFonts w:cs="Verdana"/>
      <w:color w:val="000000"/>
      <w:sz w:val="28"/>
      <w:szCs w:val="28"/>
      <w:lang w:val="uk-UA" w:bidi="ar-SA"/>
    </w:rPr>
  </w:style>
  <w:style w:type="paragraph" w:styleId="Style13">
    <w:name w:val="Заголовок"/>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4">
    <w:name w:val="Покажчик"/>
    <w:basedOn w:val="Normal"/>
    <w:qFormat/>
    <w:pPr>
      <w:suppressLineNumbers/>
    </w:pPr>
    <w:rPr>
      <w:rFonts w:cs="FreeSans"/>
    </w:rPr>
  </w:style>
  <w:style w:type="paragraph" w:styleId="Style15">
    <w:name w:val="Указатель"/>
    <w:basedOn w:val="Normal"/>
    <w:qFormat/>
    <w:pPr>
      <w:suppressLineNumbers/>
    </w:pPr>
    <w:rPr>
      <w:rFonts w:cs="Lohit Devanagari"/>
    </w:rPr>
  </w:style>
  <w:style w:type="paragraph" w:styleId="Style16">
    <w:name w:val="Вміст таблиці"/>
    <w:basedOn w:val="Normal"/>
    <w:qFormat/>
    <w:pPr>
      <w:widowControl w:val="false"/>
      <w:suppressLineNumbers/>
    </w:pPr>
    <w:rPr/>
  </w:style>
  <w:style w:type="paragraph" w:styleId="Style17">
    <w:name w:val="Заголовок таблиці"/>
    <w:basedOn w:val="Style16"/>
    <w:qFormat/>
    <w:pPr>
      <w:suppressLineNumbers/>
      <w:jc w:val="center"/>
    </w:pPr>
    <w:rPr>
      <w:b/>
      <w:bCs/>
    </w:rPr>
  </w:style>
  <w:style w:type="paragraph" w:styleId="Style18">
    <w:name w:val="Горизонтальна лінія"/>
    <w:basedOn w:val="Normal"/>
    <w:next w:val="BodyText"/>
    <w:qFormat/>
    <w:pPr>
      <w:suppressLineNumbers/>
      <w:pBdr>
        <w:bottom w:val="double" w:sz="2" w:space="0" w:color="808080"/>
      </w:pBdr>
      <w:spacing w:before="0" w:after="283"/>
    </w:pPr>
    <w:rPr>
      <w:sz w:val="12"/>
      <w:szCs w:val="12"/>
    </w:rPr>
  </w:style>
  <w:style w:type="paragraph" w:styleId="Style19">
    <w:name w:val="Цитата у блоці"/>
    <w:basedOn w:val="Normal"/>
    <w:qFormat/>
    <w:pPr>
      <w:spacing w:before="0" w:after="283"/>
      <w:ind w:hanging="0" w:left="567" w:right="567"/>
    </w:pPr>
    <w:rPr/>
  </w:style>
  <w:style w:type="paragraph" w:styleId="Style20">
    <w:name w:val="Вміст рамки"/>
    <w:basedOn w:val="Normal"/>
    <w:qFormat/>
    <w:pPr/>
    <w:rPr/>
  </w:style>
  <w:style w:type="paragraph" w:styleId="Style21">
    <w:name w:val="Текст у вказаному форматі"/>
    <w:basedOn w:val="Normal"/>
    <w:qFormat/>
    <w:pPr>
      <w:spacing w:before="0" w:after="0"/>
    </w:pPr>
    <w:rPr>
      <w:rFonts w:ascii="Liberation Mono" w:hAnsi="Liberation Mono" w:eastAsia="Noto Sans Mono CJK SC" w:cs="Liberation Mono"/>
      <w:sz w:val="20"/>
      <w:szCs w:val="20"/>
    </w:rPr>
  </w:style>
  <w:style w:type="paragraph" w:styleId="3f3f3f3f3f3f3f3f3f3f3f3f3f">
    <w:name w:val="О3fс3fн3fо3fв3fн3fи3fй3f т3fе3fк3fс3fт3f"/>
    <w:basedOn w:val="Normal"/>
    <w:qFormat/>
    <w:pPr>
      <w:tabs>
        <w:tab w:val="left" w:pos="709" w:leader="none"/>
        <w:tab w:val="left" w:pos="851" w:leader="none"/>
        <w:tab w:val="left" w:pos="9639" w:leader="none"/>
      </w:tabs>
      <w:suppressAutoHyphens w:val="true"/>
      <w:spacing w:lineRule="auto" w:line="240" w:before="0" w:after="0"/>
      <w:ind w:hanging="0" w:left="0" w:right="141"/>
      <w:jc w:val="center"/>
    </w:pPr>
    <w:rPr>
      <w:rFonts w:ascii="Times New Roman" w:hAnsi="Times New Roman" w:eastAsia="Times New Roman" w:cs="Times New Roman"/>
      <w:kern w:val="2"/>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614</TotalTime>
  <Application>LibreOffice/7.6.7.2$Linux_X86_64 LibreOffice_project/60$Build-2</Application>
  <AppVersion>15.0000</AppVersion>
  <Pages>4</Pages>
  <Words>970</Words>
  <Characters>6241</Characters>
  <CharactersWithSpaces>7176</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2020-08-12T14:30:51Z</dcterms:created>
  <dc:creator/>
  <dc:description/>
  <dc:language>ru-RU</dc:language>
  <cp:lastModifiedBy/>
  <dcterms:modified xsi:type="dcterms:W3CDTF">2026-06-15T09:55:41Z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