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Erratum &amp; Post-Submission Refinement — ENS001 Team 12</w:t>
      </w:r>
    </w:p>
    <w:p>
      <w:r>
        <w:rPr>
          <w:i/>
        </w:rPr>
        <w:t>Maritime Vehicle Routing (Hybrid Genetic Algorithm + Variable Neighborhood Search)</w:t>
      </w:r>
    </w:p>
    <w:p>
      <w:r>
        <w:t>During the Week-13 Validation and Refinement phase (as scheduled in the project booklet), our team identified and corrected three implementation issues present in the version described in the submitted report. The proposed methodology — a Hybrid GA + VNS — is unchanged; only the implementation was corrected, which makes the reported results genuinely feasible and, as we now prove, globally optimal.</w:t>
      </w:r>
    </w:p>
    <w:p>
      <w:pPr>
        <w:pStyle w:val="Heading1"/>
      </w:pPr>
      <w:r>
        <w:t>What we found</w:t>
      </w:r>
    </w:p>
    <w:p>
      <w:pPr>
        <w:pStyle w:val="ListNumber"/>
      </w:pPr>
      <w:r>
        <w:t>The fitness function masked constraint violations. Penalty costs were summed into the reported objective, so the figure presented as a "feasible optimal solution" (~$6,690,772) was in fact infeasible — about 83% of it was hidden penalty for violated hard constraints.</w:t>
      </w:r>
    </w:p>
    <w:p>
      <w:pPr>
        <w:pStyle w:val="ListNumber"/>
      </w:pPr>
      <w:r>
        <w:t>Mis-interpretation of voyage durations. Columns Gun1/Gun2/Gun3 are cumulative arrival days, not per-leg durations. Total voyage time = Gun3; legs = consecutive differences [Gun1, Gun2-Gun1, Gun3-Gun2], each &lt;= 7 days. The first version summed the three columns, producing impossible schedules (e.g. one vessel accumulating 336 days).</w:t>
      </w:r>
    </w:p>
    <w:p>
      <w:pPr>
        <w:pStyle w:val="ListNumber"/>
      </w:pPr>
      <w:r>
        <w:t>The GA never selected routes. It only reassigned vessels to a fixed, randomly chosen route set; crossover/mutation/VNS changed only the assigned ship. Because the regional, 7-day and 35-day constraints depend on route selection, they could never be satisfied.</w:t>
      </w:r>
    </w:p>
    <w:p>
      <w:pPr>
        <w:pStyle w:val="Heading1"/>
      </w:pPr>
      <w:r>
        <w:t>What we corrected</w:t>
      </w:r>
    </w:p>
    <w:p>
      <w:pPr>
        <w:pStyle w:val="ListBullet"/>
      </w:pPr>
      <w:r>
        <w:t>Chromosome redesign: each gene encodes which voyage serves each (customer, day) demand event — the true decision variable, so the GA really selects routes.</w:t>
      </w:r>
    </w:p>
    <w:p>
      <w:pPr>
        <w:pStyle w:val="ListBullet"/>
      </w:pPr>
      <w:r>
        <w:t>Feasibility by construction: voyages violating the 7-day-leg, regional-exclusivity or 2-stop rules are filtered from the candidate pool; capacity and the 35-day cycle are guaranteed during decoding/repair. Infeasible solutions can no longer be produced.</w:t>
      </w:r>
    </w:p>
    <w:p>
      <w:pPr>
        <w:pStyle w:val="ListBullet"/>
      </w:pPr>
      <w:r>
        <w:t>VNS upgrade: a fast incremental relocate neighborhood + shaking (iterated local search) + multi-start, replacing the earlier ship-swap.</w:t>
      </w:r>
    </w:p>
    <w:p>
      <w:pPr>
        <w:pStyle w:val="ListBullet"/>
      </w:pPr>
      <w:r>
        <w:t>Idle/charter economics: vessels idle &gt;= 5 days are chartered out (revenue); idle &lt; 5 days incur an inefficiency penalty.</w:t>
      </w:r>
    </w:p>
    <w:p>
      <w:pPr>
        <w:pStyle w:val="Heading1"/>
      </w:pPr>
      <w:r>
        <w:t>Corrected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Submitted report</w:t>
            </w:r>
          </w:p>
        </w:tc>
        <w:tc>
          <w:tcPr>
            <w:tcW w:type="dxa" w:w="2880"/>
          </w:tcPr>
          <w:p>
            <w:r>
              <w:t>Corrected (this addendum)</w:t>
            </w:r>
          </w:p>
        </w:tc>
      </w:tr>
      <w:tr>
        <w:tc>
          <w:tcPr>
            <w:tcW w:type="dxa" w:w="2880"/>
          </w:tcPr>
          <w:p>
            <w:r>
              <w:t>Pre-optimization cost</w:t>
            </w:r>
          </w:p>
        </w:tc>
        <w:tc>
          <w:tcPr>
            <w:tcW w:type="dxa" w:w="2880"/>
          </w:tcPr>
          <w:p>
            <w:r>
              <w:t>~$10,500,000</w:t>
            </w:r>
          </w:p>
        </w:tc>
        <w:tc>
          <w:tcPr>
            <w:tcW w:type="dxa" w:w="2880"/>
          </w:tcPr>
          <w:p>
            <w:r>
              <w:t>~$327,700 (avg. random feasible plan)</w:t>
            </w:r>
          </w:p>
        </w:tc>
      </w:tr>
      <w:tr>
        <w:tc>
          <w:tcPr>
            <w:tcW w:type="dxa" w:w="2880"/>
          </w:tcPr>
          <w:p>
            <w:r>
              <w:t>Optimized cost (Z)</w:t>
            </w:r>
          </w:p>
        </w:tc>
        <w:tc>
          <w:tcPr>
            <w:tcW w:type="dxa" w:w="2880"/>
          </w:tcPr>
          <w:p>
            <w:r>
              <w:t>$6,690,772 (infeasible)</w:t>
            </w:r>
          </w:p>
        </w:tc>
        <w:tc>
          <w:tcPr>
            <w:tcW w:type="dxa" w:w="2880"/>
          </w:tcPr>
          <w:p>
            <w:r>
              <w:t>$129,421.62 (0 violations)</w:t>
            </w:r>
          </w:p>
        </w:tc>
      </w:tr>
      <w:tr>
        <w:tc>
          <w:tcPr>
            <w:tcW w:type="dxa" w:w="2880"/>
          </w:tcPr>
          <w:p>
            <w:r>
              <w:t>Constraint violations</w:t>
            </w:r>
          </w:p>
        </w:tc>
        <w:tc>
          <w:tcPr>
            <w:tcW w:type="dxa" w:w="2880"/>
          </w:tcPr>
          <w:p>
            <w:r>
              <w:t>hidden / present</w:t>
            </w:r>
          </w:p>
        </w:tc>
        <w:tc>
          <w:tcPr>
            <w:tcW w:type="dxa" w:w="2880"/>
          </w:tcPr>
          <w:p>
            <w:r>
              <w:t>0 (independently validated)</w:t>
            </w:r>
          </w:p>
        </w:tc>
      </w:tr>
      <w:tr>
        <w:tc>
          <w:tcPr>
            <w:tcW w:type="dxa" w:w="2880"/>
          </w:tcPr>
          <w:p>
            <w:r>
              <w:t>Optimality</w:t>
            </w:r>
          </w:p>
        </w:tc>
        <w:tc>
          <w:tcPr>
            <w:tcW w:type="dxa" w:w="2880"/>
          </w:tcPr>
          <w:p>
            <w:r>
              <w:t>claimed</w:t>
            </w:r>
          </w:p>
        </w:tc>
        <w:tc>
          <w:tcPr>
            <w:tcW w:type="dxa" w:w="2880"/>
          </w:tcPr>
          <w:p>
            <w:r>
              <w:t>Proven — matches exact MILP (gap 0.00%)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~2.5 s (Hybrid GA+VNS)</w:t>
            </w:r>
          </w:p>
        </w:tc>
      </w:tr>
    </w:tbl>
    <w:p/>
    <w:p>
      <w:r>
        <w:t>The corrected solution is verified two ways: an independent constraint validator reports 0 violations, and an exact MILP (PuLP/CBC) proves $129,421.62 is the global optimum — which our GA+VNS reaches in ~2.5 seconds. Reproduce with: run_optimization.py (benchmark + validation) and analysis.py (updated convergence figure).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