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74D" w:rsidRPr="0026574D" w:rsidRDefault="0026574D" w:rsidP="0026574D">
      <w:pPr>
        <w:shd w:val="clear" w:color="auto" w:fill="EEEEEE"/>
        <w:spacing w:before="390" w:after="195" w:line="240" w:lineRule="auto"/>
        <w:rPr>
          <w:rFonts w:ascii="Arial" w:eastAsia="Times New Roman" w:hAnsi="Arial" w:cs="Arial"/>
          <w:b/>
          <w:bCs/>
          <w:color w:val="444444"/>
          <w:sz w:val="27"/>
          <w:szCs w:val="27"/>
          <w:lang w:val="en" w:eastAsia="tr-TR"/>
        </w:rPr>
      </w:pPr>
      <w:r w:rsidRPr="0026574D">
        <w:rPr>
          <w:rFonts w:ascii="Arial" w:eastAsia="Times New Roman" w:hAnsi="Arial" w:cs="Arial"/>
          <w:b/>
          <w:bCs/>
          <w:color w:val="444444"/>
          <w:sz w:val="27"/>
          <w:szCs w:val="27"/>
          <w:lang w:val="en" w:eastAsia="tr-TR"/>
        </w:rPr>
        <w:t xml:space="preserve">SUMMARY OF: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hyperlink r:id="rId5" w:history="1">
        <w:r w:rsidRPr="0026574D">
          <w:rPr>
            <w:rFonts w:ascii="Arial" w:eastAsia="Times New Roman" w:hAnsi="Arial" w:cs="Arial"/>
            <w:color w:val="0000FF"/>
            <w:sz w:val="27"/>
            <w:szCs w:val="27"/>
            <w:u w:val="single"/>
            <w:lang w:val="en" w:eastAsia="tr-TR"/>
          </w:rPr>
          <w:t>Directive (EU) 2015/2366 on EU-wide payment services</w:t>
        </w:r>
      </w:hyperlink>
      <w:r w:rsidRPr="0026574D">
        <w:rPr>
          <w:rFonts w:ascii="Arial" w:eastAsia="Times New Roman" w:hAnsi="Arial" w:cs="Arial"/>
          <w:color w:val="444444"/>
          <w:sz w:val="27"/>
          <w:szCs w:val="27"/>
          <w:lang w:val="en" w:eastAsia="tr-TR"/>
        </w:rPr>
        <w:t xml:space="preserve"> </w:t>
      </w:r>
    </w:p>
    <w:p w:rsidR="0026574D" w:rsidRPr="0026574D" w:rsidRDefault="0026574D" w:rsidP="0026574D">
      <w:pPr>
        <w:shd w:val="clear" w:color="auto" w:fill="EEEEEE"/>
        <w:spacing w:before="390" w:after="195" w:line="240" w:lineRule="auto"/>
        <w:rPr>
          <w:rFonts w:ascii="Arial" w:eastAsia="Times New Roman" w:hAnsi="Arial" w:cs="Arial"/>
          <w:b/>
          <w:bCs/>
          <w:color w:val="444444"/>
          <w:sz w:val="27"/>
          <w:szCs w:val="27"/>
          <w:lang w:val="en" w:eastAsia="tr-TR"/>
        </w:rPr>
      </w:pPr>
      <w:r w:rsidRPr="0026574D">
        <w:rPr>
          <w:rFonts w:ascii="Arial" w:eastAsia="Times New Roman" w:hAnsi="Arial" w:cs="Arial"/>
          <w:b/>
          <w:bCs/>
          <w:color w:val="444444"/>
          <w:sz w:val="27"/>
          <w:szCs w:val="27"/>
          <w:lang w:val="en" w:eastAsia="tr-TR"/>
        </w:rPr>
        <w:t xml:space="preserve">WHAT IS THE AIM OF THE DIRECTIVE? </w:t>
      </w:r>
    </w:p>
    <w:p w:rsidR="0026574D" w:rsidRPr="0026574D" w:rsidRDefault="0026574D" w:rsidP="0026574D">
      <w:pPr>
        <w:numPr>
          <w:ilvl w:val="0"/>
          <w:numId w:val="1"/>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It provides the legal foundation for the further development of a better integrated internal market for electronic payments within the EU. </w:t>
      </w:r>
    </w:p>
    <w:p w:rsidR="0026574D" w:rsidRPr="0026574D" w:rsidRDefault="0026574D" w:rsidP="0026574D">
      <w:pPr>
        <w:numPr>
          <w:ilvl w:val="0"/>
          <w:numId w:val="1"/>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It puts in place comprehensive rules for payment services</w:t>
      </w:r>
      <w:hyperlink r:id="rId6" w:anchor="keyterm_E0001" w:history="1">
        <w:r w:rsidRPr="0026574D">
          <w:rPr>
            <w:rFonts w:ascii="Arial" w:eastAsia="Times New Roman" w:hAnsi="Arial" w:cs="Arial"/>
            <w:color w:val="0000FF"/>
            <w:sz w:val="27"/>
            <w:szCs w:val="27"/>
            <w:u w:val="single"/>
            <w:lang w:val="en" w:eastAsia="tr-TR"/>
          </w:rPr>
          <w:t>*</w:t>
        </w:r>
      </w:hyperlink>
      <w:r w:rsidRPr="0026574D">
        <w:rPr>
          <w:rFonts w:ascii="Arial" w:eastAsia="Times New Roman" w:hAnsi="Arial" w:cs="Arial"/>
          <w:color w:val="444444"/>
          <w:sz w:val="27"/>
          <w:szCs w:val="27"/>
          <w:lang w:val="en" w:eastAsia="tr-TR"/>
        </w:rPr>
        <w:t xml:space="preserve">, with the goal of making international payments (within the EU) as easy, efficient and secure as payments within a single country. </w:t>
      </w:r>
    </w:p>
    <w:p w:rsidR="0026574D" w:rsidRPr="0026574D" w:rsidRDefault="0026574D" w:rsidP="0026574D">
      <w:pPr>
        <w:numPr>
          <w:ilvl w:val="0"/>
          <w:numId w:val="1"/>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It seeks to open up payment markets to new entrants leading to more competition, greater choice and better prices for consumers. </w:t>
      </w:r>
    </w:p>
    <w:p w:rsidR="0026574D" w:rsidRPr="0026574D" w:rsidRDefault="0026574D" w:rsidP="0026574D">
      <w:pPr>
        <w:numPr>
          <w:ilvl w:val="0"/>
          <w:numId w:val="1"/>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It also provides the necessary legal platform for the Single Euro Payments Area (</w:t>
      </w:r>
      <w:hyperlink r:id="rId7" w:history="1">
        <w:r w:rsidRPr="0026574D">
          <w:rPr>
            <w:rFonts w:ascii="Arial" w:eastAsia="Times New Roman" w:hAnsi="Arial" w:cs="Arial"/>
            <w:color w:val="0000FF"/>
            <w:sz w:val="27"/>
            <w:szCs w:val="27"/>
            <w:u w:val="single"/>
            <w:lang w:val="en" w:eastAsia="tr-TR"/>
          </w:rPr>
          <w:t>SEPA</w:t>
        </w:r>
      </w:hyperlink>
      <w:r w:rsidRPr="0026574D">
        <w:rPr>
          <w:rFonts w:ascii="Arial" w:eastAsia="Times New Roman" w:hAnsi="Arial" w:cs="Arial"/>
          <w:color w:val="444444"/>
          <w:sz w:val="27"/>
          <w:szCs w:val="27"/>
          <w:lang w:val="en" w:eastAsia="tr-TR"/>
        </w:rPr>
        <w:t xml:space="preserve">). </w:t>
      </w:r>
    </w:p>
    <w:p w:rsidR="0026574D" w:rsidRPr="0026574D" w:rsidRDefault="0026574D" w:rsidP="0026574D">
      <w:pPr>
        <w:shd w:val="clear" w:color="auto" w:fill="EEEEEE"/>
        <w:spacing w:before="390" w:after="195" w:line="240" w:lineRule="auto"/>
        <w:rPr>
          <w:rFonts w:ascii="Arial" w:eastAsia="Times New Roman" w:hAnsi="Arial" w:cs="Arial"/>
          <w:b/>
          <w:bCs/>
          <w:color w:val="444444"/>
          <w:sz w:val="27"/>
          <w:szCs w:val="27"/>
          <w:lang w:val="en" w:eastAsia="tr-TR"/>
        </w:rPr>
      </w:pPr>
      <w:r w:rsidRPr="0026574D">
        <w:rPr>
          <w:rFonts w:ascii="Arial" w:eastAsia="Times New Roman" w:hAnsi="Arial" w:cs="Arial"/>
          <w:b/>
          <w:bCs/>
          <w:color w:val="444444"/>
          <w:sz w:val="27"/>
          <w:szCs w:val="27"/>
          <w:lang w:val="en" w:eastAsia="tr-TR"/>
        </w:rPr>
        <w:t xml:space="preserve">KEY POINTS </w:t>
      </w:r>
    </w:p>
    <w:p w:rsidR="0026574D" w:rsidRPr="0026574D" w:rsidRDefault="0026574D" w:rsidP="0026574D">
      <w:pPr>
        <w:numPr>
          <w:ilvl w:val="0"/>
          <w:numId w:val="2"/>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The directive seeks to improve the existing EU rules for electronic payments. It takes into account emerging and innovative payment services, such as internet and mobile payments. </w:t>
      </w:r>
    </w:p>
    <w:p w:rsidR="0026574D" w:rsidRPr="0026574D" w:rsidRDefault="0026574D" w:rsidP="0026574D">
      <w:pPr>
        <w:numPr>
          <w:ilvl w:val="0"/>
          <w:numId w:val="2"/>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The directive sets out rules concerning: </w:t>
      </w:r>
    </w:p>
    <w:p w:rsidR="0026574D" w:rsidRPr="0026574D" w:rsidRDefault="0026574D" w:rsidP="0026574D">
      <w:pPr>
        <w:numPr>
          <w:ilvl w:val="1"/>
          <w:numId w:val="2"/>
        </w:numPr>
        <w:shd w:val="clear" w:color="auto" w:fill="EEEEEE"/>
        <w:spacing w:before="100" w:beforeAutospacing="1" w:after="100" w:afterAutospacing="1" w:line="240" w:lineRule="auto"/>
        <w:ind w:left="1441"/>
        <w:rPr>
          <w:rFonts w:ascii="Arial" w:eastAsia="Times New Roman" w:hAnsi="Arial" w:cs="Arial"/>
          <w:color w:val="444444"/>
          <w:sz w:val="27"/>
          <w:szCs w:val="27"/>
          <w:lang w:val="en" w:eastAsia="tr-TR"/>
        </w:rPr>
      </w:pPr>
      <w:r w:rsidRPr="0026574D">
        <w:rPr>
          <w:rFonts w:ascii="Arial" w:eastAsia="Times New Roman" w:hAnsi="Arial" w:cs="Arial"/>
          <w:b/>
          <w:bCs/>
          <w:color w:val="444444"/>
          <w:sz w:val="27"/>
          <w:szCs w:val="27"/>
          <w:lang w:val="en" w:eastAsia="tr-TR"/>
        </w:rPr>
        <w:t>strict security requirements</w:t>
      </w:r>
      <w:r w:rsidRPr="0026574D">
        <w:rPr>
          <w:rFonts w:ascii="Arial" w:eastAsia="Times New Roman" w:hAnsi="Arial" w:cs="Arial"/>
          <w:color w:val="444444"/>
          <w:sz w:val="27"/>
          <w:szCs w:val="27"/>
          <w:lang w:val="en" w:eastAsia="tr-TR"/>
        </w:rPr>
        <w:t xml:space="preserve"> for electronic payments and the protection of consumers' financial data, guaranteeing safe authentication and reducing the risk of fraud; </w:t>
      </w:r>
    </w:p>
    <w:p w:rsidR="0026574D" w:rsidRPr="0026574D" w:rsidRDefault="0026574D" w:rsidP="0026574D">
      <w:pPr>
        <w:numPr>
          <w:ilvl w:val="1"/>
          <w:numId w:val="2"/>
        </w:numPr>
        <w:shd w:val="clear" w:color="auto" w:fill="EEEEEE"/>
        <w:spacing w:before="100" w:beforeAutospacing="1" w:after="100" w:afterAutospacing="1" w:line="240" w:lineRule="auto"/>
        <w:ind w:left="144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the </w:t>
      </w:r>
      <w:r w:rsidRPr="0026574D">
        <w:rPr>
          <w:rFonts w:ascii="Arial" w:eastAsia="Times New Roman" w:hAnsi="Arial" w:cs="Arial"/>
          <w:b/>
          <w:bCs/>
          <w:color w:val="444444"/>
          <w:sz w:val="27"/>
          <w:szCs w:val="27"/>
          <w:lang w:val="en" w:eastAsia="tr-TR"/>
        </w:rPr>
        <w:t>transparency</w:t>
      </w:r>
      <w:r w:rsidRPr="0026574D">
        <w:rPr>
          <w:rFonts w:ascii="Arial" w:eastAsia="Times New Roman" w:hAnsi="Arial" w:cs="Arial"/>
          <w:color w:val="444444"/>
          <w:sz w:val="27"/>
          <w:szCs w:val="27"/>
          <w:lang w:val="en" w:eastAsia="tr-TR"/>
        </w:rPr>
        <w:t xml:space="preserve"> of conditions and information requirements for payment services; </w:t>
      </w:r>
    </w:p>
    <w:p w:rsidR="0026574D" w:rsidRPr="0026574D" w:rsidRDefault="0026574D" w:rsidP="0026574D">
      <w:pPr>
        <w:numPr>
          <w:ilvl w:val="1"/>
          <w:numId w:val="2"/>
        </w:numPr>
        <w:shd w:val="clear" w:color="auto" w:fill="EEEEEE"/>
        <w:spacing w:before="100" w:beforeAutospacing="1" w:after="100" w:afterAutospacing="1" w:line="240" w:lineRule="auto"/>
        <w:ind w:left="1441"/>
        <w:rPr>
          <w:rFonts w:ascii="Arial" w:eastAsia="Times New Roman" w:hAnsi="Arial" w:cs="Arial"/>
          <w:color w:val="444444"/>
          <w:sz w:val="27"/>
          <w:szCs w:val="27"/>
          <w:lang w:val="en" w:eastAsia="tr-TR"/>
        </w:rPr>
      </w:pPr>
      <w:proofErr w:type="gramStart"/>
      <w:r w:rsidRPr="0026574D">
        <w:rPr>
          <w:rFonts w:ascii="Arial" w:eastAsia="Times New Roman" w:hAnsi="Arial" w:cs="Arial"/>
          <w:color w:val="444444"/>
          <w:sz w:val="27"/>
          <w:szCs w:val="27"/>
          <w:lang w:val="en" w:eastAsia="tr-TR"/>
        </w:rPr>
        <w:t>the</w:t>
      </w:r>
      <w:proofErr w:type="gramEnd"/>
      <w:r w:rsidRPr="0026574D">
        <w:rPr>
          <w:rFonts w:ascii="Arial" w:eastAsia="Times New Roman" w:hAnsi="Arial" w:cs="Arial"/>
          <w:color w:val="444444"/>
          <w:sz w:val="27"/>
          <w:szCs w:val="27"/>
          <w:lang w:val="en" w:eastAsia="tr-TR"/>
        </w:rPr>
        <w:t xml:space="preserve"> </w:t>
      </w:r>
      <w:r w:rsidRPr="0026574D">
        <w:rPr>
          <w:rFonts w:ascii="Arial" w:eastAsia="Times New Roman" w:hAnsi="Arial" w:cs="Arial"/>
          <w:b/>
          <w:bCs/>
          <w:color w:val="444444"/>
          <w:sz w:val="27"/>
          <w:szCs w:val="27"/>
          <w:lang w:val="en" w:eastAsia="tr-TR"/>
        </w:rPr>
        <w:t>rights and obligations</w:t>
      </w:r>
      <w:r w:rsidRPr="0026574D">
        <w:rPr>
          <w:rFonts w:ascii="Arial" w:eastAsia="Times New Roman" w:hAnsi="Arial" w:cs="Arial"/>
          <w:color w:val="444444"/>
          <w:sz w:val="27"/>
          <w:szCs w:val="27"/>
          <w:lang w:val="en" w:eastAsia="tr-TR"/>
        </w:rPr>
        <w:t xml:space="preserve"> of users and providers of payment services. </w:t>
      </w:r>
    </w:p>
    <w:p w:rsidR="0026574D" w:rsidRPr="0026574D" w:rsidRDefault="0026574D" w:rsidP="0026574D">
      <w:pPr>
        <w:numPr>
          <w:ilvl w:val="0"/>
          <w:numId w:val="2"/>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The directive is complemented by </w:t>
      </w:r>
      <w:hyperlink r:id="rId8" w:history="1">
        <w:r w:rsidRPr="0026574D">
          <w:rPr>
            <w:rFonts w:ascii="Arial" w:eastAsia="Times New Roman" w:hAnsi="Arial" w:cs="Arial"/>
            <w:color w:val="0000FF"/>
            <w:sz w:val="27"/>
            <w:szCs w:val="27"/>
            <w:u w:val="single"/>
            <w:lang w:val="en" w:eastAsia="tr-TR"/>
          </w:rPr>
          <w:t>Regulation (EU) 2015/751</w:t>
        </w:r>
      </w:hyperlink>
      <w:r w:rsidRPr="0026574D">
        <w:rPr>
          <w:rFonts w:ascii="Arial" w:eastAsia="Times New Roman" w:hAnsi="Arial" w:cs="Arial"/>
          <w:color w:val="444444"/>
          <w:sz w:val="27"/>
          <w:szCs w:val="27"/>
          <w:lang w:val="en" w:eastAsia="tr-TR"/>
        </w:rPr>
        <w:t xml:space="preserve"> which puts a cap on interchange fees charged between banks for card-based transactions. This is expected to drive down the costs for merchants in accepting consumer debit and credit cards.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b/>
          <w:bCs/>
          <w:color w:val="444444"/>
          <w:sz w:val="27"/>
          <w:szCs w:val="27"/>
          <w:lang w:val="en" w:eastAsia="tr-TR"/>
        </w:rPr>
        <w:t>Towards a better integrated EU payments market</w:t>
      </w:r>
      <w:r w:rsidRPr="0026574D">
        <w:rPr>
          <w:rFonts w:ascii="Arial" w:eastAsia="Times New Roman" w:hAnsi="Arial" w:cs="Arial"/>
          <w:color w:val="444444"/>
          <w:sz w:val="27"/>
          <w:szCs w:val="27"/>
          <w:lang w:val="en" w:eastAsia="tr-TR"/>
        </w:rPr>
        <w:t xml:space="preserve">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The directive establishes a clear and comprehensive set of rules that will apply to existing and new providers of innovative payment services. These rules seek to ensure that these players can compete on equal terms, leading to greater efficiency, choice and transparency of payment services, while strengthening consumers' trust in a </w:t>
      </w:r>
      <w:proofErr w:type="spellStart"/>
      <w:r w:rsidRPr="0026574D">
        <w:rPr>
          <w:rFonts w:ascii="Arial" w:eastAsia="Times New Roman" w:hAnsi="Arial" w:cs="Arial"/>
          <w:color w:val="444444"/>
          <w:sz w:val="27"/>
          <w:szCs w:val="27"/>
          <w:lang w:val="en" w:eastAsia="tr-TR"/>
        </w:rPr>
        <w:t>harmonised</w:t>
      </w:r>
      <w:proofErr w:type="spellEnd"/>
      <w:r w:rsidRPr="0026574D">
        <w:rPr>
          <w:rFonts w:ascii="Arial" w:eastAsia="Times New Roman" w:hAnsi="Arial" w:cs="Arial"/>
          <w:color w:val="444444"/>
          <w:sz w:val="27"/>
          <w:szCs w:val="27"/>
          <w:lang w:val="en" w:eastAsia="tr-TR"/>
        </w:rPr>
        <w:t xml:space="preserve"> payments market.</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b/>
          <w:bCs/>
          <w:color w:val="444444"/>
          <w:sz w:val="27"/>
          <w:szCs w:val="27"/>
          <w:lang w:val="en" w:eastAsia="tr-TR"/>
        </w:rPr>
        <w:t>Opening up the EU market to new services and providers</w:t>
      </w:r>
      <w:r w:rsidRPr="0026574D">
        <w:rPr>
          <w:rFonts w:ascii="Arial" w:eastAsia="Times New Roman" w:hAnsi="Arial" w:cs="Arial"/>
          <w:color w:val="444444"/>
          <w:sz w:val="27"/>
          <w:szCs w:val="27"/>
          <w:lang w:val="en" w:eastAsia="tr-TR"/>
        </w:rPr>
        <w:t xml:space="preserve">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lastRenderedPageBreak/>
        <w:t>The directive also aims to open up the EU payment market to companies offering consumer- or business-oriented payment services based on access to information about the payment account, particularly:</w:t>
      </w:r>
    </w:p>
    <w:p w:rsidR="0026574D" w:rsidRPr="0026574D" w:rsidRDefault="0026574D" w:rsidP="0026574D">
      <w:pPr>
        <w:numPr>
          <w:ilvl w:val="0"/>
          <w:numId w:val="3"/>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b/>
          <w:bCs/>
          <w:color w:val="444444"/>
          <w:sz w:val="27"/>
          <w:szCs w:val="27"/>
          <w:lang w:val="en" w:eastAsia="tr-TR"/>
        </w:rPr>
        <w:t>account information services</w:t>
      </w:r>
      <w:r w:rsidRPr="0026574D">
        <w:rPr>
          <w:rFonts w:ascii="Arial" w:eastAsia="Times New Roman" w:hAnsi="Arial" w:cs="Arial"/>
          <w:color w:val="444444"/>
          <w:sz w:val="27"/>
          <w:szCs w:val="27"/>
          <w:lang w:val="en" w:eastAsia="tr-TR"/>
        </w:rPr>
        <w:t xml:space="preserve"> which allow a payment service user to have an overview of their financial situation at any time, allowing users to better manage their personal finances; </w:t>
      </w:r>
    </w:p>
    <w:p w:rsidR="0026574D" w:rsidRPr="0026574D" w:rsidRDefault="0026574D" w:rsidP="0026574D">
      <w:pPr>
        <w:numPr>
          <w:ilvl w:val="0"/>
          <w:numId w:val="3"/>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proofErr w:type="gramStart"/>
      <w:r w:rsidRPr="0026574D">
        <w:rPr>
          <w:rFonts w:ascii="Arial" w:eastAsia="Times New Roman" w:hAnsi="Arial" w:cs="Arial"/>
          <w:b/>
          <w:bCs/>
          <w:color w:val="444444"/>
          <w:sz w:val="27"/>
          <w:szCs w:val="27"/>
          <w:lang w:val="en" w:eastAsia="tr-TR"/>
        </w:rPr>
        <w:t>payment</w:t>
      </w:r>
      <w:proofErr w:type="gramEnd"/>
      <w:r w:rsidRPr="0026574D">
        <w:rPr>
          <w:rFonts w:ascii="Arial" w:eastAsia="Times New Roman" w:hAnsi="Arial" w:cs="Arial"/>
          <w:b/>
          <w:bCs/>
          <w:color w:val="444444"/>
          <w:sz w:val="27"/>
          <w:szCs w:val="27"/>
          <w:lang w:val="en" w:eastAsia="tr-TR"/>
        </w:rPr>
        <w:t xml:space="preserve"> initiation services</w:t>
      </w:r>
      <w:r w:rsidRPr="0026574D">
        <w:rPr>
          <w:rFonts w:ascii="Arial" w:eastAsia="Times New Roman" w:hAnsi="Arial" w:cs="Arial"/>
          <w:color w:val="444444"/>
          <w:sz w:val="27"/>
          <w:szCs w:val="27"/>
          <w:lang w:val="en" w:eastAsia="tr-TR"/>
        </w:rPr>
        <w:t xml:space="preserve"> which allow consumers to pay via simple credit transfer for their online purchases, while providing merchants with the assurance that the payment has been initiated so that goods can be released or services provided without delay.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b/>
          <w:bCs/>
          <w:color w:val="444444"/>
          <w:sz w:val="27"/>
          <w:szCs w:val="27"/>
          <w:lang w:val="en" w:eastAsia="tr-TR"/>
        </w:rPr>
        <w:t>Consumer rights</w:t>
      </w:r>
      <w:r w:rsidRPr="0026574D">
        <w:rPr>
          <w:rFonts w:ascii="Arial" w:eastAsia="Times New Roman" w:hAnsi="Arial" w:cs="Arial"/>
          <w:color w:val="444444"/>
          <w:sz w:val="27"/>
          <w:szCs w:val="27"/>
          <w:lang w:val="en" w:eastAsia="tr-TR"/>
        </w:rPr>
        <w:t xml:space="preserve"> </w:t>
      </w:r>
    </w:p>
    <w:p w:rsidR="0026574D" w:rsidRPr="0026574D" w:rsidRDefault="0026574D" w:rsidP="0026574D">
      <w:pPr>
        <w:numPr>
          <w:ilvl w:val="0"/>
          <w:numId w:val="4"/>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Consumer rights are enhanced, including: </w:t>
      </w:r>
    </w:p>
    <w:p w:rsidR="0026574D" w:rsidRPr="0026574D" w:rsidRDefault="0026574D" w:rsidP="0026574D">
      <w:pPr>
        <w:numPr>
          <w:ilvl w:val="1"/>
          <w:numId w:val="4"/>
        </w:numPr>
        <w:shd w:val="clear" w:color="auto" w:fill="EEEEEE"/>
        <w:spacing w:before="100" w:beforeAutospacing="1" w:after="100" w:afterAutospacing="1" w:line="240" w:lineRule="auto"/>
        <w:ind w:left="1441"/>
        <w:rPr>
          <w:rFonts w:ascii="Arial" w:eastAsia="Times New Roman" w:hAnsi="Arial" w:cs="Arial"/>
          <w:color w:val="444444"/>
          <w:sz w:val="27"/>
          <w:szCs w:val="27"/>
          <w:lang w:val="en" w:eastAsia="tr-TR"/>
        </w:rPr>
      </w:pPr>
      <w:r w:rsidRPr="0026574D">
        <w:rPr>
          <w:rFonts w:ascii="Arial" w:eastAsia="Times New Roman" w:hAnsi="Arial" w:cs="Arial"/>
          <w:b/>
          <w:bCs/>
          <w:color w:val="444444"/>
          <w:sz w:val="27"/>
          <w:szCs w:val="27"/>
          <w:lang w:val="en" w:eastAsia="tr-TR"/>
        </w:rPr>
        <w:t>reduced liability</w:t>
      </w:r>
      <w:r w:rsidRPr="0026574D">
        <w:rPr>
          <w:rFonts w:ascii="Arial" w:eastAsia="Times New Roman" w:hAnsi="Arial" w:cs="Arial"/>
          <w:color w:val="444444"/>
          <w:sz w:val="27"/>
          <w:szCs w:val="27"/>
          <w:lang w:val="en" w:eastAsia="tr-TR"/>
        </w:rPr>
        <w:t xml:space="preserve"> for non-</w:t>
      </w:r>
      <w:proofErr w:type="spellStart"/>
      <w:r w:rsidRPr="0026574D">
        <w:rPr>
          <w:rFonts w:ascii="Arial" w:eastAsia="Times New Roman" w:hAnsi="Arial" w:cs="Arial"/>
          <w:color w:val="444444"/>
          <w:sz w:val="27"/>
          <w:szCs w:val="27"/>
          <w:lang w:val="en" w:eastAsia="tr-TR"/>
        </w:rPr>
        <w:t>authorised</w:t>
      </w:r>
      <w:proofErr w:type="spellEnd"/>
      <w:r w:rsidRPr="0026574D">
        <w:rPr>
          <w:rFonts w:ascii="Arial" w:eastAsia="Times New Roman" w:hAnsi="Arial" w:cs="Arial"/>
          <w:color w:val="444444"/>
          <w:sz w:val="27"/>
          <w:szCs w:val="27"/>
          <w:lang w:val="en" w:eastAsia="tr-TR"/>
        </w:rPr>
        <w:t xml:space="preserve"> payments from €150 to €50; </w:t>
      </w:r>
    </w:p>
    <w:p w:rsidR="0026574D" w:rsidRPr="0026574D" w:rsidRDefault="0026574D" w:rsidP="0026574D">
      <w:pPr>
        <w:numPr>
          <w:ilvl w:val="1"/>
          <w:numId w:val="4"/>
        </w:numPr>
        <w:shd w:val="clear" w:color="auto" w:fill="EEEEEE"/>
        <w:spacing w:before="100" w:beforeAutospacing="1" w:after="100" w:afterAutospacing="1" w:line="240" w:lineRule="auto"/>
        <w:ind w:left="1441"/>
        <w:rPr>
          <w:rFonts w:ascii="Arial" w:eastAsia="Times New Roman" w:hAnsi="Arial" w:cs="Arial"/>
          <w:color w:val="444444"/>
          <w:sz w:val="27"/>
          <w:szCs w:val="27"/>
          <w:lang w:val="en" w:eastAsia="tr-TR"/>
        </w:rPr>
      </w:pPr>
      <w:r w:rsidRPr="0026574D">
        <w:rPr>
          <w:rFonts w:ascii="Arial" w:eastAsia="Times New Roman" w:hAnsi="Arial" w:cs="Arial"/>
          <w:b/>
          <w:bCs/>
          <w:color w:val="444444"/>
          <w:sz w:val="27"/>
          <w:szCs w:val="27"/>
          <w:lang w:val="en" w:eastAsia="tr-TR"/>
        </w:rPr>
        <w:t xml:space="preserve">unconditional </w:t>
      </w:r>
      <w:proofErr w:type="spellStart"/>
      <w:r w:rsidRPr="0026574D">
        <w:rPr>
          <w:rFonts w:ascii="Arial" w:eastAsia="Times New Roman" w:hAnsi="Arial" w:cs="Arial"/>
          <w:b/>
          <w:bCs/>
          <w:color w:val="444444"/>
          <w:sz w:val="27"/>
          <w:szCs w:val="27"/>
          <w:lang w:val="en" w:eastAsia="tr-TR"/>
        </w:rPr>
        <w:t>refundright</w:t>
      </w:r>
      <w:proofErr w:type="spellEnd"/>
      <w:r w:rsidRPr="0026574D">
        <w:rPr>
          <w:rFonts w:ascii="Arial" w:eastAsia="Times New Roman" w:hAnsi="Arial" w:cs="Arial"/>
          <w:color w:val="444444"/>
          <w:sz w:val="27"/>
          <w:szCs w:val="27"/>
          <w:lang w:val="en" w:eastAsia="tr-TR"/>
        </w:rPr>
        <w:t xml:space="preserve"> for direct debits in euro; </w:t>
      </w:r>
    </w:p>
    <w:p w:rsidR="0026574D" w:rsidRPr="0026574D" w:rsidRDefault="0026574D" w:rsidP="0026574D">
      <w:pPr>
        <w:numPr>
          <w:ilvl w:val="1"/>
          <w:numId w:val="4"/>
        </w:numPr>
        <w:shd w:val="clear" w:color="auto" w:fill="EEEEEE"/>
        <w:spacing w:before="100" w:beforeAutospacing="1" w:after="100" w:afterAutospacing="1" w:line="240" w:lineRule="auto"/>
        <w:ind w:left="1441"/>
        <w:rPr>
          <w:rFonts w:ascii="Arial" w:eastAsia="Times New Roman" w:hAnsi="Arial" w:cs="Arial"/>
          <w:color w:val="444444"/>
          <w:sz w:val="27"/>
          <w:szCs w:val="27"/>
          <w:lang w:val="en" w:eastAsia="tr-TR"/>
        </w:rPr>
      </w:pPr>
      <w:proofErr w:type="gramStart"/>
      <w:r w:rsidRPr="0026574D">
        <w:rPr>
          <w:rFonts w:ascii="Arial" w:eastAsia="Times New Roman" w:hAnsi="Arial" w:cs="Arial"/>
          <w:b/>
          <w:bCs/>
          <w:color w:val="444444"/>
          <w:sz w:val="27"/>
          <w:szCs w:val="27"/>
          <w:lang w:val="en" w:eastAsia="tr-TR"/>
        </w:rPr>
        <w:t>removal</w:t>
      </w:r>
      <w:proofErr w:type="gramEnd"/>
      <w:r w:rsidRPr="0026574D">
        <w:rPr>
          <w:rFonts w:ascii="Arial" w:eastAsia="Times New Roman" w:hAnsi="Arial" w:cs="Arial"/>
          <w:b/>
          <w:bCs/>
          <w:color w:val="444444"/>
          <w:sz w:val="27"/>
          <w:szCs w:val="27"/>
          <w:lang w:val="en" w:eastAsia="tr-TR"/>
        </w:rPr>
        <w:t xml:space="preserve"> of surcharges</w:t>
      </w:r>
      <w:r w:rsidRPr="0026574D">
        <w:rPr>
          <w:rFonts w:ascii="Arial" w:eastAsia="Times New Roman" w:hAnsi="Arial" w:cs="Arial"/>
          <w:color w:val="444444"/>
          <w:sz w:val="27"/>
          <w:szCs w:val="27"/>
          <w:lang w:val="en" w:eastAsia="tr-TR"/>
        </w:rPr>
        <w:t xml:space="preserve"> for the use of a consumer credit or debit card. </w:t>
      </w:r>
    </w:p>
    <w:p w:rsidR="0026574D" w:rsidRPr="0026574D" w:rsidRDefault="0026574D" w:rsidP="0026574D">
      <w:pPr>
        <w:numPr>
          <w:ilvl w:val="0"/>
          <w:numId w:val="4"/>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The </w:t>
      </w:r>
      <w:hyperlink r:id="rId9" w:history="1">
        <w:r w:rsidRPr="0026574D">
          <w:rPr>
            <w:rFonts w:ascii="Arial" w:eastAsia="Times New Roman" w:hAnsi="Arial" w:cs="Arial"/>
            <w:color w:val="0000FF"/>
            <w:sz w:val="27"/>
            <w:szCs w:val="27"/>
            <w:u w:val="single"/>
            <w:lang w:val="en" w:eastAsia="tr-TR"/>
          </w:rPr>
          <w:t>European Commission</w:t>
        </w:r>
      </w:hyperlink>
      <w:r w:rsidRPr="0026574D">
        <w:rPr>
          <w:rFonts w:ascii="Arial" w:eastAsia="Times New Roman" w:hAnsi="Arial" w:cs="Arial"/>
          <w:color w:val="444444"/>
          <w:sz w:val="27"/>
          <w:szCs w:val="27"/>
          <w:lang w:val="en" w:eastAsia="tr-TR"/>
        </w:rPr>
        <w:t xml:space="preserve"> will produce a ‘user-friendly’ electronic leaflet by early 2018 listing consumers' rights under the directive and related EU law.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proofErr w:type="spellStart"/>
      <w:r w:rsidRPr="0026574D">
        <w:rPr>
          <w:rFonts w:ascii="Arial" w:eastAsia="Times New Roman" w:hAnsi="Arial" w:cs="Arial"/>
          <w:b/>
          <w:bCs/>
          <w:color w:val="444444"/>
          <w:sz w:val="27"/>
          <w:szCs w:val="27"/>
          <w:lang w:val="en" w:eastAsia="tr-TR"/>
        </w:rPr>
        <w:t>Authorisation</w:t>
      </w:r>
      <w:proofErr w:type="spellEnd"/>
      <w:r w:rsidRPr="0026574D">
        <w:rPr>
          <w:rFonts w:ascii="Arial" w:eastAsia="Times New Roman" w:hAnsi="Arial" w:cs="Arial"/>
          <w:b/>
          <w:bCs/>
          <w:color w:val="444444"/>
          <w:sz w:val="27"/>
          <w:szCs w:val="27"/>
          <w:lang w:val="en" w:eastAsia="tr-TR"/>
        </w:rPr>
        <w:t xml:space="preserve"> of payment institutions</w:t>
      </w:r>
      <w:r w:rsidRPr="0026574D">
        <w:rPr>
          <w:rFonts w:ascii="Arial" w:eastAsia="Times New Roman" w:hAnsi="Arial" w:cs="Arial"/>
          <w:color w:val="444444"/>
          <w:sz w:val="27"/>
          <w:szCs w:val="27"/>
          <w:lang w:val="en" w:eastAsia="tr-TR"/>
        </w:rPr>
        <w:t xml:space="preserve">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The directive does not substantially change the conditions for granting </w:t>
      </w:r>
      <w:proofErr w:type="spellStart"/>
      <w:r w:rsidRPr="0026574D">
        <w:rPr>
          <w:rFonts w:ascii="Arial" w:eastAsia="Times New Roman" w:hAnsi="Arial" w:cs="Arial"/>
          <w:b/>
          <w:bCs/>
          <w:color w:val="444444"/>
          <w:sz w:val="27"/>
          <w:szCs w:val="27"/>
          <w:lang w:val="en" w:eastAsia="tr-TR"/>
        </w:rPr>
        <w:t>authorisation</w:t>
      </w:r>
      <w:proofErr w:type="spellEnd"/>
      <w:r w:rsidRPr="0026574D">
        <w:rPr>
          <w:rFonts w:ascii="Arial" w:eastAsia="Times New Roman" w:hAnsi="Arial" w:cs="Arial"/>
          <w:color w:val="444444"/>
          <w:sz w:val="27"/>
          <w:szCs w:val="27"/>
          <w:lang w:val="en" w:eastAsia="tr-TR"/>
        </w:rPr>
        <w:t xml:space="preserve"> as payment institutions, although payment institutions offering account information services will be required to have professional </w:t>
      </w:r>
      <w:r w:rsidRPr="0026574D">
        <w:rPr>
          <w:rFonts w:ascii="Arial" w:eastAsia="Times New Roman" w:hAnsi="Arial" w:cs="Arial"/>
          <w:b/>
          <w:bCs/>
          <w:color w:val="444444"/>
          <w:sz w:val="27"/>
          <w:szCs w:val="27"/>
          <w:lang w:val="en" w:eastAsia="tr-TR"/>
        </w:rPr>
        <w:t>indemnity insurance</w:t>
      </w:r>
      <w:r w:rsidRPr="0026574D">
        <w:rPr>
          <w:rFonts w:ascii="Arial" w:eastAsia="Times New Roman" w:hAnsi="Arial" w:cs="Arial"/>
          <w:color w:val="444444"/>
          <w:sz w:val="27"/>
          <w:szCs w:val="27"/>
          <w:lang w:val="en" w:eastAsia="tr-TR"/>
        </w:rPr>
        <w:t xml:space="preserve"> as a condition of </w:t>
      </w:r>
      <w:proofErr w:type="spellStart"/>
      <w:r w:rsidRPr="0026574D">
        <w:rPr>
          <w:rFonts w:ascii="Arial" w:eastAsia="Times New Roman" w:hAnsi="Arial" w:cs="Arial"/>
          <w:color w:val="444444"/>
          <w:sz w:val="27"/>
          <w:szCs w:val="27"/>
          <w:lang w:val="en" w:eastAsia="tr-TR"/>
        </w:rPr>
        <w:t>authorisation</w:t>
      </w:r>
      <w:proofErr w:type="spellEnd"/>
      <w:r w:rsidRPr="0026574D">
        <w:rPr>
          <w:rFonts w:ascii="Arial" w:eastAsia="Times New Roman" w:hAnsi="Arial" w:cs="Arial"/>
          <w:color w:val="444444"/>
          <w:sz w:val="27"/>
          <w:szCs w:val="27"/>
          <w:lang w:val="en" w:eastAsia="tr-TR"/>
        </w:rPr>
        <w:t xml:space="preserve">. The directive also contains rules on the </w:t>
      </w:r>
      <w:r w:rsidRPr="0026574D">
        <w:rPr>
          <w:rFonts w:ascii="Arial" w:eastAsia="Times New Roman" w:hAnsi="Arial" w:cs="Arial"/>
          <w:b/>
          <w:bCs/>
          <w:color w:val="444444"/>
          <w:sz w:val="27"/>
          <w:szCs w:val="27"/>
          <w:lang w:val="en" w:eastAsia="tr-TR"/>
        </w:rPr>
        <w:t>supervision</w:t>
      </w:r>
      <w:r w:rsidRPr="0026574D">
        <w:rPr>
          <w:rFonts w:ascii="Arial" w:eastAsia="Times New Roman" w:hAnsi="Arial" w:cs="Arial"/>
          <w:color w:val="444444"/>
          <w:sz w:val="27"/>
          <w:szCs w:val="27"/>
          <w:lang w:val="en" w:eastAsia="tr-TR"/>
        </w:rPr>
        <w:t xml:space="preserve"> of </w:t>
      </w:r>
      <w:proofErr w:type="spellStart"/>
      <w:r w:rsidRPr="0026574D">
        <w:rPr>
          <w:rFonts w:ascii="Arial" w:eastAsia="Times New Roman" w:hAnsi="Arial" w:cs="Arial"/>
          <w:color w:val="444444"/>
          <w:sz w:val="27"/>
          <w:szCs w:val="27"/>
          <w:lang w:val="en" w:eastAsia="tr-TR"/>
        </w:rPr>
        <w:t>authorised</w:t>
      </w:r>
      <w:proofErr w:type="spellEnd"/>
      <w:r w:rsidRPr="0026574D">
        <w:rPr>
          <w:rFonts w:ascii="Arial" w:eastAsia="Times New Roman" w:hAnsi="Arial" w:cs="Arial"/>
          <w:color w:val="444444"/>
          <w:sz w:val="27"/>
          <w:szCs w:val="27"/>
          <w:lang w:val="en" w:eastAsia="tr-TR"/>
        </w:rPr>
        <w:t xml:space="preserve"> payment institutions, as well as measures in case of non-compliance</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b/>
          <w:bCs/>
          <w:color w:val="444444"/>
          <w:sz w:val="27"/>
          <w:szCs w:val="27"/>
          <w:lang w:val="en" w:eastAsia="tr-TR"/>
        </w:rPr>
        <w:t>Role of European Banking Authority (EBA)</w:t>
      </w:r>
      <w:r w:rsidRPr="0026574D">
        <w:rPr>
          <w:rFonts w:ascii="Arial" w:eastAsia="Times New Roman" w:hAnsi="Arial" w:cs="Arial"/>
          <w:color w:val="444444"/>
          <w:sz w:val="27"/>
          <w:szCs w:val="27"/>
          <w:lang w:val="en" w:eastAsia="tr-TR"/>
        </w:rPr>
        <w:t xml:space="preserve">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The role of the </w:t>
      </w:r>
      <w:hyperlink r:id="rId10" w:history="1">
        <w:r w:rsidRPr="0026574D">
          <w:rPr>
            <w:rFonts w:ascii="Arial" w:eastAsia="Times New Roman" w:hAnsi="Arial" w:cs="Arial"/>
            <w:color w:val="0000FF"/>
            <w:sz w:val="27"/>
            <w:szCs w:val="27"/>
            <w:u w:val="single"/>
            <w:lang w:val="en" w:eastAsia="tr-TR"/>
          </w:rPr>
          <w:t>EBA</w:t>
        </w:r>
      </w:hyperlink>
      <w:r w:rsidRPr="0026574D">
        <w:rPr>
          <w:rFonts w:ascii="Arial" w:eastAsia="Times New Roman" w:hAnsi="Arial" w:cs="Arial"/>
          <w:color w:val="444444"/>
          <w:sz w:val="27"/>
          <w:szCs w:val="27"/>
          <w:lang w:val="en" w:eastAsia="tr-TR"/>
        </w:rPr>
        <w:t xml:space="preserve"> is strengthened to:</w:t>
      </w:r>
    </w:p>
    <w:p w:rsidR="0026574D" w:rsidRPr="0026574D" w:rsidRDefault="0026574D" w:rsidP="0026574D">
      <w:pPr>
        <w:numPr>
          <w:ilvl w:val="0"/>
          <w:numId w:val="5"/>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develop a publicly accessible </w:t>
      </w:r>
      <w:r w:rsidRPr="0026574D">
        <w:rPr>
          <w:rFonts w:ascii="Arial" w:eastAsia="Times New Roman" w:hAnsi="Arial" w:cs="Arial"/>
          <w:b/>
          <w:bCs/>
          <w:color w:val="444444"/>
          <w:sz w:val="27"/>
          <w:szCs w:val="27"/>
          <w:lang w:val="en" w:eastAsia="tr-TR"/>
        </w:rPr>
        <w:t>central register</w:t>
      </w:r>
      <w:r w:rsidRPr="0026574D">
        <w:rPr>
          <w:rFonts w:ascii="Arial" w:eastAsia="Times New Roman" w:hAnsi="Arial" w:cs="Arial"/>
          <w:color w:val="444444"/>
          <w:sz w:val="27"/>
          <w:szCs w:val="27"/>
          <w:lang w:val="en" w:eastAsia="tr-TR"/>
        </w:rPr>
        <w:t xml:space="preserve"> of </w:t>
      </w:r>
      <w:proofErr w:type="spellStart"/>
      <w:r w:rsidRPr="0026574D">
        <w:rPr>
          <w:rFonts w:ascii="Arial" w:eastAsia="Times New Roman" w:hAnsi="Arial" w:cs="Arial"/>
          <w:color w:val="444444"/>
          <w:sz w:val="27"/>
          <w:szCs w:val="27"/>
          <w:lang w:val="en" w:eastAsia="tr-TR"/>
        </w:rPr>
        <w:t>authorised</w:t>
      </w:r>
      <w:proofErr w:type="spellEnd"/>
      <w:r w:rsidRPr="0026574D">
        <w:rPr>
          <w:rFonts w:ascii="Arial" w:eastAsia="Times New Roman" w:hAnsi="Arial" w:cs="Arial"/>
          <w:color w:val="444444"/>
          <w:sz w:val="27"/>
          <w:szCs w:val="27"/>
          <w:lang w:val="en" w:eastAsia="tr-TR"/>
        </w:rPr>
        <w:t xml:space="preserve"> payment institutions, which shall be kept up to date by the national authorities; </w:t>
      </w:r>
    </w:p>
    <w:p w:rsidR="0026574D" w:rsidRPr="0026574D" w:rsidRDefault="0026574D" w:rsidP="0026574D">
      <w:pPr>
        <w:numPr>
          <w:ilvl w:val="0"/>
          <w:numId w:val="5"/>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assist in </w:t>
      </w:r>
      <w:r w:rsidRPr="0026574D">
        <w:rPr>
          <w:rFonts w:ascii="Arial" w:eastAsia="Times New Roman" w:hAnsi="Arial" w:cs="Arial"/>
          <w:b/>
          <w:bCs/>
          <w:color w:val="444444"/>
          <w:sz w:val="27"/>
          <w:szCs w:val="27"/>
          <w:lang w:val="en" w:eastAsia="tr-TR"/>
        </w:rPr>
        <w:t>resolving disputes</w:t>
      </w:r>
      <w:r w:rsidRPr="0026574D">
        <w:rPr>
          <w:rFonts w:ascii="Arial" w:eastAsia="Times New Roman" w:hAnsi="Arial" w:cs="Arial"/>
          <w:color w:val="444444"/>
          <w:sz w:val="27"/>
          <w:szCs w:val="27"/>
          <w:lang w:val="en" w:eastAsia="tr-TR"/>
        </w:rPr>
        <w:t xml:space="preserve"> between national authorities; </w:t>
      </w:r>
    </w:p>
    <w:p w:rsidR="0026574D" w:rsidRPr="0026574D" w:rsidRDefault="0026574D" w:rsidP="0026574D">
      <w:pPr>
        <w:numPr>
          <w:ilvl w:val="0"/>
          <w:numId w:val="5"/>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develop </w:t>
      </w:r>
      <w:r w:rsidRPr="0026574D">
        <w:rPr>
          <w:rFonts w:ascii="Arial" w:eastAsia="Times New Roman" w:hAnsi="Arial" w:cs="Arial"/>
          <w:b/>
          <w:bCs/>
          <w:color w:val="444444"/>
          <w:sz w:val="27"/>
          <w:szCs w:val="27"/>
          <w:lang w:val="en" w:eastAsia="tr-TR"/>
        </w:rPr>
        <w:t>regulatory technical standards</w:t>
      </w:r>
      <w:r w:rsidRPr="0026574D">
        <w:rPr>
          <w:rFonts w:ascii="Arial" w:eastAsia="Times New Roman" w:hAnsi="Arial" w:cs="Arial"/>
          <w:color w:val="444444"/>
          <w:sz w:val="27"/>
          <w:szCs w:val="27"/>
          <w:lang w:val="en" w:eastAsia="tr-TR"/>
        </w:rPr>
        <w:t xml:space="preserve"> on strong customer authentication and secure communication channels with which all payment service providers must comply; </w:t>
      </w:r>
    </w:p>
    <w:p w:rsidR="0026574D" w:rsidRPr="0026574D" w:rsidRDefault="0026574D" w:rsidP="0026574D">
      <w:pPr>
        <w:numPr>
          <w:ilvl w:val="0"/>
          <w:numId w:val="5"/>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proofErr w:type="gramStart"/>
      <w:r w:rsidRPr="0026574D">
        <w:rPr>
          <w:rFonts w:ascii="Arial" w:eastAsia="Times New Roman" w:hAnsi="Arial" w:cs="Arial"/>
          <w:color w:val="444444"/>
          <w:sz w:val="27"/>
          <w:szCs w:val="27"/>
          <w:lang w:val="en" w:eastAsia="tr-TR"/>
        </w:rPr>
        <w:t>develop</w:t>
      </w:r>
      <w:proofErr w:type="gramEnd"/>
      <w:r w:rsidRPr="0026574D">
        <w:rPr>
          <w:rFonts w:ascii="Arial" w:eastAsia="Times New Roman" w:hAnsi="Arial" w:cs="Arial"/>
          <w:color w:val="444444"/>
          <w:sz w:val="27"/>
          <w:szCs w:val="27"/>
          <w:lang w:val="en" w:eastAsia="tr-TR"/>
        </w:rPr>
        <w:t xml:space="preserve"> cooperation and information exchange between supervisory authorities.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lastRenderedPageBreak/>
        <w:t xml:space="preserve">The directive repeals </w:t>
      </w:r>
      <w:hyperlink r:id="rId11" w:history="1">
        <w:r w:rsidRPr="0026574D">
          <w:rPr>
            <w:rFonts w:ascii="Arial" w:eastAsia="Times New Roman" w:hAnsi="Arial" w:cs="Arial"/>
            <w:color w:val="0000FF"/>
            <w:sz w:val="27"/>
            <w:szCs w:val="27"/>
            <w:u w:val="single"/>
            <w:lang w:val="en" w:eastAsia="tr-TR"/>
          </w:rPr>
          <w:t>Directive 2007/64/EC</w:t>
        </w:r>
      </w:hyperlink>
      <w:r w:rsidRPr="0026574D">
        <w:rPr>
          <w:rFonts w:ascii="Arial" w:eastAsia="Times New Roman" w:hAnsi="Arial" w:cs="Arial"/>
          <w:color w:val="444444"/>
          <w:sz w:val="27"/>
          <w:szCs w:val="27"/>
          <w:lang w:val="en" w:eastAsia="tr-TR"/>
        </w:rPr>
        <w:t xml:space="preserve"> from 13 January 2018.</w:t>
      </w:r>
    </w:p>
    <w:p w:rsidR="0026574D" w:rsidRPr="0026574D" w:rsidRDefault="0026574D" w:rsidP="0026574D">
      <w:pPr>
        <w:shd w:val="clear" w:color="auto" w:fill="EEEEEE"/>
        <w:spacing w:before="390" w:after="195" w:line="240" w:lineRule="auto"/>
        <w:rPr>
          <w:rFonts w:ascii="Arial" w:eastAsia="Times New Roman" w:hAnsi="Arial" w:cs="Arial"/>
          <w:b/>
          <w:bCs/>
          <w:color w:val="444444"/>
          <w:sz w:val="27"/>
          <w:szCs w:val="27"/>
          <w:lang w:val="en" w:eastAsia="tr-TR"/>
        </w:rPr>
      </w:pPr>
      <w:r w:rsidRPr="0026574D">
        <w:rPr>
          <w:rFonts w:ascii="Arial" w:eastAsia="Times New Roman" w:hAnsi="Arial" w:cs="Arial"/>
          <w:b/>
          <w:bCs/>
          <w:color w:val="444444"/>
          <w:sz w:val="27"/>
          <w:szCs w:val="27"/>
          <w:lang w:val="en" w:eastAsia="tr-TR"/>
        </w:rPr>
        <w:t xml:space="preserve">FROM WHEN DOES THE REGULATION APPLY?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It has applied since 12 January 2016. EU countries have to incorporate it into national law by 13 January 2018.</w:t>
      </w:r>
    </w:p>
    <w:p w:rsidR="0026574D" w:rsidRPr="0026574D" w:rsidRDefault="0026574D" w:rsidP="0026574D">
      <w:pPr>
        <w:shd w:val="clear" w:color="auto" w:fill="EEEEEE"/>
        <w:spacing w:before="390" w:after="195" w:line="240" w:lineRule="auto"/>
        <w:rPr>
          <w:rFonts w:ascii="Arial" w:eastAsia="Times New Roman" w:hAnsi="Arial" w:cs="Arial"/>
          <w:b/>
          <w:bCs/>
          <w:color w:val="444444"/>
          <w:sz w:val="27"/>
          <w:szCs w:val="27"/>
          <w:lang w:val="en" w:eastAsia="tr-TR"/>
        </w:rPr>
      </w:pPr>
      <w:r w:rsidRPr="0026574D">
        <w:rPr>
          <w:rFonts w:ascii="Arial" w:eastAsia="Times New Roman" w:hAnsi="Arial" w:cs="Arial"/>
          <w:b/>
          <w:bCs/>
          <w:color w:val="444444"/>
          <w:sz w:val="27"/>
          <w:szCs w:val="27"/>
          <w:lang w:val="en" w:eastAsia="tr-TR"/>
        </w:rPr>
        <w:t xml:space="preserve">BACKGROUND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For more information, see:</w:t>
      </w:r>
    </w:p>
    <w:p w:rsidR="0026574D" w:rsidRPr="0026574D" w:rsidRDefault="0026574D" w:rsidP="0026574D">
      <w:pPr>
        <w:numPr>
          <w:ilvl w:val="0"/>
          <w:numId w:val="6"/>
        </w:numPr>
        <w:shd w:val="clear" w:color="auto" w:fill="EEEEEE"/>
        <w:spacing w:before="100" w:beforeAutospacing="1" w:after="100" w:afterAutospacing="1" w:line="240" w:lineRule="auto"/>
        <w:ind w:left="721"/>
        <w:rPr>
          <w:rFonts w:ascii="Arial" w:eastAsia="Times New Roman" w:hAnsi="Arial" w:cs="Arial"/>
          <w:color w:val="444444"/>
          <w:sz w:val="27"/>
          <w:szCs w:val="27"/>
          <w:lang w:val="en" w:eastAsia="tr-TR"/>
        </w:rPr>
      </w:pPr>
      <w:hyperlink r:id="rId12" w:history="1">
        <w:r w:rsidRPr="0026574D">
          <w:rPr>
            <w:rFonts w:ascii="Arial" w:eastAsia="Times New Roman" w:hAnsi="Arial" w:cs="Arial"/>
            <w:color w:val="0000FF"/>
            <w:sz w:val="27"/>
            <w:szCs w:val="27"/>
            <w:u w:val="single"/>
            <w:lang w:val="en" w:eastAsia="tr-TR"/>
          </w:rPr>
          <w:t>Directive on Payment Services (PSD)</w:t>
        </w:r>
      </w:hyperlink>
      <w:r w:rsidRPr="0026574D">
        <w:rPr>
          <w:rFonts w:ascii="Arial" w:eastAsia="Times New Roman" w:hAnsi="Arial" w:cs="Arial"/>
          <w:color w:val="444444"/>
          <w:sz w:val="27"/>
          <w:szCs w:val="27"/>
          <w:lang w:val="en" w:eastAsia="tr-TR"/>
        </w:rPr>
        <w:t xml:space="preserve"> on the European Commission's website. </w:t>
      </w:r>
    </w:p>
    <w:p w:rsidR="0026574D" w:rsidRPr="0026574D" w:rsidRDefault="0026574D" w:rsidP="0026574D">
      <w:pPr>
        <w:shd w:val="clear" w:color="auto" w:fill="EEEEEE"/>
        <w:spacing w:before="390" w:after="195" w:line="240" w:lineRule="auto"/>
        <w:rPr>
          <w:rFonts w:ascii="Arial" w:eastAsia="Times New Roman" w:hAnsi="Arial" w:cs="Arial"/>
          <w:b/>
          <w:bCs/>
          <w:color w:val="444444"/>
          <w:sz w:val="27"/>
          <w:szCs w:val="27"/>
          <w:lang w:val="en" w:eastAsia="tr-TR"/>
        </w:rPr>
      </w:pPr>
      <w:r w:rsidRPr="0026574D">
        <w:rPr>
          <w:rFonts w:ascii="Arial" w:eastAsia="Times New Roman" w:hAnsi="Arial" w:cs="Arial"/>
          <w:b/>
          <w:bCs/>
          <w:color w:val="444444"/>
          <w:sz w:val="27"/>
          <w:szCs w:val="27"/>
          <w:lang w:val="en" w:eastAsia="tr-TR"/>
        </w:rPr>
        <w:t xml:space="preserve">* KEY TERM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b/>
          <w:bCs/>
          <w:color w:val="444444"/>
          <w:sz w:val="27"/>
          <w:szCs w:val="27"/>
          <w:lang w:val="en" w:eastAsia="tr-TR"/>
        </w:rPr>
        <w:t>Payment services:</w:t>
      </w:r>
      <w:r w:rsidRPr="0026574D">
        <w:rPr>
          <w:rFonts w:ascii="Arial" w:eastAsia="Times New Roman" w:hAnsi="Arial" w:cs="Arial"/>
          <w:color w:val="444444"/>
          <w:sz w:val="27"/>
          <w:szCs w:val="27"/>
          <w:lang w:val="en" w:eastAsia="tr-TR"/>
        </w:rPr>
        <w:t xml:space="preserve"> services enabling cash to be deposited in or withdrawn from, for example, a bank account, as well as all the operations required to operate the account. This can include transfers of funds, direct debits, credit transfers and card payments. Paper transactions are not covered by the directive.</w:t>
      </w:r>
    </w:p>
    <w:p w:rsidR="0026574D" w:rsidRPr="0026574D" w:rsidRDefault="0026574D" w:rsidP="0026574D">
      <w:pPr>
        <w:shd w:val="clear" w:color="auto" w:fill="EEEEEE"/>
        <w:spacing w:before="390" w:after="195" w:line="240" w:lineRule="auto"/>
        <w:rPr>
          <w:rFonts w:ascii="Arial" w:eastAsia="Times New Roman" w:hAnsi="Arial" w:cs="Arial"/>
          <w:b/>
          <w:bCs/>
          <w:color w:val="444444"/>
          <w:sz w:val="27"/>
          <w:szCs w:val="27"/>
          <w:lang w:val="en" w:eastAsia="tr-TR"/>
        </w:rPr>
      </w:pPr>
      <w:r w:rsidRPr="0026574D">
        <w:rPr>
          <w:rFonts w:ascii="Arial" w:eastAsia="Times New Roman" w:hAnsi="Arial" w:cs="Arial"/>
          <w:b/>
          <w:bCs/>
          <w:color w:val="444444"/>
          <w:sz w:val="27"/>
          <w:szCs w:val="27"/>
          <w:lang w:val="en" w:eastAsia="tr-TR"/>
        </w:rPr>
        <w:t xml:space="preserve">MAIN DOCUMENT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Directive (EU) </w:t>
      </w:r>
      <w:hyperlink r:id="rId13" w:history="1">
        <w:r w:rsidRPr="0026574D">
          <w:rPr>
            <w:rFonts w:ascii="Arial" w:eastAsia="Times New Roman" w:hAnsi="Arial" w:cs="Arial"/>
            <w:color w:val="0000FF"/>
            <w:sz w:val="27"/>
            <w:szCs w:val="27"/>
            <w:u w:val="single"/>
            <w:lang w:val="en" w:eastAsia="tr-TR"/>
          </w:rPr>
          <w:t>2015/2366</w:t>
        </w:r>
      </w:hyperlink>
      <w:r w:rsidRPr="0026574D">
        <w:rPr>
          <w:rFonts w:ascii="Arial" w:eastAsia="Times New Roman" w:hAnsi="Arial" w:cs="Arial"/>
          <w:color w:val="444444"/>
          <w:sz w:val="27"/>
          <w:szCs w:val="27"/>
          <w:lang w:val="en" w:eastAsia="tr-TR"/>
        </w:rPr>
        <w:t xml:space="preserve"> of the European Parliament and of the Council of 25 November 2015 on payment services in the internal market, amending Directives 2002/65/EC, 2009/110/EC and 2013/36/EU and Regulation (EU) No 1093/2010, and repealing Directive 2007/64/EC (OJ L 337, 23.12.2015, pp. 35-127)</w:t>
      </w:r>
    </w:p>
    <w:p w:rsidR="0026574D" w:rsidRPr="0026574D" w:rsidRDefault="0026574D" w:rsidP="0026574D">
      <w:pPr>
        <w:shd w:val="clear" w:color="auto" w:fill="EEEEEE"/>
        <w:spacing w:before="390" w:after="195" w:line="240" w:lineRule="auto"/>
        <w:rPr>
          <w:rFonts w:ascii="Arial" w:eastAsia="Times New Roman" w:hAnsi="Arial" w:cs="Arial"/>
          <w:b/>
          <w:bCs/>
          <w:color w:val="444444"/>
          <w:sz w:val="27"/>
          <w:szCs w:val="27"/>
          <w:lang w:val="en" w:eastAsia="tr-TR"/>
        </w:rPr>
      </w:pPr>
      <w:r w:rsidRPr="0026574D">
        <w:rPr>
          <w:rFonts w:ascii="Arial" w:eastAsia="Times New Roman" w:hAnsi="Arial" w:cs="Arial"/>
          <w:b/>
          <w:bCs/>
          <w:color w:val="444444"/>
          <w:sz w:val="27"/>
          <w:szCs w:val="27"/>
          <w:lang w:val="en" w:eastAsia="tr-TR"/>
        </w:rPr>
        <w:t xml:space="preserve">RELATED ACTS </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Directive </w:t>
      </w:r>
      <w:hyperlink r:id="rId14" w:history="1">
        <w:r w:rsidRPr="0026574D">
          <w:rPr>
            <w:rFonts w:ascii="Arial" w:eastAsia="Times New Roman" w:hAnsi="Arial" w:cs="Arial"/>
            <w:color w:val="0000FF"/>
            <w:sz w:val="27"/>
            <w:szCs w:val="27"/>
            <w:u w:val="single"/>
            <w:lang w:val="en" w:eastAsia="tr-TR"/>
          </w:rPr>
          <w:t>2007/64/EC</w:t>
        </w:r>
      </w:hyperlink>
      <w:r w:rsidRPr="0026574D">
        <w:rPr>
          <w:rFonts w:ascii="Arial" w:eastAsia="Times New Roman" w:hAnsi="Arial" w:cs="Arial"/>
          <w:color w:val="444444"/>
          <w:sz w:val="27"/>
          <w:szCs w:val="27"/>
          <w:lang w:val="en" w:eastAsia="tr-TR"/>
        </w:rPr>
        <w:t xml:space="preserve"> of the European Parliament and of the Council of 13 November 2007 on payment services in the internal market amending Directives 97/7/EC, 2002/65/EC, 2005/60/EC and 2006/48/EC and repealing Directive 97/5/EC (OJ L 319, 5.12.2007, pp. 1-36)</w:t>
      </w:r>
    </w:p>
    <w:p w:rsidR="0026574D" w:rsidRPr="0026574D" w:rsidRDefault="0026574D" w:rsidP="0026574D">
      <w:pPr>
        <w:shd w:val="clear" w:color="auto" w:fill="EEEEEE"/>
        <w:spacing w:before="195" w:after="0" w:line="240" w:lineRule="auto"/>
        <w:jc w:val="both"/>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Successive amendments to Directive 2007/64/EC have been incorporated in the basic text. This </w:t>
      </w:r>
      <w:hyperlink r:id="rId15" w:history="1">
        <w:r w:rsidRPr="0026574D">
          <w:rPr>
            <w:rFonts w:ascii="Arial" w:eastAsia="Times New Roman" w:hAnsi="Arial" w:cs="Arial"/>
            <w:color w:val="0000FF"/>
            <w:sz w:val="27"/>
            <w:szCs w:val="27"/>
            <w:u w:val="single"/>
            <w:lang w:val="en" w:eastAsia="tr-TR"/>
          </w:rPr>
          <w:t>consolidated version</w:t>
        </w:r>
      </w:hyperlink>
      <w:r w:rsidRPr="0026574D">
        <w:rPr>
          <w:rFonts w:ascii="Arial" w:eastAsia="Times New Roman" w:hAnsi="Arial" w:cs="Arial"/>
          <w:color w:val="444444"/>
          <w:sz w:val="27"/>
          <w:szCs w:val="27"/>
          <w:lang w:val="en" w:eastAsia="tr-TR"/>
        </w:rPr>
        <w:t xml:space="preserve"> is of documentary value only.</w:t>
      </w:r>
    </w:p>
    <w:p w:rsidR="0026574D" w:rsidRPr="0026574D" w:rsidRDefault="0026574D" w:rsidP="0026574D">
      <w:pPr>
        <w:shd w:val="clear" w:color="auto" w:fill="EEEEEE"/>
        <w:spacing w:before="195" w:line="240" w:lineRule="auto"/>
        <w:jc w:val="both"/>
        <w:rPr>
          <w:rFonts w:ascii="Arial" w:eastAsia="Times New Roman" w:hAnsi="Arial" w:cs="Arial"/>
          <w:color w:val="444444"/>
          <w:sz w:val="27"/>
          <w:szCs w:val="27"/>
          <w:lang w:val="en" w:eastAsia="tr-TR"/>
        </w:rPr>
      </w:pPr>
      <w:r w:rsidRPr="0026574D">
        <w:rPr>
          <w:rFonts w:ascii="Arial" w:eastAsia="Times New Roman" w:hAnsi="Arial" w:cs="Arial"/>
          <w:color w:val="444444"/>
          <w:sz w:val="27"/>
          <w:szCs w:val="27"/>
          <w:lang w:val="en" w:eastAsia="tr-TR"/>
        </w:rPr>
        <w:t xml:space="preserve">Regulation (EU) </w:t>
      </w:r>
      <w:hyperlink r:id="rId16" w:history="1">
        <w:r w:rsidRPr="0026574D">
          <w:rPr>
            <w:rFonts w:ascii="Arial" w:eastAsia="Times New Roman" w:hAnsi="Arial" w:cs="Arial"/>
            <w:color w:val="0000FF"/>
            <w:sz w:val="27"/>
            <w:szCs w:val="27"/>
            <w:u w:val="single"/>
            <w:lang w:val="en" w:eastAsia="tr-TR"/>
          </w:rPr>
          <w:t>2015/751</w:t>
        </w:r>
      </w:hyperlink>
      <w:r w:rsidRPr="0026574D">
        <w:rPr>
          <w:rFonts w:ascii="Arial" w:eastAsia="Times New Roman" w:hAnsi="Arial" w:cs="Arial"/>
          <w:color w:val="444444"/>
          <w:sz w:val="27"/>
          <w:szCs w:val="27"/>
          <w:lang w:val="en" w:eastAsia="tr-TR"/>
        </w:rPr>
        <w:t xml:space="preserve"> of the European Parliament and of the Council of 29 April 2015 on interchange fees for card-based payment transactions (OJ L 123, 19.5.2015, pp. 1-15)</w:t>
      </w:r>
    </w:p>
    <w:p w:rsidR="00D44C2E" w:rsidRDefault="00D44C2E">
      <w:bookmarkStart w:id="0" w:name="_GoBack"/>
      <w:bookmarkEnd w:id="0"/>
    </w:p>
    <w:sectPr w:rsidR="00D44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18F1"/>
    <w:multiLevelType w:val="multilevel"/>
    <w:tmpl w:val="3B8E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DE76EE"/>
    <w:multiLevelType w:val="multilevel"/>
    <w:tmpl w:val="9E468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9543E9"/>
    <w:multiLevelType w:val="multilevel"/>
    <w:tmpl w:val="2B54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5E146E"/>
    <w:multiLevelType w:val="multilevel"/>
    <w:tmpl w:val="ECE0D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D21D69"/>
    <w:multiLevelType w:val="multilevel"/>
    <w:tmpl w:val="D842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AA50F5"/>
    <w:multiLevelType w:val="multilevel"/>
    <w:tmpl w:val="1DBE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4D"/>
    <w:rsid w:val="0026574D"/>
    <w:rsid w:val="00D44C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CF950-A059-4C50-8C03-0B825E3B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574D"/>
    <w:rPr>
      <w:color w:val="0000FF"/>
      <w:u w:val="single"/>
    </w:rPr>
  </w:style>
  <w:style w:type="character" w:customStyle="1" w:styleId="bold1">
    <w:name w:val="bold1"/>
    <w:basedOn w:val="DefaultParagraphFont"/>
    <w:rsid w:val="0026574D"/>
    <w:rPr>
      <w:b/>
      <w:bCs/>
    </w:rPr>
  </w:style>
  <w:style w:type="paragraph" w:customStyle="1" w:styleId="normal2">
    <w:name w:val="normal2"/>
    <w:basedOn w:val="Normal"/>
    <w:rsid w:val="0026574D"/>
    <w:pPr>
      <w:spacing w:before="195" w:after="0" w:line="240" w:lineRule="auto"/>
      <w:jc w:val="both"/>
    </w:pPr>
    <w:rPr>
      <w:rFonts w:ascii="Times New Roman" w:eastAsia="Times New Roman" w:hAnsi="Times New Roman" w:cs="Times New Roman"/>
      <w:sz w:val="24"/>
      <w:szCs w:val="24"/>
      <w:lang w:eastAsia="tr-TR"/>
    </w:rPr>
  </w:style>
  <w:style w:type="paragraph" w:customStyle="1" w:styleId="ti-chapter2">
    <w:name w:val="ti-chapter2"/>
    <w:basedOn w:val="Normal"/>
    <w:rsid w:val="0026574D"/>
    <w:pPr>
      <w:spacing w:before="390" w:after="195" w:line="240" w:lineRule="auto"/>
    </w:pPr>
    <w:rPr>
      <w:rFonts w:ascii="Times New Roman" w:eastAsia="Times New Roman" w:hAnsi="Times New Roman" w:cs="Times New Roman"/>
      <w:b/>
      <w:bCs/>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59670">
      <w:bodyDiv w:val="1"/>
      <w:marLeft w:val="0"/>
      <w:marRight w:val="0"/>
      <w:marTop w:val="0"/>
      <w:marBottom w:val="0"/>
      <w:divBdr>
        <w:top w:val="none" w:sz="0" w:space="0" w:color="auto"/>
        <w:left w:val="none" w:sz="0" w:space="0" w:color="auto"/>
        <w:bottom w:val="none" w:sz="0" w:space="0" w:color="auto"/>
        <w:right w:val="none" w:sz="0" w:space="0" w:color="auto"/>
      </w:divBdr>
      <w:divsChild>
        <w:div w:id="1897012995">
          <w:marLeft w:val="0"/>
          <w:marRight w:val="0"/>
          <w:marTop w:val="0"/>
          <w:marBottom w:val="0"/>
          <w:divBdr>
            <w:top w:val="none" w:sz="0" w:space="0" w:color="auto"/>
            <w:left w:val="none" w:sz="0" w:space="0" w:color="auto"/>
            <w:bottom w:val="none" w:sz="0" w:space="0" w:color="auto"/>
            <w:right w:val="none" w:sz="0" w:space="0" w:color="auto"/>
          </w:divBdr>
          <w:divsChild>
            <w:div w:id="2013221793">
              <w:marLeft w:val="0"/>
              <w:marRight w:val="0"/>
              <w:marTop w:val="0"/>
              <w:marBottom w:val="0"/>
              <w:divBdr>
                <w:top w:val="none" w:sz="0" w:space="0" w:color="auto"/>
                <w:left w:val="none" w:sz="0" w:space="0" w:color="auto"/>
                <w:bottom w:val="none" w:sz="0" w:space="0" w:color="auto"/>
                <w:right w:val="none" w:sz="0" w:space="0" w:color="auto"/>
              </w:divBdr>
              <w:divsChild>
                <w:div w:id="1526022792">
                  <w:marLeft w:val="0"/>
                  <w:marRight w:val="0"/>
                  <w:marTop w:val="0"/>
                  <w:marBottom w:val="0"/>
                  <w:divBdr>
                    <w:top w:val="none" w:sz="0" w:space="0" w:color="auto"/>
                    <w:left w:val="none" w:sz="0" w:space="0" w:color="auto"/>
                    <w:bottom w:val="none" w:sz="0" w:space="0" w:color="auto"/>
                    <w:right w:val="none" w:sz="0" w:space="0" w:color="auto"/>
                  </w:divBdr>
                  <w:divsChild>
                    <w:div w:id="1076174592">
                      <w:marLeft w:val="1"/>
                      <w:marRight w:val="1"/>
                      <w:marTop w:val="0"/>
                      <w:marBottom w:val="0"/>
                      <w:divBdr>
                        <w:top w:val="none" w:sz="0" w:space="0" w:color="auto"/>
                        <w:left w:val="none" w:sz="0" w:space="0" w:color="auto"/>
                        <w:bottom w:val="none" w:sz="0" w:space="0" w:color="auto"/>
                        <w:right w:val="none" w:sz="0" w:space="0" w:color="auto"/>
                      </w:divBdr>
                      <w:divsChild>
                        <w:div w:id="1841236357">
                          <w:marLeft w:val="0"/>
                          <w:marRight w:val="0"/>
                          <w:marTop w:val="0"/>
                          <w:marBottom w:val="0"/>
                          <w:divBdr>
                            <w:top w:val="none" w:sz="0" w:space="0" w:color="auto"/>
                            <w:left w:val="none" w:sz="0" w:space="0" w:color="auto"/>
                            <w:bottom w:val="none" w:sz="0" w:space="0" w:color="auto"/>
                            <w:right w:val="none" w:sz="0" w:space="0" w:color="auto"/>
                          </w:divBdr>
                          <w:divsChild>
                            <w:div w:id="2028094575">
                              <w:marLeft w:val="0"/>
                              <w:marRight w:val="0"/>
                              <w:marTop w:val="0"/>
                              <w:marBottom w:val="0"/>
                              <w:divBdr>
                                <w:top w:val="none" w:sz="0" w:space="0" w:color="auto"/>
                                <w:left w:val="none" w:sz="0" w:space="0" w:color="auto"/>
                                <w:bottom w:val="none" w:sz="0" w:space="0" w:color="auto"/>
                                <w:right w:val="none" w:sz="0" w:space="0" w:color="auto"/>
                              </w:divBdr>
                              <w:divsChild>
                                <w:div w:id="819346526">
                                  <w:marLeft w:val="0"/>
                                  <w:marRight w:val="0"/>
                                  <w:marTop w:val="0"/>
                                  <w:marBottom w:val="360"/>
                                  <w:divBdr>
                                    <w:top w:val="none" w:sz="0" w:space="0" w:color="auto"/>
                                    <w:left w:val="none" w:sz="0" w:space="0" w:color="auto"/>
                                    <w:bottom w:val="none" w:sz="0" w:space="0" w:color="auto"/>
                                    <w:right w:val="none" w:sz="0" w:space="0" w:color="auto"/>
                                  </w:divBdr>
                                  <w:divsChild>
                                    <w:div w:id="121847660">
                                      <w:marLeft w:val="0"/>
                                      <w:marRight w:val="0"/>
                                      <w:marTop w:val="0"/>
                                      <w:marBottom w:val="0"/>
                                      <w:divBdr>
                                        <w:top w:val="none" w:sz="0" w:space="0" w:color="auto"/>
                                        <w:left w:val="none" w:sz="0" w:space="0" w:color="auto"/>
                                        <w:bottom w:val="none" w:sz="0" w:space="0" w:color="auto"/>
                                        <w:right w:val="none" w:sz="0" w:space="0" w:color="auto"/>
                                      </w:divBdr>
                                      <w:divsChild>
                                        <w:div w:id="1578591232">
                                          <w:marLeft w:val="0"/>
                                          <w:marRight w:val="0"/>
                                          <w:marTop w:val="0"/>
                                          <w:marBottom w:val="0"/>
                                          <w:divBdr>
                                            <w:top w:val="none" w:sz="0" w:space="0" w:color="auto"/>
                                            <w:left w:val="none" w:sz="0" w:space="0" w:color="auto"/>
                                            <w:bottom w:val="none" w:sz="0" w:space="0" w:color="auto"/>
                                            <w:right w:val="none" w:sz="0" w:space="0" w:color="auto"/>
                                          </w:divBdr>
                                          <w:divsChild>
                                            <w:div w:id="533467360">
                                              <w:marLeft w:val="0"/>
                                              <w:marRight w:val="0"/>
                                              <w:marTop w:val="0"/>
                                              <w:marBottom w:val="0"/>
                                              <w:divBdr>
                                                <w:top w:val="none" w:sz="0" w:space="0" w:color="auto"/>
                                                <w:left w:val="none" w:sz="0" w:space="0" w:color="auto"/>
                                                <w:bottom w:val="none" w:sz="0" w:space="0" w:color="auto"/>
                                                <w:right w:val="none" w:sz="0" w:space="0" w:color="auto"/>
                                              </w:divBdr>
                                              <w:divsChild>
                                                <w:div w:id="13149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lex.europa.eu/legal-content/EN/AUTO/?uri=uriserv:24040603_1" TargetMode="External"/><Relationship Id="rId13" Type="http://schemas.openxmlformats.org/officeDocument/2006/relationships/hyperlink" Target="http://eur-lex.europa.eu/legal-content/EN/AUTO/?uri=celex:32015L236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c.europa.eu/finance/payments/sepa/index_en.htm" TargetMode="External"/><Relationship Id="rId12" Type="http://schemas.openxmlformats.org/officeDocument/2006/relationships/hyperlink" Target="http://ec.europa.eu/finance/payments/framework/index_en.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ur-lex.europa.eu/legal-content/EN/AUTO/?uri=celex:32015R0751" TargetMode="External"/><Relationship Id="rId1" Type="http://schemas.openxmlformats.org/officeDocument/2006/relationships/numbering" Target="numbering.xml"/><Relationship Id="rId6" Type="http://schemas.openxmlformats.org/officeDocument/2006/relationships/hyperlink" Target="http://eur-lex.europa.eu/summary/EN/LEGISSUM:2404020302_1?celex=CELEX:32015L2366" TargetMode="External"/><Relationship Id="rId11" Type="http://schemas.openxmlformats.org/officeDocument/2006/relationships/hyperlink" Target="http://eur-lex.europa.eu/legal-content/EN/AUTO/?uri=uriserv:l33226" TargetMode="External"/><Relationship Id="rId5" Type="http://schemas.openxmlformats.org/officeDocument/2006/relationships/hyperlink" Target="http://eur-lex.europa.eu/legal-content/EN/AUTO/?uri=celex:32015L2366" TargetMode="External"/><Relationship Id="rId15" Type="http://schemas.openxmlformats.org/officeDocument/2006/relationships/hyperlink" Target="http://eur-lex.europa.eu/legal-content/EN/AUTO/?uri=celex:02007L0064-20091207" TargetMode="External"/><Relationship Id="rId10" Type="http://schemas.openxmlformats.org/officeDocument/2006/relationships/hyperlink" Target="http://eur-lex.europa.eu/summary/glossary/european_banking_authority.html" TargetMode="External"/><Relationship Id="rId4" Type="http://schemas.openxmlformats.org/officeDocument/2006/relationships/webSettings" Target="webSettings.xml"/><Relationship Id="rId9" Type="http://schemas.openxmlformats.org/officeDocument/2006/relationships/hyperlink" Target="http://eur-lex.europa.eu/summary/glossary/european_commission.html" TargetMode="External"/><Relationship Id="rId14" Type="http://schemas.openxmlformats.org/officeDocument/2006/relationships/hyperlink" Target="http://eur-lex.europa.eu/legal-content/EN/AUTO/?uri=celex:32007L0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Değirmenci</dc:creator>
  <cp:keywords/>
  <dc:description/>
  <cp:lastModifiedBy>Serhat Değirmenci</cp:lastModifiedBy>
  <cp:revision>1</cp:revision>
  <dcterms:created xsi:type="dcterms:W3CDTF">2017-08-02T10:31:00Z</dcterms:created>
  <dcterms:modified xsi:type="dcterms:W3CDTF">2017-08-02T10:31:00Z</dcterms:modified>
</cp:coreProperties>
</file>