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aps/>
          <w:color w:themeColor="accent5" w:val="4BACC6"/>
          <w:sz w:val="24"/>
          <w:szCs w:val="24"/>
          <w:lang w:val="de-DE"/>
        </w:rPr>
      </w:pPr>
      <w:r>
        <w:rPr>
          <w:caps/>
          <w:color w:themeColor="accent5" w:val="4BACC6"/>
          <w:sz w:val="24"/>
          <w:szCs w:val="24"/>
          <w:lang w:val="de-DE"/>
        </w:rPr>
        <mc:AlternateContent>
          <mc:Choice Requires="wps">
            <w:drawing>
              <wp:anchor distT="635" distB="12065" distL="182880" distR="189230" simplePos="0" relativeHeight="4" behindDoc="0" locked="0" layoutInCell="0" allowOverlap="1">
                <wp:simplePos x="0" y="0"/>
                <wp:positionH relativeFrom="margin">
                  <wp:posOffset>-867410</wp:posOffset>
                </wp:positionH>
                <wp:positionV relativeFrom="page">
                  <wp:posOffset>2825750</wp:posOffset>
                </wp:positionV>
                <wp:extent cx="6718300" cy="2700655"/>
                <wp:effectExtent l="0" t="635" r="0" b="0"/>
                <wp:wrapSquare wrapText="bothSides"/>
                <wp:docPr id="1" name="Textfeld 131"/>
                <a:graphic xmlns:a="http://schemas.openxmlformats.org/drawingml/2006/main">
                  <a:graphicData uri="http://schemas.microsoft.com/office/word/2010/wordprocessingShape">
                    <wps:wsp>
                      <wps:cNvSpPr/>
                      <wps:spPr>
                        <a:xfrm>
                          <a:off x="0" y="0"/>
                          <a:ext cx="6718320" cy="2700720"/>
                        </a:xfrm>
                        <a:prstGeom prst="rect">
                          <a:avLst/>
                        </a:prstGeom>
                        <a:noFill/>
                        <a:ln w="6480">
                          <a:noFill/>
                        </a:ln>
                      </wps:spPr>
                      <wps:style>
                        <a:lnRef idx="0"/>
                        <a:fillRef idx="0"/>
                        <a:effectRef idx="0"/>
                        <a:fontRef idx="minor"/>
                      </wps:style>
                      <wps:txbx>
                        <w:txbxContent>
                          <w:p>
                            <w:pPr>
                              <w:pStyle w:val="NoSpacing"/>
                              <w:spacing w:lineRule="auto" w:line="216" w:before="40" w:after="560"/>
                              <w:jc w:val="center"/>
                              <w:rPr>
                                <w:color w:themeColor="accent1" w:val="4F81BD"/>
                                <w:sz w:val="72"/>
                                <w:szCs w:val="72"/>
                              </w:rPr>
                            </w:pPr>
                            <w:r>
                              <w:rPr>
                                <w:color w:themeColor="accent1" w:val="4F81BD"/>
                                <w:sz w:val="72"/>
                                <w:szCs w:val="72"/>
                              </w:rPr>
                              <w:t xml:space="preserve">CO2 EMISSIONS PROJECT </w:t>
                            </w:r>
                          </w:p>
                          <w:p>
                            <w:pPr>
                              <w:pStyle w:val="NoSpacing"/>
                              <w:spacing w:lineRule="auto" w:line="216" w:before="40" w:after="560"/>
                              <w:jc w:val="center"/>
                              <w:rPr>
                                <w:color w:themeColor="accent1" w:val="4F81BD"/>
                                <w:sz w:val="72"/>
                                <w:szCs w:val="72"/>
                              </w:rPr>
                            </w:pPr>
                            <w:r>
                              <w:rPr>
                                <w:color w:themeColor="accent1" w:val="4F81BD"/>
                                <w:sz w:val="72"/>
                                <w:szCs w:val="72"/>
                              </w:rPr>
                              <w:t>FINAL REPORT</w:t>
                            </w:r>
                          </w:p>
                          <w:p>
                            <w:pPr>
                              <w:pStyle w:val="NoSpacing"/>
                              <w:spacing w:lineRule="auto" w:line="216" w:before="40" w:after="560"/>
                              <w:jc w:val="start"/>
                              <w:rPr>
                                <w:color w:themeColor="accent1" w:val="4F81BD"/>
                                <w:sz w:val="72"/>
                                <w:szCs w:val="72"/>
                              </w:rPr>
                            </w:pPr>
                            <w:r>
                              <w:rPr>
                                <w:color w:themeColor="accent1" w:val="4F81BD"/>
                                <w:sz w:val="72"/>
                                <w:szCs w:val="72"/>
                              </w:rPr>
                            </w:r>
                          </w:p>
                          <w:p>
                            <w:pPr>
                              <w:pStyle w:val="NoSpacing"/>
                              <w:spacing w:before="80" w:after="40"/>
                              <w:rPr>
                                <w:caps/>
                                <w:color w:themeColor="accent5" w:val="4BACC6"/>
                                <w:sz w:val="24"/>
                                <w:szCs w:val="24"/>
                                <w:lang w:val="de-DE"/>
                              </w:rPr>
                            </w:pPr>
                            <w:sdt>
                              <w:sdtPr>
                                <w:alias w:val="Autor"/>
                                <w:id w:val="-1536112409"/>
                                <w:showingPlcHdr/>
                                <w:text/>
                              </w:sdtPr>
                              <w:sdtContent>
                                <w:r>
                                  <w:rPr/>
                                </w:r>
                                <w:r>
                                  <w:rPr/>
                                </w:r>
                              </w:sdtContent>
                            </w:sdt>
                          </w:p>
                        </w:txbxContent>
                      </wps:txbx>
                      <wps:bodyPr lIns="0" tIns="0" rIns="0" bIns="0" anchor="t">
                        <a:spAutoFit/>
                      </wps:bodyPr>
                    </wps:wsp>
                  </a:graphicData>
                </a:graphic>
                <wp14:sizeRelV relativeFrom="page">
                  <wp14:pctHeight>35000</wp14:pctHeight>
                </wp14:sizeRelV>
              </wp:anchor>
            </w:drawing>
          </mc:Choice>
          <mc:Fallback>
            <w:pict>
              <v:rect id="shape_0" stroked="f" o:allowincell="f" style="position:absolute;margin-left:-68.3pt;margin-top:222.5pt;width:528.95pt;height:212.6pt;mso-wrap-style:square;v-text-anchor:top;mso-position-horizontal-relative:margin;mso-position-vertical-relative:page">
                <v:fill o:detectmouseclick="t" on="false"/>
                <v:stroke color="#3465a4" weight="6480" joinstyle="round" endcap="flat"/>
                <v:textbox>
                  <w:txbxContent>
                    <w:p>
                      <w:pPr>
                        <w:pStyle w:val="NoSpacing"/>
                        <w:spacing w:lineRule="auto" w:line="216" w:before="40" w:after="560"/>
                        <w:jc w:val="center"/>
                        <w:rPr>
                          <w:color w:themeColor="accent1" w:val="4F81BD"/>
                          <w:sz w:val="72"/>
                          <w:szCs w:val="72"/>
                        </w:rPr>
                      </w:pPr>
                      <w:r>
                        <w:rPr>
                          <w:color w:themeColor="accent1" w:val="4F81BD"/>
                          <w:sz w:val="72"/>
                          <w:szCs w:val="72"/>
                        </w:rPr>
                        <w:t xml:space="preserve">CO2 EMISSIONS PROJECT </w:t>
                      </w:r>
                    </w:p>
                    <w:p>
                      <w:pPr>
                        <w:pStyle w:val="NoSpacing"/>
                        <w:spacing w:lineRule="auto" w:line="216" w:before="40" w:after="560"/>
                        <w:jc w:val="center"/>
                        <w:rPr>
                          <w:color w:themeColor="accent1" w:val="4F81BD"/>
                          <w:sz w:val="72"/>
                          <w:szCs w:val="72"/>
                        </w:rPr>
                      </w:pPr>
                      <w:r>
                        <w:rPr>
                          <w:color w:themeColor="accent1" w:val="4F81BD"/>
                          <w:sz w:val="72"/>
                          <w:szCs w:val="72"/>
                        </w:rPr>
                        <w:t>FINAL REPORT</w:t>
                      </w:r>
                    </w:p>
                    <w:p>
                      <w:pPr>
                        <w:pStyle w:val="NoSpacing"/>
                        <w:spacing w:lineRule="auto" w:line="216" w:before="40" w:after="560"/>
                        <w:jc w:val="start"/>
                        <w:rPr>
                          <w:color w:themeColor="accent1" w:val="4F81BD"/>
                          <w:sz w:val="72"/>
                          <w:szCs w:val="72"/>
                        </w:rPr>
                      </w:pPr>
                      <w:r>
                        <w:rPr>
                          <w:color w:themeColor="accent1" w:val="4F81BD"/>
                          <w:sz w:val="72"/>
                          <w:szCs w:val="72"/>
                        </w:rPr>
                      </w:r>
                    </w:p>
                    <w:p>
                      <w:pPr>
                        <w:pStyle w:val="NoSpacing"/>
                        <w:spacing w:before="80" w:after="40"/>
                        <w:rPr>
                          <w:caps/>
                          <w:color w:themeColor="accent5" w:val="4BACC6"/>
                          <w:sz w:val="24"/>
                          <w:szCs w:val="24"/>
                          <w:lang w:val="de-DE"/>
                        </w:rPr>
                      </w:pPr>
                      <w:sdt>
                        <w:sdtPr>
                          <w:alias w:val="Autor"/>
                          <w:id w:val="-1536112409"/>
                          <w:showingPlcHdr/>
                          <w:text/>
                        </w:sdtPr>
                        <w:sdtContent>
                          <w:r>
                            <w:rPr/>
                          </w:r>
                          <w:r>
                            <w:rPr/>
                          </w:r>
                        </w:sdtContent>
                      </w:sdt>
                    </w:p>
                  </w:txbxContent>
                </v:textbox>
                <w10:wrap type="square"/>
              </v:rect>
            </w:pict>
          </mc:Fallback>
        </mc:AlternateContent>
        <mc:AlternateContent>
          <mc:Choice Requires="wps">
            <w:drawing>
              <wp:anchor distT="40005" distB="66040" distL="109220" distR="0" simplePos="0" relativeHeight="6" behindDoc="0" locked="0" layoutInCell="0" allowOverlap="1">
                <wp:simplePos x="0" y="0"/>
                <wp:positionH relativeFrom="margin">
                  <wp:align>right</wp:align>
                </wp:positionH>
                <wp:positionV relativeFrom="paragraph">
                  <wp:posOffset>4063365</wp:posOffset>
                </wp:positionV>
                <wp:extent cx="5480050" cy="2104390"/>
                <wp:effectExtent l="5080" t="5080" r="5080" b="5080"/>
                <wp:wrapSquare wrapText="bothSides"/>
                <wp:docPr id="2" name="Text Box 2"/>
                <a:graphic xmlns:a="http://schemas.openxmlformats.org/drawingml/2006/main">
                  <a:graphicData uri="http://schemas.microsoft.com/office/word/2010/wordprocessingShape">
                    <wps:wsp>
                      <wps:cNvSpPr/>
                      <wps:spPr>
                        <a:xfrm>
                          <a:off x="0" y="0"/>
                          <a:ext cx="5479920" cy="210456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center"/>
                              <w:rPr>
                                <w:rFonts w:ascii="Arial" w:hAnsi="Arial" w:cs="Arial"/>
                                <w:sz w:val="28"/>
                                <w:szCs w:val="28"/>
                                <w:lang w:val="en-GB"/>
                              </w:rPr>
                            </w:pPr>
                            <w:r>
                              <w:rPr>
                                <w:rFonts w:cs="Arial" w:ascii="Arial" w:hAnsi="Arial"/>
                                <w:b/>
                                <w:bCs/>
                                <w:color w:val="000000"/>
                                <w:sz w:val="28"/>
                                <w:szCs w:val="28"/>
                                <w:lang w:val="en-GB"/>
                              </w:rPr>
                              <w:t xml:space="preserve">Project Team: </w:t>
                            </w:r>
                            <w:r>
                              <w:rPr>
                                <w:rFonts w:cs="Arial" w:ascii="Arial" w:hAnsi="Arial"/>
                                <w:color w:val="000000"/>
                                <w:sz w:val="28"/>
                                <w:szCs w:val="28"/>
                                <w:lang w:val="en-GB"/>
                              </w:rPr>
                              <w:t>#jul26_bds_int_co2</w:t>
                            </w:r>
                          </w:p>
                          <w:p>
                            <w:pPr>
                              <w:pStyle w:val="FrameContentsuser"/>
                              <w:jc w:val="center"/>
                              <w:rPr>
                                <w:rFonts w:ascii="Arial" w:hAnsi="Arial" w:cs="Arial"/>
                                <w:b/>
                                <w:bCs/>
                                <w:color w:val="000000"/>
                                <w:sz w:val="28"/>
                                <w:szCs w:val="28"/>
                                <w:lang w:val="en-GB"/>
                              </w:rPr>
                            </w:pPr>
                            <w:r>
                              <w:rPr>
                                <w:rFonts w:cs="Arial" w:ascii="Arial" w:hAnsi="Arial"/>
                                <w:b/>
                                <w:bCs/>
                                <w:color w:val="000000"/>
                                <w:sz w:val="28"/>
                                <w:szCs w:val="28"/>
                                <w:lang w:val="en-GB"/>
                              </w:rPr>
                              <w:t>Serhat Gemici</w:t>
                            </w:r>
                          </w:p>
                          <w:p>
                            <w:pPr>
                              <w:pStyle w:val="FrameContentsuser"/>
                              <w:jc w:val="center"/>
                              <w:rPr>
                                <w:rFonts w:ascii="Arial" w:hAnsi="Arial" w:cs="Arial"/>
                                <w:b w:val="false"/>
                                <w:bCs w:val="false"/>
                                <w:color w:val="000000"/>
                                <w:sz w:val="28"/>
                                <w:szCs w:val="28"/>
                                <w:lang w:val="en-GB"/>
                              </w:rPr>
                            </w:pPr>
                            <w:r>
                              <w:rPr>
                                <w:rFonts w:cs="Arial" w:ascii="Arial" w:hAnsi="Arial"/>
                                <w:b w:val="false"/>
                                <w:bCs w:val="false"/>
                                <w:color w:val="000000"/>
                                <w:sz w:val="28"/>
                                <w:szCs w:val="28"/>
                                <w:lang w:val="en-GB"/>
                              </w:rPr>
                              <w:t xml:space="preserve">Computer Engineer </w:t>
                            </w:r>
                          </w:p>
                          <w:p>
                            <w:pPr>
                              <w:pStyle w:val="FrameContentsuser"/>
                              <w:jc w:val="center"/>
                              <w:rPr>
                                <w:rFonts w:ascii="Arial" w:hAnsi="Arial" w:cs="Arial"/>
                                <w:b w:val="false"/>
                                <w:bCs w:val="false"/>
                                <w:color w:val="000000"/>
                                <w:sz w:val="28"/>
                                <w:szCs w:val="28"/>
                                <w:lang w:val="en-GB"/>
                              </w:rPr>
                            </w:pPr>
                            <w:r>
                              <w:rPr>
                                <w:rFonts w:cs="Arial" w:ascii="Arial" w:hAnsi="Arial"/>
                                <w:b w:val="false"/>
                                <w:bCs w:val="false"/>
                                <w:color w:val="000000"/>
                                <w:sz w:val="28"/>
                                <w:szCs w:val="28"/>
                                <w:lang w:val="en-GB"/>
                              </w:rPr>
                              <w:t>Specialised in Soft Computing and Software Quality</w:t>
                            </w:r>
                          </w:p>
                          <w:p>
                            <w:pPr>
                              <w:pStyle w:val="FrameContentsuser"/>
                              <w:jc w:val="center"/>
                              <w:rPr>
                                <w:rFonts w:ascii="Arial" w:hAnsi="Arial" w:cs="Arial"/>
                                <w:sz w:val="28"/>
                                <w:szCs w:val="28"/>
                                <w:lang w:val="de-DE"/>
                              </w:rPr>
                            </w:pPr>
                            <w:r>
                              <w:rPr>
                                <w:rFonts w:cs="Arial" w:ascii="Arial" w:hAnsi="Arial"/>
                                <w:b/>
                                <w:bCs/>
                                <w:color w:val="000000"/>
                                <w:sz w:val="28"/>
                                <w:szCs w:val="28"/>
                                <w:lang w:val="de-DE"/>
                              </w:rPr>
                              <w:t>Mentor:</w:t>
                            </w:r>
                            <w:r>
                              <w:rPr>
                                <w:rFonts w:cs="Arial" w:ascii="Arial" w:hAnsi="Arial"/>
                                <w:color w:val="000000"/>
                                <w:sz w:val="28"/>
                                <w:szCs w:val="28"/>
                                <w:lang w:val="de-DE"/>
                              </w:rPr>
                              <w:t xml:space="preserve"> Yaniv Benichou</w:t>
                            </w:r>
                          </w:p>
                          <w:p>
                            <w:pPr>
                              <w:pStyle w:val="FrameContentsuser"/>
                              <w:spacing w:before="0" w:after="200"/>
                              <w:jc w:val="center"/>
                              <w:rPr>
                                <w:rFonts w:ascii="Arial" w:hAnsi="Arial" w:cs="Arial"/>
                                <w:sz w:val="28"/>
                                <w:szCs w:val="28"/>
                                <w:lang w:val="de-DE"/>
                              </w:rPr>
                            </w:pPr>
                            <w:r>
                              <w:rPr>
                                <w:rFonts w:cs="Arial" w:ascii="Arial" w:hAnsi="Arial"/>
                                <w:color w:val="000000"/>
                                <w:sz w:val="28"/>
                                <w:szCs w:val="28"/>
                                <w:lang w:val="de-DE"/>
                              </w:rPr>
                              <w:t>06.10.2026</w:t>
                            </w:r>
                          </w:p>
                        </w:txbxContent>
                      </wps:txbx>
                      <wps:bodyPr anchor="t">
                        <a:spAutoFit/>
                      </wps:bodyPr>
                    </wps:wsp>
                  </a:graphicData>
                </a:graphic>
                <wp14:sizeRelV relativeFrom="margin">
                  <wp14:pctHeight>20000</wp14:pctHeight>
                </wp14:sizeRelV>
              </wp:anchor>
            </w:drawing>
          </mc:Choice>
          <mc:Fallback>
            <w:pict>
              <v:rect id="shape_0" fillcolor="white" stroked="t" o:allowincell="f" style="position:absolute;margin-left:0.45pt;margin-top:319.95pt;width:431.45pt;height:165.65pt;mso-wrap-style:square;v-text-anchor:top;mso-position-horizontal:right;mso-position-horizontal-relative:margin">
                <v:fill o:detectmouseclick="t" type="solid" color2="black"/>
                <v:stroke color="black" weight="9360" joinstyle="miter" endcap="flat"/>
                <v:textbox>
                  <w:txbxContent>
                    <w:p>
                      <w:pPr>
                        <w:pStyle w:val="FrameContentsuser"/>
                        <w:jc w:val="center"/>
                        <w:rPr>
                          <w:rFonts w:ascii="Arial" w:hAnsi="Arial" w:cs="Arial"/>
                          <w:sz w:val="28"/>
                          <w:szCs w:val="28"/>
                          <w:lang w:val="en-GB"/>
                        </w:rPr>
                      </w:pPr>
                      <w:r>
                        <w:rPr>
                          <w:rFonts w:cs="Arial" w:ascii="Arial" w:hAnsi="Arial"/>
                          <w:b/>
                          <w:bCs/>
                          <w:color w:val="000000"/>
                          <w:sz w:val="28"/>
                          <w:szCs w:val="28"/>
                          <w:lang w:val="en-GB"/>
                        </w:rPr>
                        <w:t xml:space="preserve">Project Team: </w:t>
                      </w:r>
                      <w:r>
                        <w:rPr>
                          <w:rFonts w:cs="Arial" w:ascii="Arial" w:hAnsi="Arial"/>
                          <w:color w:val="000000"/>
                          <w:sz w:val="28"/>
                          <w:szCs w:val="28"/>
                          <w:lang w:val="en-GB"/>
                        </w:rPr>
                        <w:t>#jul26_bds_int_co2</w:t>
                      </w:r>
                    </w:p>
                    <w:p>
                      <w:pPr>
                        <w:pStyle w:val="FrameContentsuser"/>
                        <w:jc w:val="center"/>
                        <w:rPr>
                          <w:rFonts w:ascii="Arial" w:hAnsi="Arial" w:cs="Arial"/>
                          <w:b/>
                          <w:bCs/>
                          <w:color w:val="000000"/>
                          <w:sz w:val="28"/>
                          <w:szCs w:val="28"/>
                          <w:lang w:val="en-GB"/>
                        </w:rPr>
                      </w:pPr>
                      <w:r>
                        <w:rPr>
                          <w:rFonts w:cs="Arial" w:ascii="Arial" w:hAnsi="Arial"/>
                          <w:b/>
                          <w:bCs/>
                          <w:color w:val="000000"/>
                          <w:sz w:val="28"/>
                          <w:szCs w:val="28"/>
                          <w:lang w:val="en-GB"/>
                        </w:rPr>
                        <w:t>Serhat Gemici</w:t>
                      </w:r>
                    </w:p>
                    <w:p>
                      <w:pPr>
                        <w:pStyle w:val="FrameContentsuser"/>
                        <w:jc w:val="center"/>
                        <w:rPr>
                          <w:rFonts w:ascii="Arial" w:hAnsi="Arial" w:cs="Arial"/>
                          <w:b w:val="false"/>
                          <w:bCs w:val="false"/>
                          <w:color w:val="000000"/>
                          <w:sz w:val="28"/>
                          <w:szCs w:val="28"/>
                          <w:lang w:val="en-GB"/>
                        </w:rPr>
                      </w:pPr>
                      <w:r>
                        <w:rPr>
                          <w:rFonts w:cs="Arial" w:ascii="Arial" w:hAnsi="Arial"/>
                          <w:b w:val="false"/>
                          <w:bCs w:val="false"/>
                          <w:color w:val="000000"/>
                          <w:sz w:val="28"/>
                          <w:szCs w:val="28"/>
                          <w:lang w:val="en-GB"/>
                        </w:rPr>
                        <w:t xml:space="preserve">Computer Engineer </w:t>
                      </w:r>
                    </w:p>
                    <w:p>
                      <w:pPr>
                        <w:pStyle w:val="FrameContentsuser"/>
                        <w:jc w:val="center"/>
                        <w:rPr>
                          <w:rFonts w:ascii="Arial" w:hAnsi="Arial" w:cs="Arial"/>
                          <w:b w:val="false"/>
                          <w:bCs w:val="false"/>
                          <w:color w:val="000000"/>
                          <w:sz w:val="28"/>
                          <w:szCs w:val="28"/>
                          <w:lang w:val="en-GB"/>
                        </w:rPr>
                      </w:pPr>
                      <w:r>
                        <w:rPr>
                          <w:rFonts w:cs="Arial" w:ascii="Arial" w:hAnsi="Arial"/>
                          <w:b w:val="false"/>
                          <w:bCs w:val="false"/>
                          <w:color w:val="000000"/>
                          <w:sz w:val="28"/>
                          <w:szCs w:val="28"/>
                          <w:lang w:val="en-GB"/>
                        </w:rPr>
                        <w:t>Specialised in Soft Computing and Software Quality</w:t>
                      </w:r>
                    </w:p>
                    <w:p>
                      <w:pPr>
                        <w:pStyle w:val="FrameContentsuser"/>
                        <w:jc w:val="center"/>
                        <w:rPr>
                          <w:rFonts w:ascii="Arial" w:hAnsi="Arial" w:cs="Arial"/>
                          <w:sz w:val="28"/>
                          <w:szCs w:val="28"/>
                          <w:lang w:val="de-DE"/>
                        </w:rPr>
                      </w:pPr>
                      <w:r>
                        <w:rPr>
                          <w:rFonts w:cs="Arial" w:ascii="Arial" w:hAnsi="Arial"/>
                          <w:b/>
                          <w:bCs/>
                          <w:color w:val="000000"/>
                          <w:sz w:val="28"/>
                          <w:szCs w:val="28"/>
                          <w:lang w:val="de-DE"/>
                        </w:rPr>
                        <w:t>Mentor:</w:t>
                      </w:r>
                      <w:r>
                        <w:rPr>
                          <w:rFonts w:cs="Arial" w:ascii="Arial" w:hAnsi="Arial"/>
                          <w:color w:val="000000"/>
                          <w:sz w:val="28"/>
                          <w:szCs w:val="28"/>
                          <w:lang w:val="de-DE"/>
                        </w:rPr>
                        <w:t xml:space="preserve"> Yaniv Benichou</w:t>
                      </w:r>
                    </w:p>
                    <w:p>
                      <w:pPr>
                        <w:pStyle w:val="FrameContentsuser"/>
                        <w:spacing w:before="0" w:after="200"/>
                        <w:jc w:val="center"/>
                        <w:rPr>
                          <w:rFonts w:ascii="Arial" w:hAnsi="Arial" w:cs="Arial"/>
                          <w:sz w:val="28"/>
                          <w:szCs w:val="28"/>
                          <w:lang w:val="de-DE"/>
                        </w:rPr>
                      </w:pPr>
                      <w:r>
                        <w:rPr>
                          <w:rFonts w:cs="Arial" w:ascii="Arial" w:hAnsi="Arial"/>
                          <w:color w:val="000000"/>
                          <w:sz w:val="28"/>
                          <w:szCs w:val="28"/>
                          <w:lang w:val="de-DE"/>
                        </w:rPr>
                        <w:t>06.10.2026</w:t>
                      </w:r>
                    </w:p>
                  </w:txbxContent>
                </v:textbox>
                <w10:wrap type="square"/>
              </v:rect>
            </w:pict>
          </mc:Fallback>
        </mc:AlternateContent>
      </w:r>
      <w:r>
        <w:br w:type="page"/>
      </w:r>
    </w:p>
    <w:p>
      <w:pPr>
        <w:pStyle w:val="Heading1"/>
        <w:widowControl/>
        <w:suppressAutoHyphens w:val="true"/>
        <w:bidi w:val="0"/>
        <w:spacing w:lineRule="auto" w:line="276" w:before="0" w:after="0"/>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ind w:hanging="0" w:start="0"/>
        <w:jc w:val="both"/>
        <w:rPr>
          <w:rFonts w:ascii="Arial" w:hAnsi="Arial" w:cs="Arial"/>
          <w:sz w:val="52"/>
          <w:szCs w:val="52"/>
        </w:rPr>
      </w:pPr>
      <w:r>
        <w:rPr>
          <w:rFonts w:cs="Arial" w:ascii="Arial" w:hAnsi="Arial"/>
          <w:sz w:val="52"/>
          <w:szCs w:val="52"/>
        </w:rPr>
        <w:t xml:space="preserve">INTRODUCTION </w:t>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Normal"/>
        <w:widowControl/>
        <w:suppressAutoHyphens w:val="true"/>
        <w:bidi w:val="0"/>
        <w:spacing w:lineRule="auto" w:line="276"/>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t>1. Context</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Business integration</w:t>
      </w:r>
    </w:p>
    <w:p>
      <w:pPr>
        <w:pStyle w:val="Normal"/>
        <w:bidi w:val="0"/>
        <w:jc w:val="both"/>
        <w:rPr>
          <w:rFonts w:ascii="Arial" w:hAnsi="Arial" w:cs="Arial"/>
          <w:szCs w:val="20"/>
        </w:rPr>
      </w:pPr>
      <w:r>
        <w:rPr>
          <w:rFonts w:cs="Arial" w:ascii="Arial" w:hAnsi="Arial"/>
          <w:szCs w:val="20"/>
        </w:rPr>
        <w:t>This project analyses European vehicle-registration and technical data to understand the relationship between vehicle characteristics and official WLTP CO₂ emissions. The project team does not work directly in the automotive sector; however, the subject is relevant to organizations involved in sustainability reporting, environmental monitoring, vehicle classification, regulatory compliance, and transport planning.</w:t>
      </w:r>
    </w:p>
    <w:p>
      <w:pPr>
        <w:pStyle w:val="Normal"/>
        <w:bidi w:val="0"/>
        <w:jc w:val="both"/>
        <w:rPr>
          <w:rFonts w:ascii="Arial" w:hAnsi="Arial" w:cs="Arial"/>
          <w:szCs w:val="20"/>
        </w:rPr>
      </w:pPr>
      <w:r>
        <w:rPr>
          <w:rFonts w:cs="Arial" w:ascii="Arial" w:hAnsi="Arial"/>
          <w:szCs w:val="20"/>
        </w:rPr>
        <w:t>The intended outcome is a reusable data-analysis and machine-learning framework that can estimate CO₂ emissions from vehicle specifications before complete emissions information is available. Such a framework could support preliminary environmental assessments, comparisons between vehicle categories, and data-driven decision-making during product or fleet analysis. It should be understood as an analytical support tool rather than a replacement for official homologation tests.</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Technical perspective</w:t>
      </w:r>
    </w:p>
    <w:p>
      <w:pPr>
        <w:pStyle w:val="Normal"/>
        <w:bidi w:val="0"/>
        <w:jc w:val="both"/>
        <w:rPr>
          <w:rFonts w:ascii="Arial" w:hAnsi="Arial" w:cs="Arial"/>
          <w:szCs w:val="20"/>
        </w:rPr>
      </w:pPr>
      <w:r>
        <w:rPr>
          <w:rFonts w:cs="Arial" w:ascii="Arial" w:hAnsi="Arial"/>
          <w:szCs w:val="20"/>
        </w:rPr>
        <w:t>From a technical perspective, the project involves working with large, heterogeneous and imperfect real-world datasets. The main activities include data acquisition, schema comparison, data cleaning, missing-value analysis, data validation, exploratory data analysis, feature engineering, categorical encoding, leakage prevention, outlier analysis, standardization, and preparation for machine-learning modelling.</w:t>
      </w:r>
    </w:p>
    <w:p>
      <w:pPr>
        <w:pStyle w:val="Normal"/>
        <w:bidi w:val="0"/>
        <w:jc w:val="both"/>
        <w:rPr>
          <w:rFonts w:ascii="Arial" w:hAnsi="Arial" w:cs="Arial"/>
          <w:szCs w:val="20"/>
        </w:rPr>
      </w:pPr>
      <w:r>
        <w:rPr>
          <w:rFonts w:cs="Arial" w:ascii="Arial" w:hAnsi="Arial"/>
          <w:szCs w:val="20"/>
        </w:rPr>
        <w:t>Particular attention was given to vehicle-family identifiers, type-approval codes, manufacturer names, fuel categories, and variables with high cardinality. Several identifier and regulatory fields were excluded because they could cause overfitting or target leakage. The workflow was implemented using Python-based data-science tools, including pandas, NumPy, Matplotlib, Seaborn, scikit-learn, joblib, and category-encoding techniques.</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Economic perspective</w:t>
      </w:r>
    </w:p>
    <w:p>
      <w:pPr>
        <w:pStyle w:val="Normal"/>
        <w:bidi w:val="0"/>
        <w:jc w:val="both"/>
        <w:rPr>
          <w:rFonts w:ascii="Arial" w:hAnsi="Arial" w:cs="Arial"/>
          <w:szCs w:val="20"/>
        </w:rPr>
      </w:pPr>
      <w:r>
        <w:rPr>
          <w:rFonts w:cs="Arial" w:ascii="Arial" w:hAnsi="Arial"/>
          <w:szCs w:val="20"/>
        </w:rPr>
        <w:t>A reliable emission-estimation framework could reduce the time and manual effort required to analyze large vehicle datasets. It could also help organisations identify emission patterns at an early stage, compare manufacturers or fuel technologies, and prioritize more detailed investigations.</w:t>
      </w:r>
    </w:p>
    <w:p>
      <w:pPr>
        <w:pStyle w:val="Normal"/>
        <w:bidi w:val="0"/>
        <w:jc w:val="both"/>
        <w:rPr>
          <w:rFonts w:ascii="Arial" w:hAnsi="Arial" w:cs="Arial"/>
          <w:szCs w:val="20"/>
        </w:rPr>
      </w:pPr>
      <w:r>
        <w:rPr>
          <w:rFonts w:cs="Arial" w:ascii="Arial" w:hAnsi="Arial"/>
          <w:szCs w:val="20"/>
        </w:rPr>
        <w:t xml:space="preserve">The project does not claim to replace laboratory testing or official regulatory procedures. Instead, </w:t>
      </w:r>
      <w:r>
        <w:rPr>
          <w:rFonts w:cs="Arial" w:ascii="Arial" w:hAnsi="Arial"/>
          <w:b/>
          <w:bCs/>
          <w:szCs w:val="20"/>
        </w:rPr>
        <w:t xml:space="preserve">its economic value lies in enabling scalable preliminary analysis using existing data. </w:t>
      </w:r>
      <w:r>
        <w:rPr>
          <w:rFonts w:cs="Arial" w:ascii="Arial" w:hAnsi="Arial"/>
          <w:szCs w:val="20"/>
        </w:rPr>
        <w:t>By automating repetitive processing and providing reproducible analytical steps, the approach could support future reporting, monitoring, benchmarking, or decision-support applications.</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Scientific perspective</w:t>
      </w:r>
    </w:p>
    <w:p>
      <w:pPr>
        <w:pStyle w:val="Normal"/>
        <w:bidi w:val="0"/>
        <w:jc w:val="both"/>
        <w:rPr>
          <w:rFonts w:ascii="Arial" w:hAnsi="Arial" w:cs="Arial"/>
          <w:szCs w:val="20"/>
        </w:rPr>
      </w:pPr>
      <w:r>
        <w:rPr>
          <w:rFonts w:cs="Arial" w:ascii="Arial" w:hAnsi="Arial"/>
          <w:szCs w:val="20"/>
        </w:rPr>
        <w:t>Scientifically, the project combines statistical analysis, machine learning, environmental data analysis, software engineering, and physical interpretation of vehicle emissions. It investigates how mass, engine displacement, engine power, fuel type, fuel mode, vehicle category, and manufacturer-related variables are associated with WLTP CO₂ emissions.</w:t>
      </w:r>
    </w:p>
    <w:p>
      <w:pPr>
        <w:pStyle w:val="Normal"/>
        <w:bidi w:val="0"/>
        <w:jc w:val="both"/>
        <w:rPr>
          <w:rFonts w:ascii="Arial" w:hAnsi="Arial" w:cs="Arial"/>
          <w:szCs w:val="20"/>
        </w:rPr>
      </w:pPr>
      <w:r>
        <w:rPr>
          <w:rFonts w:cs="Arial" w:ascii="Arial" w:hAnsi="Arial"/>
          <w:szCs w:val="20"/>
        </w:rPr>
        <w:t>The interdisciplinary nature of the team is important. Dr. Ana Valencia Garcia contributes a physics background through a PhD in Theoretical Physics, while Serhat Gemici contributes expertise in computer engineering and software quality. The collaboration aims to produce a transparent, reproducible, and scientifically defensible approach to emission prediction.</w:t>
      </w:r>
    </w:p>
    <w:p>
      <w:pPr>
        <w:pStyle w:val="HorizontalLine"/>
        <w:spacing w:before="0" w:after="200"/>
        <w:jc w:val="both"/>
        <w:rPr>
          <w:rFonts w:ascii="Arial" w:hAnsi="Arial" w:cs="Arial"/>
          <w:b/>
          <w:sz w:val="20"/>
          <w:szCs w:val="20"/>
        </w:rPr>
      </w:pPr>
      <w:r>
        <w:rPr>
          <w:rFonts w:cs="Arial" w:ascii="Arial" w:hAnsi="Arial"/>
          <w:b/>
          <w:sz w:val="20"/>
          <w:szCs w:val="20"/>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t>2. Objectives</w:t>
      </w:r>
    </w:p>
    <w:p>
      <w:pPr>
        <w:pStyle w:val="Normal"/>
        <w:bidi w:val="0"/>
        <w:jc w:val="both"/>
        <w:rPr>
          <w:rFonts w:ascii="Arial" w:hAnsi="Arial" w:cs="Arial"/>
          <w:szCs w:val="20"/>
        </w:rPr>
      </w:pPr>
      <w:r>
        <w:rPr>
          <w:rFonts w:cs="Arial" w:ascii="Arial" w:hAnsi="Arial"/>
          <w:szCs w:val="20"/>
        </w:rPr>
        <w:t>The principal objective is to examine the relationship between the technical specifications of newly registered vehicles in Europe and their official WLTP CO₂ emissions, and to prepare a model capable of estimating emissions from relevant vehicle characteristics.</w:t>
      </w:r>
    </w:p>
    <w:p>
      <w:pPr>
        <w:pStyle w:val="Normal"/>
        <w:bidi w:val="0"/>
        <w:jc w:val="both"/>
        <w:rPr>
          <w:rFonts w:ascii="Arial" w:hAnsi="Arial" w:cs="Arial"/>
          <w:szCs w:val="20"/>
        </w:rPr>
      </w:pPr>
      <w:r>
        <w:rPr>
          <w:rFonts w:cs="Arial" w:ascii="Arial" w:hAnsi="Arial"/>
          <w:szCs w:val="20"/>
        </w:rPr>
        <w:t>The project has the following specific objectives:</w:t>
      </w:r>
    </w:p>
    <w:p>
      <w:pPr>
        <w:pStyle w:val="Normal"/>
        <w:numPr>
          <w:ilvl w:val="0"/>
          <w:numId w:val="19"/>
        </w:numPr>
        <w:bidi w:val="0"/>
        <w:jc w:val="both"/>
        <w:rPr>
          <w:rFonts w:ascii="Arial" w:hAnsi="Arial" w:cs="Arial"/>
          <w:szCs w:val="20"/>
        </w:rPr>
      </w:pPr>
      <w:r>
        <w:rPr>
          <w:rFonts w:cs="Arial" w:ascii="Arial" w:hAnsi="Arial"/>
          <w:szCs w:val="20"/>
        </w:rPr>
        <w:t>Analyze European vehicle-registration data and identify its structure, quality issues, limitations, and potential biases.</w:t>
      </w:r>
    </w:p>
    <w:p>
      <w:pPr>
        <w:pStyle w:val="Normal"/>
        <w:numPr>
          <w:ilvl w:val="0"/>
          <w:numId w:val="19"/>
        </w:numPr>
        <w:bidi w:val="0"/>
        <w:jc w:val="both"/>
        <w:rPr>
          <w:rFonts w:ascii="Arial" w:hAnsi="Arial" w:cs="Arial"/>
          <w:szCs w:val="20"/>
        </w:rPr>
      </w:pPr>
      <w:r>
        <w:rPr>
          <w:rFonts w:cs="Arial" w:ascii="Arial" w:hAnsi="Arial"/>
          <w:szCs w:val="20"/>
        </w:rPr>
        <w:t>Identify the technical and categorical variables most relevant to CO₂ emissions.</w:t>
      </w:r>
    </w:p>
    <w:p>
      <w:pPr>
        <w:pStyle w:val="Normal"/>
        <w:numPr>
          <w:ilvl w:val="0"/>
          <w:numId w:val="19"/>
        </w:numPr>
        <w:bidi w:val="0"/>
        <w:jc w:val="both"/>
        <w:rPr>
          <w:rFonts w:ascii="Arial" w:hAnsi="Arial" w:cs="Arial"/>
          <w:szCs w:val="20"/>
        </w:rPr>
      </w:pPr>
      <w:r>
        <w:rPr>
          <w:rFonts w:cs="Arial" w:ascii="Arial" w:hAnsi="Arial"/>
          <w:szCs w:val="20"/>
        </w:rPr>
        <w:t>Compare the French ADEME dataset with the European Environment Agency dataset.</w:t>
      </w:r>
    </w:p>
    <w:p>
      <w:pPr>
        <w:pStyle w:val="Normal"/>
        <w:numPr>
          <w:ilvl w:val="0"/>
          <w:numId w:val="19"/>
        </w:numPr>
        <w:bidi w:val="0"/>
        <w:jc w:val="both"/>
        <w:rPr>
          <w:rFonts w:ascii="Arial" w:hAnsi="Arial" w:cs="Arial"/>
          <w:szCs w:val="20"/>
        </w:rPr>
      </w:pPr>
      <w:r>
        <w:rPr>
          <w:rFonts w:cs="Arial" w:ascii="Arial" w:hAnsi="Arial"/>
          <w:szCs w:val="20"/>
        </w:rPr>
        <w:t>Clean and standardize the data so that it can be used reliably in machine-learning workflows.</w:t>
      </w:r>
    </w:p>
    <w:p>
      <w:pPr>
        <w:pStyle w:val="Normal"/>
        <w:numPr>
          <w:ilvl w:val="0"/>
          <w:numId w:val="19"/>
        </w:numPr>
        <w:bidi w:val="0"/>
        <w:jc w:val="both"/>
        <w:rPr>
          <w:rFonts w:ascii="Arial" w:hAnsi="Arial" w:cs="Arial"/>
          <w:szCs w:val="20"/>
        </w:rPr>
      </w:pPr>
      <w:r>
        <w:rPr>
          <w:rFonts w:cs="Arial" w:ascii="Arial" w:hAnsi="Arial"/>
          <w:szCs w:val="20"/>
        </w:rPr>
        <w:t>Detect missing values, inconsistent codes, duplicate records, extreme values, and structural anomalies.</w:t>
      </w:r>
    </w:p>
    <w:p>
      <w:pPr>
        <w:pStyle w:val="Normal"/>
        <w:numPr>
          <w:ilvl w:val="0"/>
          <w:numId w:val="19"/>
        </w:numPr>
        <w:bidi w:val="0"/>
        <w:jc w:val="both"/>
        <w:rPr>
          <w:rFonts w:ascii="Arial" w:hAnsi="Arial" w:cs="Arial"/>
          <w:szCs w:val="20"/>
        </w:rPr>
      </w:pPr>
      <w:r>
        <w:rPr>
          <w:rFonts w:cs="Arial" w:ascii="Arial" w:hAnsi="Arial"/>
          <w:szCs w:val="20"/>
        </w:rPr>
        <w:t>Engineer usable features from categorical and numerical variables.</w:t>
      </w:r>
    </w:p>
    <w:p>
      <w:pPr>
        <w:pStyle w:val="Normal"/>
        <w:numPr>
          <w:ilvl w:val="0"/>
          <w:numId w:val="19"/>
        </w:numPr>
        <w:bidi w:val="0"/>
        <w:jc w:val="both"/>
        <w:rPr>
          <w:rFonts w:ascii="Arial" w:hAnsi="Arial" w:cs="Arial"/>
          <w:szCs w:val="20"/>
        </w:rPr>
      </w:pPr>
      <w:r>
        <w:rPr>
          <w:rFonts w:cs="Arial" w:ascii="Arial" w:hAnsi="Arial"/>
          <w:szCs w:val="20"/>
        </w:rPr>
        <w:t>Prevent target leakage caused by variables that directly encode or reproduce the target value.</w:t>
      </w:r>
    </w:p>
    <w:p>
      <w:pPr>
        <w:pStyle w:val="Normal"/>
        <w:numPr>
          <w:ilvl w:val="0"/>
          <w:numId w:val="19"/>
        </w:numPr>
        <w:bidi w:val="0"/>
        <w:jc w:val="both"/>
        <w:rPr>
          <w:rFonts w:ascii="Arial" w:hAnsi="Arial" w:cs="Arial"/>
          <w:szCs w:val="20"/>
        </w:rPr>
      </w:pPr>
      <w:r>
        <w:rPr>
          <w:rFonts w:cs="Arial" w:ascii="Arial" w:hAnsi="Arial"/>
          <w:szCs w:val="20"/>
        </w:rPr>
        <w:t>Prepare a reproducible training and evaluation pipeline for future modelling.</w:t>
      </w:r>
    </w:p>
    <w:p>
      <w:pPr>
        <w:pStyle w:val="Normal"/>
        <w:numPr>
          <w:ilvl w:val="0"/>
          <w:numId w:val="19"/>
        </w:numPr>
        <w:bidi w:val="0"/>
        <w:jc w:val="both"/>
        <w:rPr>
          <w:rFonts w:ascii="Arial" w:hAnsi="Arial" w:cs="Arial"/>
          <w:szCs w:val="20"/>
        </w:rPr>
      </w:pPr>
      <w:r>
        <w:rPr>
          <w:rFonts w:cs="Arial" w:ascii="Arial" w:hAnsi="Arial"/>
          <w:szCs w:val="20"/>
        </w:rPr>
        <w:t>Investigate whether vehicle emissions can be estimated accurately from specifications available before official testing.</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Team expertise</w:t>
      </w:r>
    </w:p>
    <w:tbl>
      <w:tblPr>
        <w:tblW w:w="8640" w:type="dxa"/>
        <w:jc w:val="start"/>
        <w:tblInd w:w="-5" w:type="dxa"/>
        <w:tblLayout w:type="fixed"/>
        <w:tblCellMar>
          <w:top w:w="0" w:type="dxa"/>
          <w:start w:w="108" w:type="dxa"/>
          <w:bottom w:w="0" w:type="dxa"/>
          <w:end w:w="108" w:type="dxa"/>
        </w:tblCellMar>
      </w:tblPr>
      <w:tblGrid>
        <w:gridCol w:w="1417"/>
        <w:gridCol w:w="7223"/>
      </w:tblGrid>
      <w:tr>
        <w:trPr/>
        <w:tc>
          <w:tcPr>
            <w:tcW w:w="1417" w:type="dxa"/>
            <w:tcBorders>
              <w:top w:val="single" w:sz="4" w:space="0" w:color="000000"/>
              <w:start w:val="single" w:sz="4" w:space="0" w:color="000000"/>
              <w:bottom w:val="single" w:sz="4" w:space="0" w:color="000000"/>
            </w:tcBorders>
            <w:shd w:fill="D9EAF7" w:val="clear"/>
            <w:vAlign w:val="center"/>
          </w:tcPr>
          <w:p>
            <w:pPr>
              <w:pStyle w:val="Normal"/>
              <w:suppressAutoHyphens w:val="true"/>
              <w:bidi w:val="0"/>
              <w:spacing w:lineRule="auto" w:line="240" w:before="0" w:after="0"/>
              <w:jc w:val="center"/>
              <w:rPr>
                <w:rFonts w:eastAsia="ＭＳ 明朝"/>
                <w:b/>
              </w:rPr>
            </w:pPr>
            <w:r>
              <w:rPr>
                <w:rFonts w:eastAsia="ＭＳ 明朝"/>
                <w:b/>
              </w:rPr>
              <w:t>Team member</w:t>
            </w:r>
          </w:p>
        </w:tc>
        <w:tc>
          <w:tcPr>
            <w:tcW w:w="7223"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bidi w:val="0"/>
              <w:spacing w:lineRule="auto" w:line="240" w:before="0" w:after="0"/>
              <w:jc w:val="center"/>
              <w:rPr>
                <w:rFonts w:eastAsia="ＭＳ 明朝"/>
                <w:b/>
              </w:rPr>
            </w:pPr>
            <w:r>
              <w:rPr>
                <w:rFonts w:eastAsia="ＭＳ 明朝"/>
                <w:b/>
              </w:rPr>
              <w:t>Background and relevant expertise</w:t>
            </w:r>
          </w:p>
        </w:tc>
      </w:tr>
      <w:tr>
        <w:trPr/>
        <w:tc>
          <w:tcPr>
            <w:tcW w:w="141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Normal"/>
              <w:bidi w:val="0"/>
              <w:spacing w:before="0" w:after="200"/>
              <w:jc w:val="both"/>
              <w:rPr>
                <w:rFonts w:ascii="Arial" w:hAnsi="Arial" w:cs="Arial"/>
                <w:szCs w:val="20"/>
              </w:rPr>
            </w:pPr>
            <w:r>
              <w:rPr>
                <w:rFonts w:cs="Arial" w:ascii="Arial" w:hAnsi="Arial"/>
                <w:szCs w:val="20"/>
              </w:rPr>
              <w:t>Ana Valencia Garcia</w:t>
            </w:r>
          </w:p>
        </w:tc>
        <w:tc>
          <w:tcPr>
            <w:tcW w:w="7223"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Normal"/>
              <w:bidi w:val="0"/>
              <w:spacing w:before="0" w:after="200"/>
              <w:jc w:val="both"/>
              <w:rPr>
                <w:rFonts w:ascii="Arial" w:hAnsi="Arial" w:cs="Arial"/>
                <w:szCs w:val="20"/>
              </w:rPr>
            </w:pPr>
            <w:r>
              <w:rPr>
                <w:rFonts w:cs="Arial" w:ascii="Arial" w:hAnsi="Arial"/>
                <w:szCs w:val="20"/>
              </w:rPr>
              <w:t>PhD in Theoretical Physics. Brings expertise in scientific reasoning, physical interpretation, quantitative analysis, and the evaluation of environmental relationships.</w:t>
            </w:r>
          </w:p>
        </w:tc>
      </w:tr>
      <w:tr>
        <w:trPr/>
        <w:tc>
          <w:tcPr>
            <w:tcW w:w="141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Normal"/>
              <w:bidi w:val="0"/>
              <w:spacing w:before="0" w:after="200"/>
              <w:jc w:val="both"/>
              <w:rPr>
                <w:rFonts w:ascii="Arial" w:hAnsi="Arial" w:cs="Arial"/>
                <w:szCs w:val="20"/>
              </w:rPr>
            </w:pPr>
            <w:r>
              <w:rPr>
                <w:rFonts w:cs="Arial" w:ascii="Arial" w:hAnsi="Arial"/>
                <w:szCs w:val="20"/>
              </w:rPr>
              <w:t>Serhat Gemici</w:t>
            </w:r>
          </w:p>
        </w:tc>
        <w:tc>
          <w:tcPr>
            <w:tcW w:w="7223"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Normal"/>
              <w:bidi w:val="0"/>
              <w:spacing w:before="0" w:after="200"/>
              <w:jc w:val="both"/>
              <w:rPr>
                <w:rFonts w:ascii="Arial" w:hAnsi="Arial" w:cs="Arial"/>
                <w:szCs w:val="20"/>
              </w:rPr>
            </w:pPr>
            <w:r>
              <w:rPr>
                <w:rFonts w:cs="Arial" w:ascii="Arial" w:hAnsi="Arial"/>
                <w:szCs w:val="20"/>
              </w:rPr>
              <w:t>BSc in Computer Engineering and MSc in Engineering Management. Brings experience in software quality, data processing, Python, test automation, and reproducible technical implementation.</w:t>
            </w:r>
          </w:p>
        </w:tc>
      </w:tr>
    </w:tbl>
    <w:p>
      <w:pPr>
        <w:pStyle w:val="Normal"/>
        <w:bidi w:val="0"/>
        <w:jc w:val="both"/>
        <w:rPr>
          <w:rFonts w:ascii="Arial" w:hAnsi="Arial" w:cs="Arial"/>
          <w:szCs w:val="20"/>
        </w:rPr>
      </w:pPr>
      <w:r>
        <w:rPr>
          <w:rFonts w:cs="Arial" w:ascii="Arial" w:hAnsi="Arial"/>
          <w:szCs w:val="20"/>
        </w:rPr>
        <w:t>The team’s combined expertise covers both the physical interpretation of emissions and the computational implementation required to process large datasets and prepare predictive models.</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Business-expert interaction</w:t>
      </w:r>
    </w:p>
    <w:p>
      <w:pPr>
        <w:pStyle w:val="Normal"/>
        <w:bidi w:val="0"/>
        <w:jc w:val="both"/>
        <w:rPr>
          <w:rFonts w:ascii="Arial" w:hAnsi="Arial" w:cs="Arial"/>
          <w:szCs w:val="20"/>
        </w:rPr>
      </w:pPr>
      <w:r>
        <w:rPr>
          <w:rFonts w:cs="Arial" w:ascii="Arial" w:hAnsi="Arial"/>
          <w:szCs w:val="20"/>
        </w:rPr>
        <w:t>The project was developed primarily from publicly available regulatory and governmental data sources. No direct automotive-industry expert interaction is documented in the presentation. Consequently, the underlying problem definition was refined through the official data documentation, European emissions regulations, variable descriptions, exploratory analysis, and discussions with the project mentor.</w:t>
      </w:r>
    </w:p>
    <w:p>
      <w:pPr>
        <w:pStyle w:val="Normal"/>
        <w:bidi w:val="0"/>
        <w:jc w:val="both"/>
        <w:rPr>
          <w:rFonts w:ascii="Arial" w:hAnsi="Arial" w:cs="Arial"/>
          <w:szCs w:val="20"/>
        </w:rPr>
      </w:pPr>
      <w:r>
        <w:rPr>
          <w:rFonts w:cs="Arial" w:ascii="Arial" w:hAnsi="Arial"/>
          <w:szCs w:val="20"/>
        </w:rPr>
        <w:t>If the project is extended, interviews with automotive homologation specialists, fleet managers, regulatory consultants, or emissions engineers would be valuable. Such interactions could help validate the interpretation of fields such as VFN, RLFI, type-approval identifiers, test mass, fuel mode, and eco-innovation codes.</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Similar projects and surrounding work</w:t>
      </w:r>
    </w:p>
    <w:p>
      <w:pPr>
        <w:pStyle w:val="Normal"/>
        <w:bidi w:val="0"/>
        <w:jc w:val="both"/>
        <w:rPr>
          <w:rFonts w:ascii="Arial" w:hAnsi="Arial" w:cs="Arial"/>
          <w:szCs w:val="20"/>
        </w:rPr>
      </w:pPr>
      <w:r>
        <w:rPr>
          <w:rFonts w:cs="Arial" w:ascii="Arial" w:hAnsi="Arial"/>
          <w:szCs w:val="20"/>
        </w:rPr>
        <w:t>The project uses concepts commonly found in vehicle-emission analysis, regulatory reporting, fleet benchmarking, and environmental machine learning. However, no specific comparable internal company project is identified in the presentation. The current work contributes by combining two complementary perspectives:</w:t>
      </w:r>
    </w:p>
    <w:p>
      <w:pPr>
        <w:pStyle w:val="Normal"/>
        <w:numPr>
          <w:ilvl w:val="0"/>
          <w:numId w:val="20"/>
        </w:numPr>
        <w:bidi w:val="0"/>
        <w:jc w:val="both"/>
        <w:rPr>
          <w:rFonts w:ascii="Arial" w:hAnsi="Arial" w:cs="Arial"/>
          <w:szCs w:val="20"/>
        </w:rPr>
      </w:pPr>
      <w:r>
        <w:rPr>
          <w:rFonts w:cs="Arial" w:ascii="Arial" w:hAnsi="Arial"/>
          <w:szCs w:val="20"/>
        </w:rPr>
        <w:t>A historical French dataset from ADEME, useful for understanding earlier vehicle-data structures and data-quality challenges.</w:t>
      </w:r>
    </w:p>
    <w:p>
      <w:pPr>
        <w:pStyle w:val="Normal"/>
        <w:numPr>
          <w:ilvl w:val="0"/>
          <w:numId w:val="20"/>
        </w:numPr>
        <w:bidi w:val="0"/>
        <w:jc w:val="both"/>
        <w:rPr>
          <w:rFonts w:ascii="Arial" w:hAnsi="Arial" w:cs="Arial"/>
          <w:szCs w:val="20"/>
        </w:rPr>
      </w:pPr>
      <w:r>
        <w:rPr>
          <w:rFonts w:cs="Arial" w:ascii="Arial" w:hAnsi="Arial"/>
          <w:szCs w:val="20"/>
        </w:rPr>
        <w:t>A large European Environment Agency dataset containing 2024 new-registration data, used as the primary analytical basis.</w:t>
      </w:r>
    </w:p>
    <w:p>
      <w:pPr>
        <w:pStyle w:val="Normal"/>
        <w:bidi w:val="0"/>
        <w:jc w:val="both"/>
        <w:rPr>
          <w:rFonts w:ascii="Arial" w:hAnsi="Arial" w:cs="Arial"/>
          <w:szCs w:val="20"/>
        </w:rPr>
      </w:pPr>
      <w:r>
        <w:rPr>
          <w:rFonts w:cs="Arial" w:ascii="Arial" w:hAnsi="Arial"/>
          <w:szCs w:val="20"/>
        </w:rPr>
        <w:t>The comparison between these sources helps distinguish historical French catalogue information from more recent European registration data and clarifies which variables can be compared across datasets.</w:t>
      </w:r>
    </w:p>
    <w:p>
      <w:pPr>
        <w:pStyle w:val="HorizontalLine"/>
        <w:spacing w:before="0" w:after="200"/>
        <w:jc w:val="both"/>
        <w:rPr>
          <w:rFonts w:ascii="Arial" w:hAnsi="Arial" w:cs="Arial"/>
          <w:b/>
          <w:sz w:val="20"/>
          <w:szCs w:val="20"/>
        </w:rPr>
      </w:pPr>
      <w:r>
        <w:rPr>
          <w:rFonts w:cs="Arial" w:ascii="Arial" w:hAnsi="Arial"/>
          <w:b/>
          <w:sz w:val="20"/>
          <w:szCs w:val="20"/>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t xml:space="preserve">DATA EXPLORATION </w:t>
      </w:r>
    </w:p>
    <w:p>
      <w:pPr>
        <w:pStyle w:val="Heading1"/>
        <w:ind w:hanging="0" w:start="0"/>
        <w:jc w:val="both"/>
        <w:rPr>
          <w:rFonts w:ascii="Arial" w:hAnsi="Arial" w:cs="Arial"/>
          <w:sz w:val="52"/>
          <w:szCs w:val="52"/>
        </w:rPr>
      </w:pPr>
      <w:r>
        <w:rPr>
          <w:rFonts w:cs="Arial" w:ascii="Arial" w:hAnsi="Arial"/>
          <w:sz w:val="52"/>
          <w:szCs w:val="52"/>
        </w:rPr>
        <w:t>&amp; FEATURE ENGINEERING</w:t>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r>
    </w:p>
    <w:p>
      <w:pPr>
        <w:pStyle w:val="Normal"/>
        <w:widowControl/>
        <w:suppressAutoHyphens w:val="true"/>
        <w:bidi w:val="0"/>
        <w:spacing w:lineRule="auto" w:line="276"/>
        <w:jc w:val="both"/>
        <w:rPr>
          <w:rFonts w:ascii="Arial" w:hAnsi="Arial" w:cs="Arial"/>
          <w:kern w:val="0"/>
          <w:szCs w:val="20"/>
          <w:lang w:val="en-US" w:eastAsia="en-US" w:bidi="ar-SA"/>
        </w:rPr>
      </w:pPr>
      <w:r>
        <w:rPr>
          <w:rFonts w:cs="Arial" w:ascii="Arial" w:hAnsi="Arial"/>
          <w:kern w:val="0"/>
          <w:szCs w:val="20"/>
          <w:lang w:val="en-US" w:eastAsia="en-US" w:bidi="ar-SA"/>
        </w:rPr>
      </w:r>
    </w:p>
    <w:p>
      <w:pPr>
        <w:pStyle w:val="Normal"/>
        <w:widowControl/>
        <w:suppressAutoHyphens w:val="true"/>
        <w:bidi w:val="0"/>
        <w:spacing w:lineRule="auto" w:line="276"/>
        <w:jc w:val="both"/>
        <w:rPr>
          <w:rFonts w:ascii="Arial" w:hAnsi="Arial" w:cs="Arial"/>
          <w:kern w:val="0"/>
          <w:szCs w:val="20"/>
          <w:lang w:val="en-US" w:eastAsia="en-US" w:bidi="ar-SA"/>
        </w:rPr>
      </w:pPr>
      <w:r>
        <w:rPr>
          <w:rFonts w:cs="Arial" w:ascii="Arial" w:hAnsi="Arial"/>
          <w:kern w:val="0"/>
          <w:szCs w:val="20"/>
          <w:lang w:val="en-US" w:eastAsia="en-US" w:bidi="ar-SA"/>
        </w:rPr>
      </w:r>
    </w:p>
    <w:p>
      <w:pPr>
        <w:pStyle w:val="Normal"/>
        <w:widowControl/>
        <w:suppressAutoHyphens w:val="true"/>
        <w:bidi w:val="0"/>
        <w:spacing w:lineRule="auto" w:line="276"/>
        <w:jc w:val="both"/>
        <w:rPr>
          <w:rFonts w:ascii="Arial" w:hAnsi="Arial" w:cs="Arial"/>
          <w:kern w:val="0"/>
          <w:szCs w:val="20"/>
          <w:lang w:val="en-US" w:eastAsia="en-US" w:bidi="ar-SA"/>
        </w:rPr>
      </w:pPr>
      <w:r>
        <w:rPr>
          <w:rFonts w:cs="Arial" w:ascii="Arial" w:hAnsi="Arial"/>
          <w:kern w:val="0"/>
          <w:szCs w:val="20"/>
          <w:lang w:val="en-US" w:eastAsia="en-US" w:bidi="ar-SA"/>
        </w:rPr>
      </w:r>
    </w:p>
    <w:p>
      <w:pPr>
        <w:pStyle w:val="Normal"/>
        <w:widowControl/>
        <w:suppressAutoHyphens w:val="true"/>
        <w:bidi w:val="0"/>
        <w:spacing w:lineRule="auto" w:line="276"/>
        <w:jc w:val="both"/>
        <w:rPr>
          <w:rFonts w:ascii="Arial" w:hAnsi="Arial" w:cs="Arial"/>
          <w:kern w:val="0"/>
          <w:szCs w:val="20"/>
          <w:lang w:val="en-US" w:eastAsia="en-US" w:bidi="ar-SA"/>
        </w:rPr>
      </w:pPr>
      <w:r>
        <w:rPr>
          <w:rFonts w:cs="Arial" w:ascii="Arial" w:hAnsi="Arial"/>
          <w:kern w:val="0"/>
          <w:szCs w:val="20"/>
          <w:lang w:val="en-US" w:eastAsia="en-US" w:bidi="ar-SA"/>
        </w:rPr>
      </w:r>
    </w:p>
    <w:p>
      <w:pPr>
        <w:pStyle w:val="Normal"/>
        <w:widowControl/>
        <w:suppressAutoHyphens w:val="true"/>
        <w:bidi w:val="0"/>
        <w:spacing w:lineRule="auto" w:line="276"/>
        <w:jc w:val="both"/>
        <w:rPr>
          <w:rFonts w:ascii="Arial" w:hAnsi="Arial" w:cs="Arial"/>
          <w:kern w:val="0"/>
          <w:szCs w:val="20"/>
          <w:lang w:val="en-US" w:eastAsia="en-US" w:bidi="ar-SA"/>
        </w:rPr>
      </w:pPr>
      <w:r>
        <w:rPr>
          <w:rFonts w:cs="Arial" w:ascii="Arial" w:hAnsi="Arial"/>
          <w:kern w:val="0"/>
          <w:szCs w:val="20"/>
          <w:lang w:val="en-US" w:eastAsia="en-US" w:bidi="ar-SA"/>
        </w:rPr>
      </w:r>
    </w:p>
    <w:p>
      <w:pPr>
        <w:pStyle w:val="Normal"/>
        <w:widowControl/>
        <w:suppressAutoHyphens w:val="true"/>
        <w:bidi w:val="0"/>
        <w:spacing w:lineRule="auto" w:line="276"/>
        <w:jc w:val="both"/>
        <w:rPr>
          <w:rFonts w:ascii="Arial" w:hAnsi="Arial" w:cs="Arial"/>
          <w:kern w:val="0"/>
          <w:szCs w:val="20"/>
          <w:lang w:val="en-US" w:eastAsia="en-US" w:bidi="ar-SA"/>
        </w:rPr>
      </w:pPr>
      <w:r>
        <w:rPr>
          <w:rFonts w:cs="Arial" w:ascii="Arial" w:hAnsi="Arial"/>
          <w:kern w:val="0"/>
          <w:szCs w:val="20"/>
          <w:lang w:val="en-US" w:eastAsia="en-US" w:bidi="ar-SA"/>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t>1. Understanding and Manipulation of Data</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Data framework</w:t>
      </w:r>
    </w:p>
    <w:p>
      <w:pPr>
        <w:pStyle w:val="Normal"/>
        <w:bidi w:val="0"/>
        <w:jc w:val="both"/>
        <w:rPr>
          <w:rFonts w:ascii="Arial" w:hAnsi="Arial" w:cs="Arial"/>
          <w:szCs w:val="20"/>
        </w:rPr>
      </w:pPr>
      <w:r>
        <w:rPr>
          <w:rFonts w:cs="Arial" w:ascii="Arial" w:hAnsi="Arial"/>
          <w:szCs w:val="20"/>
        </w:rPr>
        <w:t>The project uses two principal data sources:</w:t>
      </w:r>
    </w:p>
    <w:p>
      <w:pPr>
        <w:pStyle w:val="BodyText"/>
        <w:numPr>
          <w:ilvl w:val="0"/>
          <w:numId w:val="8"/>
        </w:numPr>
        <w:tabs>
          <w:tab w:val="clear" w:pos="720"/>
          <w:tab w:val="left" w:pos="0" w:leader="none"/>
        </w:tabs>
        <w:bidi w:val="0"/>
        <w:spacing w:lineRule="auto" w:line="331" w:before="240" w:after="0"/>
        <w:ind w:hanging="283" w:start="709" w:end="0"/>
        <w:jc w:val="both"/>
        <w:rPr>
          <w:rFonts w:ascii="Arial;sans-serif" w:hAnsi="Arial;sans-serif" w:cs="Arial"/>
          <w:b/>
          <w:i w:val="false"/>
          <w:caps w:val="false"/>
          <w:smallCaps w:val="false"/>
          <w:strike w:val="false"/>
          <w:dstrike w:val="false"/>
          <w:color w:val="000000"/>
          <w:sz w:val="22"/>
          <w:szCs w:val="20"/>
          <w:u w:val="none"/>
          <w:effect w:val="none"/>
          <w:shd w:fill="auto" w:val="clear"/>
        </w:rPr>
      </w:pPr>
      <w:r>
        <w:rPr>
          <w:rFonts w:cs="Arial" w:ascii="Arial;sans-serif" w:hAnsi="Arial;sans-serif"/>
          <w:b/>
          <w:i w:val="false"/>
          <w:caps w:val="false"/>
          <w:smallCaps w:val="false"/>
          <w:strike w:val="false"/>
          <w:dstrike w:val="false"/>
          <w:color w:val="000000"/>
          <w:sz w:val="22"/>
          <w:szCs w:val="20"/>
          <w:u w:val="none"/>
          <w:effect w:val="none"/>
          <w:shd w:fill="auto" w:val="clear"/>
        </w:rPr>
        <w:t>European Environment Agency data</w:t>
      </w:r>
    </w:p>
    <w:p>
      <w:pPr>
        <w:pStyle w:val="Normal"/>
        <w:numPr>
          <w:ilvl w:val="0"/>
          <w:numId w:val="21"/>
        </w:numPr>
        <w:bidi w:val="0"/>
        <w:jc w:val="both"/>
        <w:rPr>
          <w:rFonts w:ascii="Arial" w:hAnsi="Arial" w:cs="Arial"/>
          <w:szCs w:val="20"/>
        </w:rPr>
      </w:pPr>
      <w:r>
        <w:rPr>
          <w:rFonts w:cs="Arial" w:ascii="Arial" w:hAnsi="Arial"/>
          <w:szCs w:val="20"/>
        </w:rPr>
        <w:t>Data concerning CO₂ emissions from newly registered passenger vehicles in Europe.</w:t>
      </w:r>
    </w:p>
    <w:p>
      <w:pPr>
        <w:pStyle w:val="Normal"/>
        <w:numPr>
          <w:ilvl w:val="0"/>
          <w:numId w:val="21"/>
        </w:numPr>
        <w:bidi w:val="0"/>
        <w:jc w:val="both"/>
        <w:rPr>
          <w:rFonts w:ascii="Arial" w:hAnsi="Arial" w:cs="Arial"/>
          <w:szCs w:val="20"/>
        </w:rPr>
      </w:pPr>
      <w:r>
        <w:rPr>
          <w:rFonts w:cs="Arial" w:ascii="Arial" w:hAnsi="Arial"/>
          <w:szCs w:val="20"/>
        </w:rPr>
        <w:t>Submitted by EU member states under Regulation (EU) 2019/631.</w:t>
      </w:r>
    </w:p>
    <w:p>
      <w:pPr>
        <w:pStyle w:val="Normal"/>
        <w:numPr>
          <w:ilvl w:val="0"/>
          <w:numId w:val="21"/>
        </w:numPr>
        <w:bidi w:val="0"/>
        <w:jc w:val="both"/>
        <w:rPr>
          <w:rFonts w:ascii="Arial" w:hAnsi="Arial" w:cs="Arial"/>
          <w:szCs w:val="20"/>
        </w:rPr>
      </w:pPr>
      <w:r>
        <w:rPr>
          <w:rFonts w:cs="Arial" w:ascii="Arial" w:hAnsi="Arial"/>
          <w:szCs w:val="20"/>
        </w:rPr>
        <w:t>The main analytical dataset is the 2024 release.</w:t>
      </w:r>
    </w:p>
    <w:p>
      <w:pPr>
        <w:pStyle w:val="Normal"/>
        <w:numPr>
          <w:ilvl w:val="0"/>
          <w:numId w:val="21"/>
        </w:numPr>
        <w:bidi w:val="0"/>
        <w:jc w:val="both"/>
        <w:rPr>
          <w:rFonts w:ascii="Arial" w:hAnsi="Arial" w:cs="Arial"/>
          <w:szCs w:val="20"/>
        </w:rPr>
      </w:pPr>
      <w:r>
        <w:rPr>
          <w:rFonts w:cs="Arial" w:ascii="Arial" w:hAnsi="Arial"/>
          <w:szCs w:val="20"/>
        </w:rPr>
        <w:t>The presentation reports approximately 10.78 million rows and 29 country codes before filtering.</w:t>
      </w:r>
    </w:p>
    <w:p>
      <w:pPr>
        <w:pStyle w:val="Normal"/>
        <w:numPr>
          <w:ilvl w:val="0"/>
          <w:numId w:val="21"/>
        </w:numPr>
        <w:bidi w:val="0"/>
        <w:jc w:val="both"/>
        <w:rPr>
          <w:rFonts w:ascii="Arial" w:hAnsi="Arial" w:cs="Arial"/>
          <w:szCs w:val="20"/>
        </w:rPr>
      </w:pPr>
      <w:r>
        <w:rPr>
          <w:rFonts w:cs="Arial" w:ascii="Arial" w:hAnsi="Arial"/>
          <w:szCs w:val="20"/>
        </w:rPr>
        <w:t>The dataset includes technical vehicle specifications, fuel information, manufacturer information, registration information, and official WLTP emissions.</w:t>
      </w:r>
    </w:p>
    <w:p>
      <w:pPr>
        <w:pStyle w:val="BodyText"/>
        <w:numPr>
          <w:ilvl w:val="0"/>
          <w:numId w:val="8"/>
        </w:numPr>
        <w:tabs>
          <w:tab w:val="clear" w:pos="720"/>
          <w:tab w:val="left" w:pos="0" w:leader="none"/>
        </w:tabs>
        <w:bidi w:val="0"/>
        <w:spacing w:lineRule="auto" w:line="331" w:before="0" w:after="0"/>
        <w:ind w:hanging="283" w:start="709" w:end="0"/>
        <w:jc w:val="both"/>
        <w:rPr>
          <w:rFonts w:ascii="Arial;sans-serif" w:hAnsi="Arial;sans-serif" w:cs="Arial"/>
          <w:b/>
          <w:i w:val="false"/>
          <w:caps w:val="false"/>
          <w:smallCaps w:val="false"/>
          <w:strike w:val="false"/>
          <w:dstrike w:val="false"/>
          <w:color w:val="000000"/>
          <w:sz w:val="22"/>
          <w:szCs w:val="20"/>
          <w:u w:val="none"/>
          <w:effect w:val="none"/>
          <w:shd w:fill="auto" w:val="clear"/>
        </w:rPr>
      </w:pPr>
      <w:r>
        <w:rPr>
          <w:rFonts w:cs="Arial" w:ascii="Arial;sans-serif" w:hAnsi="Arial;sans-serif"/>
          <w:b/>
          <w:i w:val="false"/>
          <w:caps w:val="false"/>
          <w:smallCaps w:val="false"/>
          <w:strike w:val="false"/>
          <w:dstrike w:val="false"/>
          <w:color w:val="000000"/>
          <w:sz w:val="22"/>
          <w:szCs w:val="20"/>
          <w:u w:val="none"/>
          <w:effect w:val="none"/>
          <w:shd w:fill="auto" w:val="clear"/>
        </w:rPr>
        <w:t>French ADEME data</w:t>
      </w:r>
    </w:p>
    <w:p>
      <w:pPr>
        <w:pStyle w:val="Normal"/>
        <w:numPr>
          <w:ilvl w:val="0"/>
          <w:numId w:val="21"/>
        </w:numPr>
        <w:bidi w:val="0"/>
        <w:jc w:val="both"/>
        <w:rPr>
          <w:rFonts w:ascii="Arial" w:hAnsi="Arial" w:cs="Arial"/>
          <w:szCs w:val="20"/>
        </w:rPr>
      </w:pPr>
      <w:r>
        <w:rPr>
          <w:rFonts w:cs="Arial" w:ascii="Arial" w:hAnsi="Arial"/>
          <w:szCs w:val="20"/>
        </w:rPr>
        <w:t>French governmental data concerning vehicles marketed in France.</w:t>
      </w:r>
    </w:p>
    <w:p>
      <w:pPr>
        <w:pStyle w:val="Normal"/>
        <w:numPr>
          <w:ilvl w:val="0"/>
          <w:numId w:val="21"/>
        </w:numPr>
        <w:bidi w:val="0"/>
        <w:jc w:val="both"/>
        <w:rPr>
          <w:rFonts w:ascii="Arial" w:hAnsi="Arial" w:cs="Arial"/>
          <w:szCs w:val="20"/>
        </w:rPr>
      </w:pPr>
      <w:r>
        <w:rPr>
          <w:rFonts w:cs="Arial" w:ascii="Arial" w:hAnsi="Arial"/>
          <w:szCs w:val="20"/>
        </w:rPr>
        <w:t>Covers historical years from 2001 to 2015.</w:t>
      </w:r>
    </w:p>
    <w:p>
      <w:pPr>
        <w:pStyle w:val="Normal"/>
        <w:numPr>
          <w:ilvl w:val="0"/>
          <w:numId w:val="21"/>
        </w:numPr>
        <w:bidi w:val="0"/>
        <w:jc w:val="both"/>
        <w:rPr>
          <w:rFonts w:ascii="Arial" w:hAnsi="Arial" w:cs="Arial"/>
          <w:szCs w:val="20"/>
        </w:rPr>
      </w:pPr>
      <w:r>
        <w:rPr>
          <w:rFonts w:cs="Arial" w:ascii="Arial" w:hAnsi="Arial"/>
          <w:szCs w:val="20"/>
        </w:rPr>
        <w:t>The schema changes considerably over time, ranging from approximately 12 to 30 columns.</w:t>
      </w:r>
    </w:p>
    <w:p>
      <w:pPr>
        <w:pStyle w:val="Normal"/>
        <w:numPr>
          <w:ilvl w:val="0"/>
          <w:numId w:val="21"/>
        </w:numPr>
        <w:bidi w:val="0"/>
        <w:jc w:val="both"/>
        <w:rPr>
          <w:rFonts w:ascii="Arial" w:hAnsi="Arial" w:cs="Arial"/>
          <w:szCs w:val="20"/>
        </w:rPr>
      </w:pPr>
      <w:r>
        <w:rPr>
          <w:rFonts w:cs="Arial" w:ascii="Arial" w:hAnsi="Arial"/>
          <w:szCs w:val="20"/>
        </w:rPr>
        <w:t>The 2015 dataset contains approximately 20,880 observations and detailed technical, emissions, pollutant, and administrative variables.</w:t>
      </w:r>
    </w:p>
    <w:p>
      <w:pPr>
        <w:pStyle w:val="Normal"/>
        <w:bidi w:val="0"/>
        <w:jc w:val="both"/>
        <w:rPr>
          <w:rFonts w:ascii="Arial" w:hAnsi="Arial" w:cs="Arial"/>
          <w:szCs w:val="20"/>
        </w:rPr>
      </w:pPr>
      <w:r>
        <w:rPr>
          <w:rFonts w:cs="Arial" w:ascii="Arial" w:hAnsi="Arial"/>
          <w:szCs w:val="20"/>
        </w:rPr>
        <w:t>The datasets are publicly available through governmental and European data portals. The relevant sources identified in the presentation are the European Environment Agency and data.gouv.fr. The data is therefore not proprietary to the project team, although its collection, publication, and regulatory ownership remain with the relevant public institutions.</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Dataset volume</w:t>
      </w:r>
    </w:p>
    <w:p>
      <w:pPr>
        <w:pStyle w:val="Normal"/>
        <w:bidi w:val="0"/>
        <w:jc w:val="both"/>
        <w:rPr>
          <w:rFonts w:ascii="Arial" w:hAnsi="Arial" w:cs="Arial"/>
          <w:szCs w:val="20"/>
        </w:rPr>
      </w:pPr>
      <w:r>
        <w:rPr>
          <w:rFonts w:cs="Arial" w:ascii="Arial" w:hAnsi="Arial"/>
          <w:szCs w:val="20"/>
        </w:rPr>
        <w:t>The EEA 2024 dataset is very large, with more than 10 million records in its original form. The presentation later describes a cleaned French 2024 dataset containing approximately 119,380 rows and 18 columns for the modelling preparation stage.</w:t>
      </w:r>
    </w:p>
    <w:p>
      <w:pPr>
        <w:pStyle w:val="Normal"/>
        <w:bidi w:val="0"/>
        <w:jc w:val="both"/>
        <w:rPr>
          <w:rFonts w:ascii="Arial" w:hAnsi="Arial" w:cs="Arial"/>
          <w:szCs w:val="20"/>
        </w:rPr>
      </w:pPr>
      <w:r>
        <w:rPr>
          <w:rFonts w:cs="Arial" w:ascii="Arial" w:hAnsi="Arial"/>
          <w:szCs w:val="20"/>
        </w:rPr>
        <w:t>The ADEME data is considerably smaller but historically more heterogeneous. The 2015 ADEME dataset contains approximately 20,880 rows, while the French EEA comparison dataset contains approximately 28,051 records.</w:t>
      </w:r>
    </w:p>
    <w:p>
      <w:pPr>
        <w:pStyle w:val="Normal"/>
        <w:bidi w:val="0"/>
        <w:jc w:val="both"/>
        <w:rPr>
          <w:rFonts w:ascii="Arial" w:hAnsi="Arial" w:cs="Arial"/>
          <w:szCs w:val="20"/>
        </w:rPr>
      </w:pPr>
      <w:r>
        <w:rPr>
          <w:rFonts w:cs="Arial" w:ascii="Arial" w:hAnsi="Arial"/>
          <w:szCs w:val="20"/>
        </w:rPr>
        <w:t>The large EEA dataset creates practical challenges involving memory use, processing time, categorical cardinality, duplicate handling, and efficient exploratory analysis.</w:t>
      </w:r>
    </w:p>
    <w:p>
      <w:pPr>
        <w:pStyle w:val="Normal"/>
        <w:bidi w:val="0"/>
        <w:jc w:val="both"/>
        <w:rPr>
          <w:rFonts w:ascii="Arial" w:hAnsi="Arial" w:cs="Arial"/>
          <w:szCs w:val="20"/>
        </w:rPr>
      </w:pPr>
      <w:r>
        <w:rPr>
          <w:rFonts w:cs="Arial" w:ascii="Arial" w:hAnsi="Arial"/>
          <w:szCs w:val="20"/>
        </w:rPr>
        <w:t xml:space="preserve">After comparative analysis between EEA and ADEME datasets, for reasons detailed in the data limitations section we have decided to drop the ADEME dataset and continue our study using EEA dataset. Furthermore, considering the file size of the EEA dataset, we have decided to continue our study by filtering the EEA dataset by </w:t>
      </w:r>
      <w:r>
        <w:rPr>
          <w:rFonts w:cs="Arial" w:ascii="Arial" w:hAnsi="Arial"/>
          <w:b/>
          <w:bCs/>
          <w:szCs w:val="20"/>
        </w:rPr>
        <w:t xml:space="preserve">France and limit our study to use 2024 final dataset for training and validation and 2025 provisional dataset for testing. </w:t>
      </w:r>
    </w:p>
    <w:p>
      <w:pPr>
        <w:pStyle w:val="HorizontalLine"/>
        <w:spacing w:before="0" w:after="200"/>
        <w:jc w:val="both"/>
        <w:rPr>
          <w:rFonts w:ascii="Arial" w:hAnsi="Arial" w:cs="Arial"/>
          <w:b/>
          <w:sz w:val="20"/>
          <w:szCs w:val="20"/>
        </w:rPr>
      </w:pPr>
      <w:r>
        <w:rPr>
          <w:rFonts w:cs="Arial" w:ascii="Arial" w:hAnsi="Arial"/>
          <w:b/>
          <w:sz w:val="20"/>
          <w:szCs w:val="20"/>
        </w:rPr>
      </w:r>
    </w:p>
    <w:p>
      <w:pPr>
        <w:pStyle w:val="Heading1"/>
        <w:widowControl/>
        <w:suppressAutoHyphens w:val="true"/>
        <w:bidi w:val="0"/>
        <w:spacing w:lineRule="auto" w:line="276"/>
        <w:ind w:hanging="0" w:start="0"/>
        <w:jc w:val="both"/>
        <w:rPr>
          <w:rFonts w:ascii="Arial" w:hAnsi="Arial" w:cs="Arial"/>
          <w:szCs w:val="20"/>
        </w:rPr>
      </w:pPr>
      <w:r>
        <w:rPr>
          <w:rFonts w:cs="Arial" w:ascii="Arial" w:hAnsi="Arial"/>
          <w:kern w:val="0"/>
          <w:szCs w:val="20"/>
          <w:lang w:val="en-US" w:eastAsia="en-US" w:bidi="ar-SA"/>
        </w:rPr>
        <w:t>2. Relevance of the Data</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Target variable</w:t>
      </w:r>
    </w:p>
    <w:p>
      <w:pPr>
        <w:pStyle w:val="Normal"/>
        <w:bidi w:val="0"/>
        <w:jc w:val="both"/>
        <w:rPr>
          <w:rFonts w:ascii="Arial" w:hAnsi="Arial" w:cs="Arial"/>
          <w:szCs w:val="20"/>
        </w:rPr>
      </w:pPr>
      <w:r>
        <w:rPr>
          <w:rFonts w:cs="Arial" w:ascii="Arial" w:hAnsi="Arial"/>
          <w:szCs w:val="20"/>
        </w:rPr>
        <w:t>The principal target variable is:</w:t>
      </w:r>
    </w:p>
    <w:p>
      <w:pPr>
        <w:pStyle w:val="Normal"/>
        <w:numPr>
          <w:ilvl w:val="0"/>
          <w:numId w:val="22"/>
        </w:numPr>
        <w:bidi w:val="0"/>
        <w:jc w:val="both"/>
        <w:rPr>
          <w:rFonts w:ascii="Arial" w:hAnsi="Arial" w:cs="Arial"/>
          <w:szCs w:val="20"/>
        </w:rPr>
      </w:pPr>
      <w:r>
        <w:rPr>
          <w:rFonts w:cs="Arial" w:ascii="Arial" w:hAnsi="Arial"/>
          <w:b/>
          <w:bCs/>
          <w:szCs w:val="20"/>
        </w:rPr>
        <w:t xml:space="preserve">Ewltp (g/km): </w:t>
      </w:r>
      <w:r>
        <w:rPr>
          <w:rFonts w:cs="Arial" w:ascii="Arial" w:hAnsi="Arial"/>
          <w:szCs w:val="20"/>
        </w:rPr>
        <w:t>official WLTP CO₂ emissions.</w:t>
      </w:r>
    </w:p>
    <w:p>
      <w:pPr>
        <w:pStyle w:val="Normal"/>
        <w:bidi w:val="0"/>
        <w:jc w:val="both"/>
        <w:rPr>
          <w:rFonts w:ascii="Arial" w:hAnsi="Arial" w:cs="Arial"/>
          <w:szCs w:val="20"/>
        </w:rPr>
      </w:pPr>
      <w:r>
        <w:rPr>
          <w:rFonts w:cs="Arial" w:ascii="Arial" w:hAnsi="Arial"/>
          <w:szCs w:val="20"/>
        </w:rPr>
        <w:t>For the ADEME dataset, the corresponding target is:</w:t>
      </w:r>
    </w:p>
    <w:p>
      <w:pPr>
        <w:pStyle w:val="Normal"/>
        <w:numPr>
          <w:ilvl w:val="0"/>
          <w:numId w:val="23"/>
        </w:numPr>
        <w:bidi w:val="0"/>
        <w:jc w:val="both"/>
        <w:rPr>
          <w:rFonts w:ascii="Arial" w:hAnsi="Arial" w:cs="Arial"/>
          <w:szCs w:val="20"/>
        </w:rPr>
      </w:pPr>
      <w:r>
        <w:rPr>
          <w:rFonts w:cs="Arial" w:ascii="Arial" w:hAnsi="Arial"/>
          <w:b/>
          <w:bCs/>
          <w:szCs w:val="20"/>
        </w:rPr>
        <w:t xml:space="preserve">co2_mixte: </w:t>
      </w:r>
      <w:r>
        <w:rPr>
          <w:rFonts w:cs="Arial" w:ascii="Arial" w:hAnsi="Arial"/>
          <w:szCs w:val="20"/>
        </w:rPr>
        <w:t>combined CO₂ emissions in grams per kilometre.</w:t>
      </w:r>
    </w:p>
    <w:p>
      <w:pPr>
        <w:pStyle w:val="Normal"/>
        <w:bidi w:val="0"/>
        <w:jc w:val="both"/>
        <w:rPr>
          <w:rFonts w:ascii="Arial" w:hAnsi="Arial" w:cs="Arial"/>
          <w:szCs w:val="20"/>
        </w:rPr>
      </w:pPr>
      <w:r>
        <w:rPr>
          <w:rFonts w:cs="Arial" w:ascii="Arial" w:hAnsi="Arial"/>
          <w:szCs w:val="20"/>
        </w:rPr>
        <w:t>The target represents an official laboratory or homologation value. It should not be interpreted as a direct measurement of real-world emissions under all driving conditions.</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Relevant variables</w:t>
      </w:r>
    </w:p>
    <w:p>
      <w:pPr>
        <w:pStyle w:val="Normal"/>
        <w:bidi w:val="0"/>
        <w:jc w:val="both"/>
        <w:rPr>
          <w:rFonts w:ascii="Arial" w:hAnsi="Arial" w:cs="Arial"/>
          <w:szCs w:val="20"/>
        </w:rPr>
      </w:pPr>
      <w:r>
        <w:rPr>
          <w:rFonts w:cs="Arial" w:ascii="Arial" w:hAnsi="Arial"/>
          <w:szCs w:val="20"/>
        </w:rPr>
        <w:t>The most relevant candidate predictors include:</w:t>
      </w:r>
    </w:p>
    <w:tbl>
      <w:tblPr>
        <w:tblW w:w="5000" w:type="pct"/>
        <w:jc w:val="start"/>
        <w:tblInd w:w="-5" w:type="dxa"/>
        <w:tblLayout w:type="fixed"/>
        <w:tblCellMar>
          <w:top w:w="58" w:type="dxa"/>
          <w:start w:w="58" w:type="dxa"/>
          <w:bottom w:w="58" w:type="dxa"/>
          <w:end w:w="58" w:type="dxa"/>
        </w:tblCellMar>
      </w:tblPr>
      <w:tblGrid>
        <w:gridCol w:w="4319"/>
        <w:gridCol w:w="4321"/>
      </w:tblGrid>
      <w:tr>
        <w:trPr/>
        <w:tc>
          <w:tcPr>
            <w:tcW w:w="4319" w:type="dxa"/>
            <w:tcBorders>
              <w:top w:val="single" w:sz="4" w:space="0" w:color="000000"/>
              <w:start w:val="single" w:sz="4" w:space="0" w:color="000000"/>
              <w:bottom w:val="single" w:sz="4" w:space="0" w:color="000000"/>
              <w:end w:val="single" w:sz="4" w:space="0" w:color="000000"/>
            </w:tcBorders>
          </w:tcPr>
          <w:p>
            <w:pPr>
              <w:pStyle w:val="Normal"/>
              <w:bidi w:val="0"/>
              <w:jc w:val="both"/>
              <w:rPr>
                <w:rFonts w:ascii="Arial" w:hAnsi="Arial" w:cs="Arial"/>
                <w:szCs w:val="20"/>
              </w:rPr>
            </w:pPr>
            <w:r>
              <w:rPr>
                <w:rFonts w:cs="Arial" w:ascii="Arial" w:hAnsi="Arial"/>
                <w:szCs w:val="20"/>
              </w:rPr>
              <w:t>For the EU dataset, important variables include:</w:t>
            </w:r>
          </w:p>
          <w:p>
            <w:pPr>
              <w:pStyle w:val="Normal"/>
              <w:numPr>
                <w:ilvl w:val="0"/>
                <w:numId w:val="24"/>
              </w:numPr>
              <w:bidi w:val="0"/>
              <w:spacing w:lineRule="auto" w:line="168"/>
              <w:jc w:val="both"/>
              <w:rPr/>
            </w:pPr>
            <w:r>
              <w:rPr>
                <w:rFonts w:cs="Arial" w:ascii="Arial" w:hAnsi="Arial"/>
                <w:b/>
                <w:bCs/>
                <w:szCs w:val="20"/>
              </w:rPr>
              <w:t>m:</w:t>
            </w:r>
            <w:r>
              <w:rPr>
                <w:rFonts w:cs="Arial" w:ascii="Arial" w:hAnsi="Arial"/>
                <w:szCs w:val="20"/>
              </w:rPr>
              <w:t xml:space="preserve"> vehicle mass in kilograms.</w:t>
            </w:r>
          </w:p>
          <w:p>
            <w:pPr>
              <w:pStyle w:val="Normal"/>
              <w:numPr>
                <w:ilvl w:val="0"/>
                <w:numId w:val="24"/>
              </w:numPr>
              <w:bidi w:val="0"/>
              <w:spacing w:lineRule="auto" w:line="168"/>
              <w:jc w:val="both"/>
              <w:rPr/>
            </w:pPr>
            <w:r>
              <w:rPr>
                <w:rFonts w:cs="Arial" w:ascii="Arial" w:hAnsi="Arial"/>
                <w:b/>
                <w:bCs/>
                <w:szCs w:val="20"/>
              </w:rPr>
              <w:t>Mt:</w:t>
            </w:r>
            <w:r>
              <w:rPr>
                <w:rFonts w:cs="Arial" w:ascii="Arial" w:hAnsi="Arial"/>
                <w:szCs w:val="20"/>
              </w:rPr>
              <w:t xml:space="preserve"> WLTP test mass.</w:t>
            </w:r>
          </w:p>
          <w:p>
            <w:pPr>
              <w:pStyle w:val="Normal"/>
              <w:numPr>
                <w:ilvl w:val="0"/>
                <w:numId w:val="24"/>
              </w:numPr>
              <w:bidi w:val="0"/>
              <w:spacing w:lineRule="auto" w:line="168"/>
              <w:jc w:val="both"/>
              <w:rPr/>
            </w:pPr>
            <w:r>
              <w:rPr>
                <w:rFonts w:cs="Arial" w:ascii="Arial" w:hAnsi="Arial"/>
                <w:b/>
                <w:bCs/>
                <w:szCs w:val="20"/>
              </w:rPr>
              <w:t>ec:</w:t>
            </w:r>
            <w:r>
              <w:rPr>
                <w:rFonts w:cs="Arial" w:ascii="Arial" w:hAnsi="Arial"/>
                <w:szCs w:val="20"/>
              </w:rPr>
              <w:t xml:space="preserve"> engine displacement in cubic centimetres.</w:t>
            </w:r>
          </w:p>
          <w:p>
            <w:pPr>
              <w:pStyle w:val="Normal"/>
              <w:numPr>
                <w:ilvl w:val="0"/>
                <w:numId w:val="24"/>
              </w:numPr>
              <w:bidi w:val="0"/>
              <w:spacing w:lineRule="auto" w:line="168"/>
              <w:jc w:val="both"/>
              <w:rPr/>
            </w:pPr>
            <w:r>
              <w:rPr>
                <w:rFonts w:cs="Arial" w:ascii="Arial" w:hAnsi="Arial"/>
                <w:b/>
                <w:bCs/>
                <w:szCs w:val="20"/>
              </w:rPr>
              <w:t>ep:</w:t>
            </w:r>
            <w:r>
              <w:rPr>
                <w:rFonts w:cs="Arial" w:ascii="Arial" w:hAnsi="Arial"/>
                <w:szCs w:val="20"/>
              </w:rPr>
              <w:t xml:space="preserve"> maximum engine power in kilowatts.</w:t>
            </w:r>
          </w:p>
          <w:p>
            <w:pPr>
              <w:pStyle w:val="Normal"/>
              <w:numPr>
                <w:ilvl w:val="0"/>
                <w:numId w:val="24"/>
              </w:numPr>
              <w:bidi w:val="0"/>
              <w:spacing w:lineRule="auto" w:line="168"/>
              <w:jc w:val="both"/>
              <w:rPr/>
            </w:pPr>
            <w:r>
              <w:rPr>
                <w:rFonts w:cs="Arial" w:ascii="Arial" w:hAnsi="Arial"/>
                <w:b/>
                <w:bCs/>
                <w:szCs w:val="20"/>
              </w:rPr>
              <w:t>Ft:</w:t>
            </w:r>
            <w:r>
              <w:rPr>
                <w:rFonts w:cs="Arial" w:ascii="Arial" w:hAnsi="Arial"/>
                <w:szCs w:val="20"/>
              </w:rPr>
              <w:t xml:space="preserve"> fuel type.</w:t>
            </w:r>
          </w:p>
          <w:p>
            <w:pPr>
              <w:pStyle w:val="Normal"/>
              <w:numPr>
                <w:ilvl w:val="0"/>
                <w:numId w:val="24"/>
              </w:numPr>
              <w:bidi w:val="0"/>
              <w:spacing w:lineRule="auto" w:line="168"/>
              <w:jc w:val="both"/>
              <w:rPr/>
            </w:pPr>
            <w:r>
              <w:rPr>
                <w:rFonts w:cs="Arial" w:ascii="Arial" w:hAnsi="Arial"/>
                <w:b/>
                <w:bCs/>
                <w:szCs w:val="20"/>
              </w:rPr>
              <w:t>Fm:</w:t>
            </w:r>
            <w:r>
              <w:rPr>
                <w:rFonts w:cs="Arial" w:ascii="Arial" w:hAnsi="Arial"/>
                <w:szCs w:val="20"/>
              </w:rPr>
              <w:t xml:space="preserve"> fuel mode.</w:t>
            </w:r>
          </w:p>
          <w:p>
            <w:pPr>
              <w:pStyle w:val="Normal"/>
              <w:numPr>
                <w:ilvl w:val="0"/>
                <w:numId w:val="24"/>
              </w:numPr>
              <w:bidi w:val="0"/>
              <w:spacing w:lineRule="auto" w:line="168"/>
              <w:jc w:val="both"/>
              <w:rPr/>
            </w:pPr>
            <w:r>
              <w:rPr>
                <w:rFonts w:cs="Arial" w:ascii="Arial" w:hAnsi="Arial"/>
                <w:b/>
                <w:bCs/>
                <w:szCs w:val="20"/>
              </w:rPr>
              <w:t>Electric range:</w:t>
            </w:r>
            <w:r>
              <w:rPr>
                <w:rFonts w:cs="Arial" w:ascii="Arial" w:hAnsi="Arial"/>
                <w:szCs w:val="20"/>
              </w:rPr>
              <w:t xml:space="preserve"> electric driving range.</w:t>
            </w:r>
          </w:p>
          <w:p>
            <w:pPr>
              <w:pStyle w:val="Normal"/>
              <w:numPr>
                <w:ilvl w:val="0"/>
                <w:numId w:val="24"/>
              </w:numPr>
              <w:bidi w:val="0"/>
              <w:spacing w:lineRule="auto" w:line="168"/>
              <w:jc w:val="both"/>
              <w:rPr/>
            </w:pPr>
            <w:r>
              <w:rPr>
                <w:rFonts w:cs="Arial" w:ascii="Arial" w:hAnsi="Arial"/>
                <w:b/>
                <w:bCs/>
                <w:szCs w:val="20"/>
              </w:rPr>
              <w:t>z:</w:t>
            </w:r>
            <w:r>
              <w:rPr>
                <w:rFonts w:cs="Arial" w:ascii="Arial" w:hAnsi="Arial"/>
                <w:szCs w:val="20"/>
              </w:rPr>
              <w:t xml:space="preserve"> electric energy consumption in Wh/km.</w:t>
            </w:r>
          </w:p>
          <w:p>
            <w:pPr>
              <w:pStyle w:val="Normal"/>
              <w:numPr>
                <w:ilvl w:val="0"/>
                <w:numId w:val="24"/>
              </w:numPr>
              <w:bidi w:val="0"/>
              <w:spacing w:lineRule="auto" w:line="168"/>
              <w:jc w:val="both"/>
              <w:rPr/>
            </w:pPr>
            <w:r>
              <w:rPr>
                <w:rFonts w:cs="Arial" w:ascii="Arial" w:hAnsi="Arial"/>
                <w:b/>
                <w:bCs/>
                <w:szCs w:val="20"/>
              </w:rPr>
              <w:t>Ct:</w:t>
            </w:r>
            <w:r>
              <w:rPr>
                <w:rFonts w:cs="Arial" w:ascii="Arial" w:hAnsi="Arial"/>
                <w:szCs w:val="20"/>
              </w:rPr>
              <w:t xml:space="preserve"> type-approval vehicle category.</w:t>
            </w:r>
          </w:p>
          <w:p>
            <w:pPr>
              <w:pStyle w:val="Normal"/>
              <w:numPr>
                <w:ilvl w:val="0"/>
                <w:numId w:val="24"/>
              </w:numPr>
              <w:bidi w:val="0"/>
              <w:spacing w:lineRule="auto" w:line="168"/>
              <w:jc w:val="both"/>
              <w:rPr/>
            </w:pPr>
            <w:r>
              <w:rPr>
                <w:rFonts w:cs="Arial" w:ascii="Arial" w:hAnsi="Arial"/>
                <w:b/>
                <w:bCs/>
                <w:szCs w:val="20"/>
              </w:rPr>
              <w:t>Mk:</w:t>
            </w:r>
            <w:r>
              <w:rPr>
                <w:rFonts w:cs="Arial" w:ascii="Arial" w:hAnsi="Arial"/>
                <w:szCs w:val="20"/>
              </w:rPr>
              <w:t xml:space="preserve"> vehicle make or brand.</w:t>
            </w:r>
          </w:p>
          <w:p>
            <w:pPr>
              <w:pStyle w:val="Normal"/>
              <w:numPr>
                <w:ilvl w:val="0"/>
                <w:numId w:val="24"/>
              </w:numPr>
              <w:bidi w:val="0"/>
              <w:spacing w:lineRule="auto" w:line="168" w:before="0" w:after="200"/>
              <w:jc w:val="both"/>
              <w:rPr/>
            </w:pPr>
            <w:r>
              <w:rPr>
                <w:rFonts w:cs="Arial" w:ascii="Arial" w:hAnsi="Arial"/>
                <w:b/>
                <w:bCs/>
                <w:szCs w:val="20"/>
              </w:rPr>
              <w:t>IT</w:t>
            </w:r>
            <w:r>
              <w:rPr>
                <w:rFonts w:cs="Arial" w:ascii="Arial" w:hAnsi="Arial"/>
                <w:szCs w:val="20"/>
              </w:rPr>
              <w:t>: eco-innovation technology indicators.</w:t>
            </w:r>
          </w:p>
        </w:tc>
        <w:tc>
          <w:tcPr>
            <w:tcW w:w="4321" w:type="dxa"/>
            <w:tcBorders>
              <w:top w:val="single" w:sz="4" w:space="0" w:color="000000"/>
              <w:start w:val="single" w:sz="4" w:space="0" w:color="000000"/>
              <w:bottom w:val="single" w:sz="4" w:space="0" w:color="000000"/>
              <w:end w:val="single" w:sz="4" w:space="0" w:color="000000"/>
            </w:tcBorders>
          </w:tcPr>
          <w:p>
            <w:pPr>
              <w:pStyle w:val="Normal"/>
              <w:bidi w:val="0"/>
              <w:jc w:val="both"/>
              <w:rPr>
                <w:rFonts w:ascii="Arial" w:hAnsi="Arial" w:cs="Arial"/>
                <w:szCs w:val="20"/>
              </w:rPr>
            </w:pPr>
            <w:r>
              <w:rPr>
                <w:rFonts w:cs="Arial" w:ascii="Arial" w:hAnsi="Arial"/>
                <w:szCs w:val="20"/>
              </w:rPr>
              <w:t>For the ADEME dataset, important variables include:</w:t>
            </w:r>
          </w:p>
          <w:p>
            <w:pPr>
              <w:pStyle w:val="Normal"/>
              <w:numPr>
                <w:ilvl w:val="0"/>
                <w:numId w:val="25"/>
              </w:numPr>
              <w:bidi w:val="0"/>
              <w:jc w:val="both"/>
              <w:rPr/>
            </w:pPr>
            <w:r>
              <w:rPr/>
              <w:t>Vehicle mass.</w:t>
            </w:r>
          </w:p>
          <w:p>
            <w:pPr>
              <w:pStyle w:val="Normal"/>
              <w:numPr>
                <w:ilvl w:val="0"/>
                <w:numId w:val="25"/>
              </w:numPr>
              <w:bidi w:val="0"/>
              <w:jc w:val="both"/>
              <w:rPr>
                <w:rFonts w:ascii="Arial" w:hAnsi="Arial" w:cs="Arial"/>
                <w:szCs w:val="20"/>
              </w:rPr>
            </w:pPr>
            <w:r>
              <w:rPr>
                <w:rFonts w:cs="Arial" w:ascii="Arial" w:hAnsi="Arial"/>
                <w:szCs w:val="20"/>
              </w:rPr>
              <w:t>Maximum engine power.</w:t>
            </w:r>
          </w:p>
          <w:p>
            <w:pPr>
              <w:pStyle w:val="Normal"/>
              <w:numPr>
                <w:ilvl w:val="0"/>
                <w:numId w:val="25"/>
              </w:numPr>
              <w:bidi w:val="0"/>
              <w:jc w:val="both"/>
              <w:rPr>
                <w:rFonts w:ascii="Arial" w:hAnsi="Arial" w:cs="Arial"/>
                <w:szCs w:val="20"/>
              </w:rPr>
            </w:pPr>
            <w:r>
              <w:rPr>
                <w:rFonts w:cs="Arial" w:ascii="Arial" w:hAnsi="Arial"/>
                <w:szCs w:val="20"/>
              </w:rPr>
              <w:t>Combined fuel consumption.</w:t>
            </w:r>
          </w:p>
          <w:p>
            <w:pPr>
              <w:pStyle w:val="Normal"/>
              <w:numPr>
                <w:ilvl w:val="0"/>
                <w:numId w:val="25"/>
              </w:numPr>
              <w:bidi w:val="0"/>
              <w:jc w:val="both"/>
              <w:rPr>
                <w:rFonts w:ascii="Arial" w:hAnsi="Arial" w:cs="Arial"/>
                <w:szCs w:val="20"/>
              </w:rPr>
            </w:pPr>
            <w:r>
              <w:rPr>
                <w:rFonts w:cs="Arial" w:ascii="Arial" w:hAnsi="Arial"/>
                <w:szCs w:val="20"/>
              </w:rPr>
              <w:t>Fuel type.</w:t>
            </w:r>
          </w:p>
          <w:p>
            <w:pPr>
              <w:pStyle w:val="Normal"/>
              <w:numPr>
                <w:ilvl w:val="0"/>
                <w:numId w:val="25"/>
              </w:numPr>
              <w:bidi w:val="0"/>
              <w:jc w:val="both"/>
              <w:rPr>
                <w:rFonts w:ascii="Arial" w:hAnsi="Arial" w:cs="Arial"/>
                <w:szCs w:val="20"/>
              </w:rPr>
            </w:pPr>
            <w:r>
              <w:rPr>
                <w:rFonts w:cs="Arial" w:ascii="Arial" w:hAnsi="Arial"/>
                <w:szCs w:val="20"/>
              </w:rPr>
              <w:t>Hybrid status.</w:t>
            </w:r>
          </w:p>
          <w:p>
            <w:pPr>
              <w:pStyle w:val="Normal"/>
              <w:numPr>
                <w:ilvl w:val="0"/>
                <w:numId w:val="25"/>
              </w:numPr>
              <w:bidi w:val="0"/>
              <w:jc w:val="both"/>
              <w:rPr>
                <w:rFonts w:ascii="Arial" w:hAnsi="Arial" w:cs="Arial"/>
                <w:szCs w:val="20"/>
              </w:rPr>
            </w:pPr>
            <w:r>
              <w:rPr>
                <w:rFonts w:cs="Arial" w:ascii="Arial" w:hAnsi="Arial"/>
                <w:szCs w:val="20"/>
              </w:rPr>
              <w:t>Transmission type.</w:t>
            </w:r>
          </w:p>
          <w:p>
            <w:pPr>
              <w:pStyle w:val="Normal"/>
              <w:numPr>
                <w:ilvl w:val="0"/>
                <w:numId w:val="25"/>
              </w:numPr>
              <w:bidi w:val="0"/>
              <w:jc w:val="both"/>
              <w:rPr>
                <w:rFonts w:ascii="Arial" w:hAnsi="Arial" w:cs="Arial"/>
                <w:szCs w:val="20"/>
              </w:rPr>
            </w:pPr>
            <w:r>
              <w:rPr>
                <w:rFonts w:cs="Arial" w:ascii="Arial" w:hAnsi="Arial"/>
                <w:szCs w:val="20"/>
              </w:rPr>
              <w:t>Engine and pollutant measurements.</w:t>
            </w:r>
          </w:p>
          <w:p>
            <w:pPr>
              <w:pStyle w:val="Normal"/>
              <w:numPr>
                <w:ilvl w:val="0"/>
                <w:numId w:val="25"/>
              </w:numPr>
              <w:bidi w:val="0"/>
              <w:spacing w:before="0" w:after="200"/>
              <w:jc w:val="both"/>
              <w:rPr>
                <w:rFonts w:ascii="Arial" w:hAnsi="Arial" w:cs="Arial"/>
                <w:szCs w:val="20"/>
              </w:rPr>
            </w:pPr>
            <w:r>
              <w:rPr>
                <w:rFonts w:cs="Arial" w:ascii="Arial" w:hAnsi="Arial"/>
                <w:szCs w:val="20"/>
              </w:rPr>
              <w:t>Manufacturer and model information.</w:t>
            </w:r>
          </w:p>
        </w:tc>
      </w:tr>
    </w:tbl>
    <w:p>
      <w:pPr>
        <w:pStyle w:val="Normal"/>
        <w:bidi w:val="0"/>
        <w:jc w:val="both"/>
        <w:rPr>
          <w:rFonts w:ascii="Arial" w:hAnsi="Arial" w:cs="Arial"/>
          <w:szCs w:val="20"/>
        </w:rPr>
      </w:pPr>
      <w:r>
        <w:rPr>
          <w:rFonts w:cs="Arial" w:ascii="Arial" w:hAnsi="Arial"/>
          <w:szCs w:val="20"/>
        </w:rPr>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Important dataset characteristics</w:t>
      </w:r>
    </w:p>
    <w:p>
      <w:pPr>
        <w:pStyle w:val="Normal"/>
        <w:bidi w:val="0"/>
        <w:jc w:val="both"/>
        <w:rPr>
          <w:rFonts w:ascii="Arial" w:hAnsi="Arial" w:cs="Arial"/>
          <w:szCs w:val="20"/>
        </w:rPr>
      </w:pPr>
      <w:r>
        <w:rPr>
          <w:rFonts w:cs="Arial" w:ascii="Arial" w:hAnsi="Arial"/>
          <w:szCs w:val="20"/>
        </w:rPr>
        <w:t>Several characteristics of the data are particularly important:</w:t>
      </w:r>
    </w:p>
    <w:p>
      <w:pPr>
        <w:pStyle w:val="Normal"/>
        <w:numPr>
          <w:ilvl w:val="0"/>
          <w:numId w:val="26"/>
        </w:numPr>
        <w:bidi w:val="0"/>
        <w:jc w:val="both"/>
        <w:rPr>
          <w:rFonts w:ascii="Arial" w:hAnsi="Arial" w:cs="Arial"/>
          <w:szCs w:val="20"/>
        </w:rPr>
      </w:pPr>
      <w:r>
        <w:rPr>
          <w:rFonts w:cs="Arial" w:ascii="Arial" w:hAnsi="Arial"/>
          <w:szCs w:val="20"/>
        </w:rPr>
        <w:t>The EEA dataset is strongly imbalanced by country. Germany, France, Italy, and Spain account for approximately two-thirds of the records.</w:t>
      </w:r>
    </w:p>
    <w:p>
      <w:pPr>
        <w:pStyle w:val="Normal"/>
        <w:numPr>
          <w:ilvl w:val="0"/>
          <w:numId w:val="26"/>
        </w:numPr>
        <w:bidi w:val="0"/>
        <w:jc w:val="both"/>
        <w:rPr>
          <w:rFonts w:ascii="Arial" w:hAnsi="Arial" w:cs="Arial"/>
          <w:szCs w:val="20"/>
        </w:rPr>
      </w:pPr>
      <w:r>
        <w:rPr>
          <w:rFonts w:cs="Arial" w:ascii="Arial" w:hAnsi="Arial"/>
          <w:szCs w:val="20"/>
        </w:rPr>
        <w:t>The 2024 dataset mainly represents passenger vehicles. Approximately 98.79% of vehicle categories are reported as M1, while M1G represents approximately 1.20%.</w:t>
      </w:r>
    </w:p>
    <w:p>
      <w:pPr>
        <w:pStyle w:val="Normal"/>
        <w:numPr>
          <w:ilvl w:val="0"/>
          <w:numId w:val="26"/>
        </w:numPr>
        <w:bidi w:val="0"/>
        <w:jc w:val="both"/>
        <w:rPr>
          <w:rFonts w:ascii="Arial" w:hAnsi="Arial" w:cs="Arial"/>
          <w:szCs w:val="20"/>
        </w:rPr>
      </w:pPr>
      <w:r>
        <w:rPr>
          <w:rFonts w:cs="Arial" w:ascii="Arial" w:hAnsi="Arial"/>
          <w:szCs w:val="20"/>
        </w:rPr>
        <w:t>Fuel categories are unevenly represented. Petrol, diesel, all-electric, and petrol/electric vehicles make up most records.</w:t>
      </w:r>
    </w:p>
    <w:p>
      <w:pPr>
        <w:pStyle w:val="Normal"/>
        <w:numPr>
          <w:ilvl w:val="0"/>
          <w:numId w:val="26"/>
        </w:numPr>
        <w:bidi w:val="0"/>
        <w:jc w:val="both"/>
        <w:rPr>
          <w:rFonts w:ascii="Arial" w:hAnsi="Arial" w:cs="Arial"/>
          <w:szCs w:val="20"/>
        </w:rPr>
      </w:pPr>
      <w:r>
        <w:rPr>
          <w:rFonts w:cs="Arial" w:ascii="Arial" w:hAnsi="Arial"/>
          <w:szCs w:val="20"/>
        </w:rPr>
        <w:t>Electric variables are highly zero-inflated because they are generally not applicable to conventional internal-combustion vehicles.</w:t>
      </w:r>
    </w:p>
    <w:p>
      <w:pPr>
        <w:pStyle w:val="Normal"/>
        <w:numPr>
          <w:ilvl w:val="0"/>
          <w:numId w:val="26"/>
        </w:numPr>
        <w:bidi w:val="0"/>
        <w:jc w:val="both"/>
        <w:rPr>
          <w:rFonts w:ascii="Arial" w:hAnsi="Arial" w:cs="Arial"/>
          <w:szCs w:val="20"/>
        </w:rPr>
      </w:pPr>
      <w:r>
        <w:rPr>
          <w:rFonts w:cs="Arial" w:ascii="Arial" w:hAnsi="Arial"/>
          <w:szCs w:val="20"/>
        </w:rPr>
        <w:t>Manufacturer and model fields have high cardinality and require careful treatment.</w:t>
      </w:r>
    </w:p>
    <w:p>
      <w:pPr>
        <w:pStyle w:val="Normal"/>
        <w:numPr>
          <w:ilvl w:val="0"/>
          <w:numId w:val="26"/>
        </w:numPr>
        <w:bidi w:val="0"/>
        <w:jc w:val="both"/>
        <w:rPr>
          <w:rFonts w:ascii="Arial" w:hAnsi="Arial" w:cs="Arial"/>
          <w:szCs w:val="20"/>
        </w:rPr>
      </w:pPr>
      <w:r>
        <w:rPr>
          <w:rFonts w:cs="Arial" w:ascii="Arial" w:hAnsi="Arial"/>
          <w:szCs w:val="20"/>
        </w:rPr>
        <w:t>Some regulatory identifiers can indirectly encode test conditions or emissions information, making them unsuitable as direct model inputs.</w:t>
      </w:r>
    </w:p>
    <w:p>
      <w:pPr>
        <w:pStyle w:val="Normal"/>
        <w:numPr>
          <w:ilvl w:val="0"/>
          <w:numId w:val="26"/>
        </w:numPr>
        <w:bidi w:val="0"/>
        <w:jc w:val="both"/>
        <w:rPr>
          <w:rFonts w:ascii="Arial" w:hAnsi="Arial" w:cs="Arial"/>
          <w:szCs w:val="20"/>
        </w:rPr>
      </w:pPr>
      <w:r>
        <w:rPr>
          <w:rFonts w:cs="Arial" w:ascii="Arial" w:hAnsi="Arial"/>
          <w:szCs w:val="20"/>
        </w:rPr>
        <w:t>The EU EEA dataset is huge. Only for the year 2024 alone is 2.53 GB, containing millions of entries. In order to be able to carry our study, we will be working on a subset of 2024 data filtered for Country=France. </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Data limitations</w:t>
      </w:r>
    </w:p>
    <w:p>
      <w:pPr>
        <w:pStyle w:val="Normal"/>
        <w:bidi w:val="0"/>
        <w:jc w:val="both"/>
        <w:rPr>
          <w:rFonts w:ascii="Arial" w:hAnsi="Arial" w:cs="Arial"/>
          <w:szCs w:val="20"/>
        </w:rPr>
      </w:pPr>
      <w:r>
        <w:rPr>
          <w:rFonts w:cs="Arial" w:ascii="Arial" w:hAnsi="Arial"/>
          <w:szCs w:val="20"/>
        </w:rPr>
        <w:t>The following limitations were identified:</w:t>
      </w:r>
    </w:p>
    <w:p>
      <w:pPr>
        <w:pStyle w:val="Normal"/>
        <w:numPr>
          <w:ilvl w:val="0"/>
          <w:numId w:val="26"/>
        </w:numPr>
        <w:bidi w:val="0"/>
        <w:jc w:val="both"/>
        <w:rPr>
          <w:rFonts w:ascii="Arial" w:hAnsi="Arial" w:cs="Arial"/>
          <w:szCs w:val="20"/>
        </w:rPr>
      </w:pPr>
      <w:r>
        <w:rPr>
          <w:rFonts w:cs="Arial" w:ascii="Arial" w:hAnsi="Arial"/>
          <w:szCs w:val="20"/>
        </w:rPr>
        <w:t>The data represents newly registered vehicles, not the complete European vehicle fleet.</w:t>
      </w:r>
    </w:p>
    <w:p>
      <w:pPr>
        <w:pStyle w:val="Normal"/>
        <w:numPr>
          <w:ilvl w:val="0"/>
          <w:numId w:val="26"/>
        </w:numPr>
        <w:bidi w:val="0"/>
        <w:jc w:val="both"/>
        <w:rPr>
          <w:rFonts w:ascii="Arial" w:hAnsi="Arial" w:cs="Arial"/>
          <w:szCs w:val="20"/>
        </w:rPr>
      </w:pPr>
      <w:r>
        <w:rPr>
          <w:rFonts w:cs="Arial" w:ascii="Arial" w:hAnsi="Arial"/>
          <w:szCs w:val="20"/>
        </w:rPr>
        <w:t>Registrations are not equivalent to sales volume because the r field is constant at 1.</w:t>
      </w:r>
    </w:p>
    <w:p>
      <w:pPr>
        <w:pStyle w:val="Normal"/>
        <w:numPr>
          <w:ilvl w:val="0"/>
          <w:numId w:val="26"/>
        </w:numPr>
        <w:bidi w:val="0"/>
        <w:jc w:val="both"/>
        <w:rPr>
          <w:rFonts w:ascii="Arial" w:hAnsi="Arial" w:cs="Arial"/>
          <w:szCs w:val="20"/>
        </w:rPr>
      </w:pPr>
      <w:r>
        <w:rPr>
          <w:rFonts w:cs="Arial" w:ascii="Arial" w:hAnsi="Arial"/>
          <w:szCs w:val="20"/>
        </w:rPr>
        <w:t>Countries are unevenly represented.</w:t>
      </w:r>
    </w:p>
    <w:p>
      <w:pPr>
        <w:pStyle w:val="Normal"/>
        <w:numPr>
          <w:ilvl w:val="0"/>
          <w:numId w:val="26"/>
        </w:numPr>
        <w:bidi w:val="0"/>
        <w:jc w:val="both"/>
        <w:rPr>
          <w:rFonts w:ascii="Arial" w:hAnsi="Arial" w:cs="Arial"/>
          <w:szCs w:val="20"/>
        </w:rPr>
      </w:pPr>
      <w:r>
        <w:rPr>
          <w:rFonts w:cs="Arial" w:ascii="Arial" w:hAnsi="Arial"/>
          <w:szCs w:val="20"/>
        </w:rPr>
        <w:t>WLTP values are laboratory-based and do not capture traffic, weather, driving behaviour, maintenance, or road conditions.</w:t>
      </w:r>
    </w:p>
    <w:p>
      <w:pPr>
        <w:pStyle w:val="Normal"/>
        <w:numPr>
          <w:ilvl w:val="0"/>
          <w:numId w:val="26"/>
        </w:numPr>
        <w:bidi w:val="0"/>
        <w:jc w:val="both"/>
        <w:rPr>
          <w:rFonts w:ascii="Arial" w:hAnsi="Arial" w:cs="Arial"/>
          <w:szCs w:val="20"/>
        </w:rPr>
      </w:pPr>
      <w:r>
        <w:rPr>
          <w:rFonts w:cs="Arial" w:ascii="Arial" w:hAnsi="Arial"/>
          <w:szCs w:val="20"/>
        </w:rPr>
        <w:t>Electric-vehicle tailpipe CO₂ does not represent total life-cycle emissions.</w:t>
      </w:r>
    </w:p>
    <w:p>
      <w:pPr>
        <w:pStyle w:val="Normal"/>
        <w:numPr>
          <w:ilvl w:val="0"/>
          <w:numId w:val="26"/>
        </w:numPr>
        <w:bidi w:val="0"/>
        <w:jc w:val="both"/>
        <w:rPr>
          <w:rFonts w:ascii="Arial" w:hAnsi="Arial" w:cs="Arial"/>
          <w:szCs w:val="20"/>
        </w:rPr>
      </w:pPr>
      <w:r>
        <w:rPr>
          <w:rFonts w:cs="Arial" w:ascii="Arial" w:hAnsi="Arial"/>
          <w:szCs w:val="20"/>
        </w:rPr>
        <w:t>Country of registration does not necessarily indicate country of manufacture or actual country of use.</w:t>
      </w:r>
    </w:p>
    <w:p>
      <w:pPr>
        <w:pStyle w:val="Normal"/>
        <w:numPr>
          <w:ilvl w:val="0"/>
          <w:numId w:val="26"/>
        </w:numPr>
        <w:bidi w:val="0"/>
        <w:jc w:val="both"/>
        <w:rPr>
          <w:rFonts w:ascii="Arial" w:hAnsi="Arial" w:cs="Arial"/>
          <w:szCs w:val="20"/>
        </w:rPr>
      </w:pPr>
      <w:r>
        <w:rPr>
          <w:rFonts w:cs="Arial" w:ascii="Arial" w:hAnsi="Arial"/>
          <w:szCs w:val="20"/>
        </w:rPr>
        <w:t>Manufacturer and model names are not fully standardised.</w:t>
      </w:r>
    </w:p>
    <w:p>
      <w:pPr>
        <w:pStyle w:val="Normal"/>
        <w:numPr>
          <w:ilvl w:val="0"/>
          <w:numId w:val="26"/>
        </w:numPr>
        <w:bidi w:val="0"/>
        <w:jc w:val="both"/>
        <w:rPr>
          <w:rFonts w:ascii="Arial" w:hAnsi="Arial" w:cs="Arial"/>
          <w:szCs w:val="20"/>
        </w:rPr>
      </w:pPr>
      <w:r>
        <w:rPr>
          <w:rFonts w:cs="Arial" w:ascii="Arial" w:hAnsi="Arial"/>
          <w:szCs w:val="20"/>
        </w:rPr>
        <w:t>Some variables are systematically missing depending on powertrain type.</w:t>
      </w:r>
    </w:p>
    <w:p>
      <w:pPr>
        <w:pStyle w:val="Normal"/>
        <w:numPr>
          <w:ilvl w:val="0"/>
          <w:numId w:val="26"/>
        </w:numPr>
        <w:bidi w:val="0"/>
        <w:jc w:val="both"/>
        <w:rPr>
          <w:rFonts w:ascii="Arial" w:hAnsi="Arial" w:cs="Arial"/>
          <w:szCs w:val="20"/>
        </w:rPr>
      </w:pPr>
      <w:r>
        <w:rPr>
          <w:rFonts w:cs="Arial" w:ascii="Arial" w:hAnsi="Arial"/>
          <w:szCs w:val="20"/>
        </w:rPr>
        <w:t>The EEA dataset does not provide all historical fields available in the ADEME source.</w:t>
      </w:r>
    </w:p>
    <w:p>
      <w:pPr>
        <w:pStyle w:val="Normal"/>
        <w:numPr>
          <w:ilvl w:val="0"/>
          <w:numId w:val="26"/>
        </w:numPr>
        <w:bidi w:val="0"/>
        <w:jc w:val="both"/>
        <w:rPr>
          <w:rFonts w:ascii="Arial" w:hAnsi="Arial" w:cs="Arial"/>
          <w:szCs w:val="20"/>
        </w:rPr>
      </w:pPr>
      <w:r>
        <w:rPr>
          <w:rFonts w:cs="Arial" w:ascii="Arial" w:hAnsi="Arial"/>
          <w:szCs w:val="20"/>
        </w:rPr>
        <w:t>ADEME is limited to historical data and was discontinued after 2015.</w:t>
      </w:r>
    </w:p>
    <w:p>
      <w:pPr>
        <w:pStyle w:val="Normal"/>
        <w:bidi w:val="0"/>
        <w:jc w:val="both"/>
        <w:rPr>
          <w:rFonts w:ascii="Arial" w:hAnsi="Arial" w:cs="Arial"/>
          <w:szCs w:val="20"/>
        </w:rPr>
      </w:pPr>
      <w:r>
        <w:rPr>
          <w:rFonts w:cs="Arial" w:ascii="Arial" w:hAnsi="Arial"/>
          <w:szCs w:val="20"/>
        </w:rPr>
        <w:drawing>
          <wp:anchor distT="0" distB="0" distL="0" distR="0" simplePos="0" relativeHeight="17" behindDoc="0" locked="0" layoutInCell="0" allowOverlap="1">
            <wp:simplePos x="0" y="0"/>
            <wp:positionH relativeFrom="column">
              <wp:posOffset>99695</wp:posOffset>
            </wp:positionH>
            <wp:positionV relativeFrom="paragraph">
              <wp:posOffset>2789555</wp:posOffset>
            </wp:positionV>
            <wp:extent cx="5486400" cy="6408420"/>
            <wp:effectExtent l="0" t="0" r="0" b="0"/>
            <wp:wrapSquare wrapText="largest"/>
            <wp:docPr id="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pic:cNvPicPr>
                      <a:picLocks noChangeAspect="1" noChangeArrowheads="1"/>
                    </pic:cNvPicPr>
                  </pic:nvPicPr>
                  <pic:blipFill>
                    <a:blip r:embed="rId2"/>
                    <a:stretch>
                      <a:fillRect/>
                    </a:stretch>
                  </pic:blipFill>
                  <pic:spPr bwMode="auto">
                    <a:xfrm>
                      <a:off x="0" y="0"/>
                      <a:ext cx="5486400" cy="6408420"/>
                    </a:xfrm>
                    <a:prstGeom prst="rect">
                      <a:avLst/>
                    </a:prstGeom>
                    <a:noFill/>
                  </pic:spPr>
                </pic:pic>
              </a:graphicData>
            </a:graphic>
          </wp:anchor>
        </w:drawing>
        <w:drawing>
          <wp:anchor distT="0" distB="0" distL="0" distR="0" simplePos="0" relativeHeight="18" behindDoc="0" locked="0" layoutInCell="0" allowOverlap="1">
            <wp:simplePos x="0" y="0"/>
            <wp:positionH relativeFrom="column">
              <wp:posOffset>53340</wp:posOffset>
            </wp:positionH>
            <wp:positionV relativeFrom="paragraph">
              <wp:posOffset>133985</wp:posOffset>
            </wp:positionV>
            <wp:extent cx="5486400" cy="2715260"/>
            <wp:effectExtent l="0" t="0" r="0" b="0"/>
            <wp:wrapSquare wrapText="largest"/>
            <wp:docPr id="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
                    <pic:cNvPicPr>
                      <a:picLocks noChangeAspect="1" noChangeArrowheads="1"/>
                    </pic:cNvPicPr>
                  </pic:nvPicPr>
                  <pic:blipFill>
                    <a:blip r:embed="rId3"/>
                    <a:stretch>
                      <a:fillRect/>
                    </a:stretch>
                  </pic:blipFill>
                  <pic:spPr bwMode="auto">
                    <a:xfrm>
                      <a:off x="0" y="0"/>
                      <a:ext cx="5486400" cy="2715260"/>
                    </a:xfrm>
                    <a:prstGeom prst="rect">
                      <a:avLst/>
                    </a:prstGeom>
                    <a:noFill/>
                  </pic:spPr>
                </pic:pic>
              </a:graphicData>
            </a:graphic>
          </wp:anchor>
        </w:drawing>
      </w:r>
    </w:p>
    <w:p>
      <w:pPr>
        <w:pStyle w:val="HorizontalLine"/>
        <w:spacing w:before="0" w:after="200"/>
        <w:jc w:val="both"/>
        <w:rPr>
          <w:rFonts w:ascii="Arial" w:hAnsi="Arial" w:cs="Arial"/>
          <w:b/>
          <w:sz w:val="20"/>
          <w:szCs w:val="20"/>
        </w:rPr>
      </w:pPr>
      <w:r>
        <w:rPr>
          <w:rFonts w:cs="Arial" w:ascii="Arial" w:hAnsi="Arial"/>
          <w:b/>
          <w:sz w:val="20"/>
          <w:szCs w:val="20"/>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t>3. Data Pre-processing and Feature Engineering</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Initial cleaning</w:t>
      </w:r>
    </w:p>
    <w:p>
      <w:pPr>
        <w:pStyle w:val="Normal"/>
        <w:bidi w:val="0"/>
        <w:jc w:val="both"/>
        <w:rPr>
          <w:rFonts w:ascii="Arial" w:hAnsi="Arial" w:cs="Arial"/>
          <w:szCs w:val="20"/>
        </w:rPr>
      </w:pPr>
      <w:r>
        <w:rPr>
          <w:rFonts w:cs="Arial" w:ascii="Arial" w:hAnsi="Arial"/>
          <w:szCs w:val="20"/>
        </w:rPr>
        <w:t>The preprocessing workflow included:</w:t>
      </w:r>
    </w:p>
    <w:p>
      <w:pPr>
        <w:pStyle w:val="Normal"/>
        <w:numPr>
          <w:ilvl w:val="0"/>
          <w:numId w:val="27"/>
        </w:numPr>
        <w:bidi w:val="0"/>
        <w:jc w:val="both"/>
        <w:rPr>
          <w:rFonts w:ascii="Arial" w:hAnsi="Arial" w:cs="Arial"/>
          <w:szCs w:val="20"/>
        </w:rPr>
      </w:pPr>
      <w:r>
        <w:rPr>
          <w:rFonts w:cs="Arial" w:ascii="Arial" w:hAnsi="Arial"/>
          <w:szCs w:val="20"/>
        </w:rPr>
        <w:t>Loading the datasets with pandas.</w:t>
      </w:r>
    </w:p>
    <w:p>
      <w:pPr>
        <w:pStyle w:val="Normal"/>
        <w:numPr>
          <w:ilvl w:val="0"/>
          <w:numId w:val="27"/>
        </w:numPr>
        <w:bidi w:val="0"/>
        <w:jc w:val="both"/>
        <w:rPr>
          <w:rFonts w:ascii="Arial" w:hAnsi="Arial" w:cs="Arial"/>
          <w:szCs w:val="20"/>
        </w:rPr>
      </w:pPr>
      <w:r>
        <w:rPr>
          <w:rFonts w:cs="Arial" w:ascii="Arial" w:hAnsi="Arial"/>
          <w:szCs w:val="20"/>
        </w:rPr>
        <w:t>Inspecting schemas and data types.</w:t>
      </w:r>
    </w:p>
    <w:p>
      <w:pPr>
        <w:pStyle w:val="Normal"/>
        <w:numPr>
          <w:ilvl w:val="0"/>
          <w:numId w:val="27"/>
        </w:numPr>
        <w:bidi w:val="0"/>
        <w:jc w:val="both"/>
        <w:rPr>
          <w:rFonts w:ascii="Arial" w:hAnsi="Arial" w:cs="Arial"/>
          <w:szCs w:val="20"/>
        </w:rPr>
      </w:pPr>
      <w:r>
        <w:rPr>
          <w:rFonts w:cs="Arial" w:ascii="Arial" w:hAnsi="Arial"/>
          <w:szCs w:val="20"/>
        </w:rPr>
        <w:t>Comparing variable availability between years and datasets.</w:t>
      </w:r>
    </w:p>
    <w:p>
      <w:pPr>
        <w:pStyle w:val="Normal"/>
        <w:numPr>
          <w:ilvl w:val="0"/>
          <w:numId w:val="27"/>
        </w:numPr>
        <w:bidi w:val="0"/>
        <w:jc w:val="both"/>
        <w:rPr>
          <w:rFonts w:ascii="Arial" w:hAnsi="Arial" w:cs="Arial"/>
          <w:szCs w:val="20"/>
        </w:rPr>
      </w:pPr>
      <w:r>
        <w:rPr>
          <w:rFonts w:cs="Arial" w:ascii="Arial" w:hAnsi="Arial"/>
          <w:szCs w:val="20"/>
        </w:rPr>
        <w:t>Removing duplicate records.</w:t>
      </w:r>
    </w:p>
    <w:p>
      <w:pPr>
        <w:pStyle w:val="Normal"/>
        <w:numPr>
          <w:ilvl w:val="0"/>
          <w:numId w:val="27"/>
        </w:numPr>
        <w:bidi w:val="0"/>
        <w:jc w:val="both"/>
        <w:rPr>
          <w:rFonts w:ascii="Arial" w:hAnsi="Arial" w:cs="Arial"/>
          <w:szCs w:val="20"/>
        </w:rPr>
      </w:pPr>
      <w:r>
        <w:rPr>
          <w:rFonts w:cs="Arial" w:ascii="Arial" w:hAnsi="Arial"/>
          <w:szCs w:val="20"/>
        </w:rPr>
        <w:t>Investigating inconsistent naming conventions.</w:t>
      </w:r>
    </w:p>
    <w:p>
      <w:pPr>
        <w:pStyle w:val="Normal"/>
        <w:numPr>
          <w:ilvl w:val="0"/>
          <w:numId w:val="27"/>
        </w:numPr>
        <w:bidi w:val="0"/>
        <w:jc w:val="both"/>
        <w:rPr>
          <w:rFonts w:ascii="Arial" w:hAnsi="Arial" w:cs="Arial"/>
          <w:szCs w:val="20"/>
        </w:rPr>
      </w:pPr>
      <w:r>
        <w:rPr>
          <w:rFonts w:cs="Arial" w:ascii="Arial" w:hAnsi="Arial"/>
          <w:szCs w:val="20"/>
        </w:rPr>
        <w:t>Identifying columns with complete missingness.</w:t>
      </w:r>
    </w:p>
    <w:p>
      <w:pPr>
        <w:pStyle w:val="Normal"/>
        <w:numPr>
          <w:ilvl w:val="0"/>
          <w:numId w:val="27"/>
        </w:numPr>
        <w:bidi w:val="0"/>
        <w:jc w:val="both"/>
        <w:rPr>
          <w:rFonts w:ascii="Arial" w:hAnsi="Arial" w:cs="Arial"/>
          <w:szCs w:val="20"/>
        </w:rPr>
      </w:pPr>
      <w:r>
        <w:rPr>
          <w:rFonts w:cs="Arial" w:ascii="Arial" w:hAnsi="Arial"/>
          <w:szCs w:val="20"/>
        </w:rPr>
        <w:t>Detecting constant and zero-variance columns.</w:t>
      </w:r>
    </w:p>
    <w:p>
      <w:pPr>
        <w:pStyle w:val="Normal"/>
        <w:numPr>
          <w:ilvl w:val="0"/>
          <w:numId w:val="27"/>
        </w:numPr>
        <w:bidi w:val="0"/>
        <w:jc w:val="both"/>
        <w:rPr>
          <w:rFonts w:ascii="Arial" w:hAnsi="Arial" w:cs="Arial"/>
          <w:szCs w:val="20"/>
        </w:rPr>
      </w:pPr>
      <w:r>
        <w:rPr>
          <w:rFonts w:cs="Arial" w:ascii="Arial" w:hAnsi="Arial"/>
          <w:szCs w:val="20"/>
        </w:rPr>
        <w:t>Inspecting invalid or inconsistent regulatory identifiers.</w:t>
      </w:r>
    </w:p>
    <w:p>
      <w:pPr>
        <w:pStyle w:val="Normal"/>
        <w:numPr>
          <w:ilvl w:val="0"/>
          <w:numId w:val="27"/>
        </w:numPr>
        <w:bidi w:val="0"/>
        <w:jc w:val="both"/>
        <w:rPr>
          <w:rFonts w:ascii="Arial" w:hAnsi="Arial" w:cs="Arial"/>
          <w:szCs w:val="20"/>
        </w:rPr>
      </w:pPr>
      <w:r>
        <w:rPr>
          <w:rFonts w:cs="Arial" w:ascii="Arial" w:hAnsi="Arial"/>
          <w:szCs w:val="20"/>
        </w:rPr>
        <w:t>Analysing missingness patterns and potential missing-not-at-random behaviour.</w:t>
      </w:r>
    </w:p>
    <w:p>
      <w:pPr>
        <w:pStyle w:val="Normal"/>
        <w:bidi w:val="0"/>
        <w:jc w:val="both"/>
        <w:rPr>
          <w:rFonts w:ascii="Arial" w:hAnsi="Arial" w:cs="Arial"/>
          <w:szCs w:val="20"/>
        </w:rPr>
      </w:pPr>
      <w:r>
        <w:rPr>
          <w:rFonts w:cs="Arial" w:ascii="Arial" w:hAnsi="Arial"/>
          <w:szCs w:val="20"/>
        </w:rPr>
        <w:t>In the EEA 2024 data, the following fields were reported as 100% missing and were removed:</w:t>
      </w:r>
    </w:p>
    <w:p>
      <w:pPr>
        <w:pStyle w:val="Normal"/>
        <w:numPr>
          <w:ilvl w:val="0"/>
          <w:numId w:val="28"/>
        </w:numPr>
        <w:bidi w:val="0"/>
        <w:spacing w:lineRule="auto" w:line="120"/>
        <w:jc w:val="both"/>
        <w:rPr/>
      </w:pPr>
      <w:r>
        <w:rPr>
          <w:rFonts w:cs="Arial" w:ascii="Arial" w:hAnsi="Arial"/>
          <w:szCs w:val="20"/>
        </w:rPr>
        <w:t>MMS</w:t>
      </w:r>
    </w:p>
    <w:p>
      <w:pPr>
        <w:pStyle w:val="Normal"/>
        <w:numPr>
          <w:ilvl w:val="0"/>
          <w:numId w:val="28"/>
        </w:numPr>
        <w:bidi w:val="0"/>
        <w:spacing w:lineRule="auto" w:line="120"/>
        <w:jc w:val="both"/>
        <w:rPr/>
      </w:pPr>
      <w:r>
        <w:rPr>
          <w:rFonts w:cs="Arial" w:ascii="Arial" w:hAnsi="Arial"/>
          <w:szCs w:val="20"/>
        </w:rPr>
        <w:t>Enedc</w:t>
      </w:r>
    </w:p>
    <w:p>
      <w:pPr>
        <w:pStyle w:val="Normal"/>
        <w:numPr>
          <w:ilvl w:val="0"/>
          <w:numId w:val="28"/>
        </w:numPr>
        <w:bidi w:val="0"/>
        <w:spacing w:lineRule="auto" w:line="120"/>
        <w:jc w:val="both"/>
        <w:rPr/>
      </w:pPr>
      <w:r>
        <w:rPr>
          <w:rFonts w:cs="Arial" w:ascii="Arial" w:hAnsi="Arial"/>
          <w:szCs w:val="20"/>
        </w:rPr>
        <w:t>Ernedc</w:t>
      </w:r>
    </w:p>
    <w:p>
      <w:pPr>
        <w:pStyle w:val="Normal"/>
        <w:numPr>
          <w:ilvl w:val="0"/>
          <w:numId w:val="28"/>
        </w:numPr>
        <w:bidi w:val="0"/>
        <w:spacing w:lineRule="auto" w:line="120"/>
        <w:jc w:val="both"/>
        <w:rPr/>
      </w:pPr>
      <w:r>
        <w:rPr>
          <w:rFonts w:cs="Arial" w:ascii="Arial" w:hAnsi="Arial"/>
          <w:szCs w:val="20"/>
        </w:rPr>
        <w:t>De</w:t>
      </w:r>
    </w:p>
    <w:p>
      <w:pPr>
        <w:pStyle w:val="Normal"/>
        <w:numPr>
          <w:ilvl w:val="0"/>
          <w:numId w:val="28"/>
        </w:numPr>
        <w:bidi w:val="0"/>
        <w:spacing w:lineRule="auto" w:line="120"/>
        <w:jc w:val="both"/>
        <w:rPr/>
      </w:pPr>
      <w:r>
        <w:rPr>
          <w:rFonts w:cs="Arial" w:ascii="Arial" w:hAnsi="Arial"/>
          <w:szCs w:val="20"/>
        </w:rPr>
        <w:t>Vf</w:t>
      </w:r>
    </w:p>
    <w:p>
      <w:pPr>
        <w:pStyle w:val="Normal"/>
        <w:numPr>
          <w:ilvl w:val="0"/>
          <w:numId w:val="28"/>
        </w:numPr>
        <w:bidi w:val="0"/>
        <w:spacing w:lineRule="auto" w:line="120"/>
        <w:jc w:val="both"/>
        <w:rPr/>
      </w:pPr>
      <w:r>
        <w:rPr>
          <w:rFonts w:cs="Arial" w:ascii="Arial" w:hAnsi="Arial"/>
          <w:szCs w:val="20"/>
        </w:rPr>
        <w:t>ech</w:t>
      </w:r>
    </w:p>
    <w:p>
      <w:pPr>
        <w:pStyle w:val="BodyText"/>
        <w:bidi w:val="0"/>
        <w:spacing w:lineRule="auto" w:line="331" w:before="240" w:after="240"/>
        <w:ind w:hanging="0" w:start="0" w:end="0"/>
        <w:jc w:val="both"/>
        <w:rPr>
          <w:rFonts w:ascii="Arial;sans-serif" w:hAnsi="Arial;sans-serif" w:cs="Arial"/>
          <w:b w:val="false"/>
          <w:i w:val="false"/>
          <w:caps w:val="false"/>
          <w:smallCaps w:val="false"/>
          <w:strike w:val="false"/>
          <w:dstrike w:val="false"/>
          <w:color w:val="000000"/>
          <w:sz w:val="22"/>
          <w:szCs w:val="20"/>
          <w:u w:val="none"/>
          <w:effect w:val="none"/>
          <w:shd w:fill="auto" w:val="clear"/>
        </w:rPr>
      </w:pPr>
      <w:r>
        <w:rPr>
          <w:rFonts w:cs="Arial" w:ascii="Arial;sans-serif" w:hAnsi="Arial;sans-serif"/>
          <w:b w:val="false"/>
          <w:i w:val="false"/>
          <w:caps w:val="false"/>
          <w:smallCaps w:val="false"/>
          <w:strike w:val="false"/>
          <w:dstrike w:val="false"/>
          <w:color w:val="000000"/>
          <w:sz w:val="22"/>
          <w:szCs w:val="20"/>
          <w:u w:val="none"/>
          <w:effect w:val="none"/>
          <w:shd w:fill="auto" w:val="clear"/>
        </w:rPr>
        <w:t>Several fields were constant:</w:t>
      </w:r>
    </w:p>
    <w:p>
      <w:pPr>
        <w:pStyle w:val="BodyText"/>
        <w:widowControl/>
        <w:numPr>
          <w:ilvl w:val="0"/>
          <w:numId w:val="29"/>
        </w:numPr>
        <w:suppressAutoHyphens w:val="true"/>
        <w:bidi w:val="0"/>
        <w:spacing w:lineRule="auto" w:line="120" w:before="240" w:after="240"/>
        <w:jc w:val="both"/>
        <w:rPr/>
      </w:pPr>
      <w:r>
        <w:rPr>
          <w:rFonts w:eastAsia="MS Mincho" w:cs="Arial" w:ascii="Arial;sans-serif" w:hAnsi="Arial;sans-serif"/>
          <w:b w:val="false"/>
          <w:i w:val="false"/>
          <w:caps w:val="false"/>
          <w:smallCaps w:val="false"/>
          <w:strike w:val="false"/>
          <w:dstrike w:val="false"/>
          <w:color w:val="000000"/>
          <w:kern w:val="0"/>
          <w:sz w:val="22"/>
          <w:szCs w:val="20"/>
          <w:u w:val="none"/>
          <w:effect w:val="none"/>
          <w:shd w:fill="auto" w:val="clear"/>
          <w:lang w:val="en-US" w:eastAsia="en-US" w:bidi="ar-SA"/>
        </w:rPr>
        <w:t>Country</w:t>
      </w:r>
    </w:p>
    <w:p>
      <w:pPr>
        <w:pStyle w:val="BodyText"/>
        <w:widowControl/>
        <w:numPr>
          <w:ilvl w:val="0"/>
          <w:numId w:val="29"/>
        </w:numPr>
        <w:suppressAutoHyphens w:val="true"/>
        <w:bidi w:val="0"/>
        <w:spacing w:lineRule="auto" w:line="120" w:before="240" w:after="240"/>
        <w:jc w:val="both"/>
        <w:rPr/>
      </w:pPr>
      <w:r>
        <w:rPr>
          <w:rFonts w:eastAsia="MS Mincho" w:cs="Arial" w:ascii="Arial;sans-serif" w:hAnsi="Arial;sans-serif"/>
          <w:b w:val="false"/>
          <w:i w:val="false"/>
          <w:caps w:val="false"/>
          <w:smallCaps w:val="false"/>
          <w:strike w:val="false"/>
          <w:dstrike w:val="false"/>
          <w:color w:val="000000"/>
          <w:kern w:val="0"/>
          <w:sz w:val="22"/>
          <w:szCs w:val="20"/>
          <w:u w:val="none"/>
          <w:effect w:val="none"/>
          <w:shd w:fill="auto" w:val="clear"/>
          <w:lang w:val="en-US" w:eastAsia="en-US" w:bidi="ar-SA"/>
        </w:rPr>
        <w:t>Status</w:t>
      </w:r>
    </w:p>
    <w:p>
      <w:pPr>
        <w:pStyle w:val="BodyText"/>
        <w:widowControl/>
        <w:numPr>
          <w:ilvl w:val="0"/>
          <w:numId w:val="29"/>
        </w:numPr>
        <w:suppressAutoHyphens w:val="true"/>
        <w:bidi w:val="0"/>
        <w:spacing w:lineRule="auto" w:line="120" w:before="240" w:after="240"/>
        <w:jc w:val="both"/>
        <w:rPr/>
      </w:pPr>
      <w:r>
        <w:rPr>
          <w:rFonts w:eastAsia="MS Mincho" w:cs="Arial" w:ascii="Arial;sans-serif" w:hAnsi="Arial;sans-serif"/>
          <w:b w:val="false"/>
          <w:i w:val="false"/>
          <w:caps w:val="false"/>
          <w:smallCaps w:val="false"/>
          <w:strike w:val="false"/>
          <w:dstrike w:val="false"/>
          <w:color w:val="000000"/>
          <w:kern w:val="0"/>
          <w:sz w:val="22"/>
          <w:szCs w:val="20"/>
          <w:u w:val="none"/>
          <w:effect w:val="none"/>
          <w:shd w:fill="auto" w:val="clear"/>
          <w:lang w:val="en-US" w:eastAsia="en-US" w:bidi="ar-SA"/>
        </w:rPr>
        <w:t>year</w:t>
      </w:r>
    </w:p>
    <w:p>
      <w:pPr>
        <w:pStyle w:val="BodyText"/>
        <w:widowControl/>
        <w:numPr>
          <w:ilvl w:val="0"/>
          <w:numId w:val="29"/>
        </w:numPr>
        <w:suppressAutoHyphens w:val="true"/>
        <w:bidi w:val="0"/>
        <w:spacing w:lineRule="auto" w:line="120" w:before="240" w:after="240"/>
        <w:jc w:val="both"/>
        <w:rPr/>
      </w:pPr>
      <w:r>
        <w:rPr>
          <w:rFonts w:eastAsia="MS Mincho" w:cs="Arial" w:ascii="Arial;sans-serif" w:hAnsi="Arial;sans-serif"/>
          <w:b w:val="false"/>
          <w:i w:val="false"/>
          <w:caps w:val="false"/>
          <w:smallCaps w:val="false"/>
          <w:strike w:val="false"/>
          <w:dstrike w:val="false"/>
          <w:color w:val="000000"/>
          <w:kern w:val="0"/>
          <w:sz w:val="22"/>
          <w:szCs w:val="20"/>
          <w:u w:val="none"/>
          <w:effect w:val="none"/>
          <w:shd w:fill="auto" w:val="clear"/>
          <w:lang w:val="en-US" w:eastAsia="en-US" w:bidi="ar-SA"/>
        </w:rPr>
        <w:t>r</w:t>
      </w:r>
    </w:p>
    <w:p>
      <w:pPr>
        <w:pStyle w:val="BodyText"/>
        <w:widowControl/>
        <w:numPr>
          <w:ilvl w:val="0"/>
          <w:numId w:val="29"/>
        </w:numPr>
        <w:suppressAutoHyphens w:val="true"/>
        <w:bidi w:val="0"/>
        <w:spacing w:lineRule="auto" w:line="120" w:before="240" w:after="240"/>
        <w:jc w:val="both"/>
        <w:rPr/>
      </w:pPr>
      <w:r>
        <w:rPr>
          <w:rFonts w:eastAsia="MS Mincho" w:cs="Arial" w:ascii="Arial;sans-serif" w:hAnsi="Arial;sans-serif"/>
          <w:b w:val="false"/>
          <w:i w:val="false"/>
          <w:caps w:val="false"/>
          <w:smallCaps w:val="false"/>
          <w:strike w:val="false"/>
          <w:dstrike w:val="false"/>
          <w:color w:val="000000"/>
          <w:kern w:val="0"/>
          <w:sz w:val="22"/>
          <w:szCs w:val="20"/>
          <w:u w:val="none"/>
          <w:effect w:val="none"/>
          <w:shd w:fill="auto" w:val="clear"/>
          <w:lang w:val="en-US" w:eastAsia="en-US" w:bidi="ar-SA"/>
        </w:rPr>
        <w:t>Cr</w:t>
      </w:r>
    </w:p>
    <w:p>
      <w:pPr>
        <w:pStyle w:val="Normal"/>
        <w:bidi w:val="0"/>
        <w:jc w:val="both"/>
        <w:rPr>
          <w:rFonts w:ascii="Arial" w:hAnsi="Arial" w:cs="Arial"/>
          <w:szCs w:val="20"/>
        </w:rPr>
      </w:pPr>
      <w:r>
        <w:rPr>
          <w:rFonts w:cs="Arial" w:ascii="Arial" w:hAnsi="Arial"/>
          <w:szCs w:val="20"/>
        </w:rPr>
        <w:t>These variables were marked to be removed later because they provided no useful variation for the selected modeling task.</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Vehicle identifiers and regulatory codes</w:t>
      </w:r>
    </w:p>
    <w:p>
      <w:pPr>
        <w:pStyle w:val="Normal"/>
        <w:bidi w:val="0"/>
        <w:jc w:val="both"/>
        <w:rPr>
          <w:rFonts w:ascii="Arial" w:hAnsi="Arial" w:cs="Arial"/>
          <w:szCs w:val="20"/>
        </w:rPr>
      </w:pPr>
      <w:r>
        <w:rPr>
          <w:rFonts w:cs="Arial" w:ascii="Arial" w:hAnsi="Arial"/>
          <w:szCs w:val="20"/>
        </w:rPr>
        <w:t>The following fields were carefully examined:</w:t>
      </w:r>
    </w:p>
    <w:p>
      <w:pPr>
        <w:pStyle w:val="BodyText"/>
        <w:widowControl/>
        <w:numPr>
          <w:ilvl w:val="0"/>
          <w:numId w:val="9"/>
        </w:numPr>
        <w:tabs>
          <w:tab w:val="clear" w:pos="720"/>
          <w:tab w:val="left" w:pos="0" w:leader="none"/>
        </w:tabs>
        <w:suppressAutoHyphens w:val="true"/>
        <w:bidi w:val="0"/>
        <w:spacing w:lineRule="auto" w:line="72"/>
        <w:ind w:hanging="283" w:start="709" w:end="0"/>
        <w:jc w:val="both"/>
        <w:rPr>
          <w:rFonts w:ascii="Arial" w:hAnsi="Arial" w:eastAsia="MS Mincho" w:cs="Arial"/>
          <w:b w:val="false"/>
          <w:i w:val="false"/>
          <w:caps w:val="false"/>
          <w:smallCaps w:val="false"/>
          <w:strike w:val="false"/>
          <w:dstrike w:val="false"/>
          <w:color w:val="000000"/>
          <w:kern w:val="0"/>
          <w:sz w:val="20"/>
          <w:szCs w:val="20"/>
          <w:u w:val="none"/>
          <w:effect w:val="none"/>
          <w:shd w:fill="auto" w:val="clear"/>
          <w:lang w:val="en-US" w:eastAsia="en-US" w:bidi="ar-SA"/>
        </w:rPr>
      </w:pPr>
      <w:r>
        <w:rPr>
          <w:rFonts w:eastAsia="MS Mincho" w:cs="Arial" w:ascii="Arial" w:hAnsi="Arial"/>
          <w:b w:val="false"/>
          <w:i w:val="false"/>
          <w:caps w:val="false"/>
          <w:smallCaps w:val="false"/>
          <w:strike w:val="false"/>
          <w:dstrike w:val="false"/>
          <w:color w:val="000000"/>
          <w:kern w:val="0"/>
          <w:sz w:val="20"/>
          <w:szCs w:val="20"/>
          <w:u w:val="none"/>
          <w:effect w:val="none"/>
          <w:shd w:fill="auto" w:val="clear"/>
          <w:lang w:val="en-US" w:eastAsia="en-US" w:bidi="ar-SA"/>
        </w:rPr>
        <w:t>VFN</w:t>
      </w:r>
    </w:p>
    <w:p>
      <w:pPr>
        <w:pStyle w:val="BodyText"/>
        <w:widowControl/>
        <w:numPr>
          <w:ilvl w:val="0"/>
          <w:numId w:val="9"/>
        </w:numPr>
        <w:tabs>
          <w:tab w:val="clear" w:pos="720"/>
          <w:tab w:val="left" w:pos="0" w:leader="none"/>
        </w:tabs>
        <w:suppressAutoHyphens w:val="true"/>
        <w:bidi w:val="0"/>
        <w:spacing w:lineRule="auto" w:line="72"/>
        <w:ind w:hanging="283" w:start="709" w:end="0"/>
        <w:jc w:val="both"/>
        <w:rPr>
          <w:rFonts w:ascii="Arial" w:hAnsi="Arial" w:eastAsia="MS Mincho" w:cs="Arial"/>
          <w:b w:val="false"/>
          <w:i w:val="false"/>
          <w:caps w:val="false"/>
          <w:smallCaps w:val="false"/>
          <w:strike w:val="false"/>
          <w:dstrike w:val="false"/>
          <w:color w:val="000000"/>
          <w:kern w:val="0"/>
          <w:sz w:val="20"/>
          <w:szCs w:val="20"/>
          <w:u w:val="none"/>
          <w:effect w:val="none"/>
          <w:shd w:fill="auto" w:val="clear"/>
          <w:lang w:val="en-US" w:eastAsia="en-US" w:bidi="ar-SA"/>
        </w:rPr>
      </w:pPr>
      <w:r>
        <w:rPr>
          <w:rFonts w:eastAsia="MS Mincho" w:cs="Arial" w:ascii="Arial" w:hAnsi="Arial"/>
          <w:b w:val="false"/>
          <w:i w:val="false"/>
          <w:caps w:val="false"/>
          <w:smallCaps w:val="false"/>
          <w:strike w:val="false"/>
          <w:dstrike w:val="false"/>
          <w:color w:val="000000"/>
          <w:kern w:val="0"/>
          <w:sz w:val="20"/>
          <w:szCs w:val="20"/>
          <w:u w:val="none"/>
          <w:effect w:val="none"/>
          <w:shd w:fill="auto" w:val="clear"/>
          <w:lang w:val="en-US" w:eastAsia="en-US" w:bidi="ar-SA"/>
        </w:rPr>
        <w:t>Tan</w:t>
      </w:r>
    </w:p>
    <w:p>
      <w:pPr>
        <w:pStyle w:val="BodyText"/>
        <w:widowControl/>
        <w:numPr>
          <w:ilvl w:val="0"/>
          <w:numId w:val="9"/>
        </w:numPr>
        <w:tabs>
          <w:tab w:val="clear" w:pos="720"/>
          <w:tab w:val="left" w:pos="0" w:leader="none"/>
        </w:tabs>
        <w:suppressAutoHyphens w:val="true"/>
        <w:bidi w:val="0"/>
        <w:spacing w:lineRule="auto" w:line="72"/>
        <w:ind w:hanging="283" w:start="709" w:end="0"/>
        <w:jc w:val="both"/>
        <w:rPr>
          <w:rFonts w:ascii="Arial" w:hAnsi="Arial" w:eastAsia="MS Mincho" w:cs="Arial"/>
          <w:b w:val="false"/>
          <w:i w:val="false"/>
          <w:caps w:val="false"/>
          <w:smallCaps w:val="false"/>
          <w:strike w:val="false"/>
          <w:dstrike w:val="false"/>
          <w:color w:val="000000"/>
          <w:kern w:val="0"/>
          <w:sz w:val="20"/>
          <w:szCs w:val="20"/>
          <w:u w:val="none"/>
          <w:effect w:val="none"/>
          <w:shd w:fill="auto" w:val="clear"/>
          <w:lang w:val="en-US" w:eastAsia="en-US" w:bidi="ar-SA"/>
        </w:rPr>
      </w:pPr>
      <w:r>
        <w:rPr>
          <w:rFonts w:eastAsia="MS Mincho" w:cs="Arial" w:ascii="Arial" w:hAnsi="Arial"/>
          <w:b w:val="false"/>
          <w:i w:val="false"/>
          <w:caps w:val="false"/>
          <w:smallCaps w:val="false"/>
          <w:strike w:val="false"/>
          <w:dstrike w:val="false"/>
          <w:color w:val="000000"/>
          <w:kern w:val="0"/>
          <w:sz w:val="20"/>
          <w:szCs w:val="20"/>
          <w:u w:val="none"/>
          <w:effect w:val="none"/>
          <w:shd w:fill="auto" w:val="clear"/>
          <w:lang w:val="en-US" w:eastAsia="en-US" w:bidi="ar-SA"/>
        </w:rPr>
        <w:t>T</w:t>
      </w:r>
    </w:p>
    <w:p>
      <w:pPr>
        <w:pStyle w:val="BodyText"/>
        <w:widowControl/>
        <w:numPr>
          <w:ilvl w:val="0"/>
          <w:numId w:val="9"/>
        </w:numPr>
        <w:tabs>
          <w:tab w:val="clear" w:pos="720"/>
          <w:tab w:val="left" w:pos="0" w:leader="none"/>
        </w:tabs>
        <w:suppressAutoHyphens w:val="true"/>
        <w:bidi w:val="0"/>
        <w:spacing w:lineRule="auto" w:line="72"/>
        <w:ind w:hanging="283" w:start="709" w:end="0"/>
        <w:jc w:val="both"/>
        <w:rPr>
          <w:rFonts w:ascii="Arial" w:hAnsi="Arial" w:eastAsia="MS Mincho" w:cs="Arial"/>
          <w:b w:val="false"/>
          <w:i w:val="false"/>
          <w:caps w:val="false"/>
          <w:smallCaps w:val="false"/>
          <w:strike w:val="false"/>
          <w:dstrike w:val="false"/>
          <w:color w:val="000000"/>
          <w:kern w:val="0"/>
          <w:sz w:val="20"/>
          <w:szCs w:val="20"/>
          <w:u w:val="none"/>
          <w:effect w:val="none"/>
          <w:shd w:fill="auto" w:val="clear"/>
          <w:lang w:val="en-US" w:eastAsia="en-US" w:bidi="ar-SA"/>
        </w:rPr>
      </w:pPr>
      <w:r>
        <w:rPr>
          <w:rFonts w:eastAsia="MS Mincho" w:cs="Arial" w:ascii="Arial" w:hAnsi="Arial"/>
          <w:b w:val="false"/>
          <w:i w:val="false"/>
          <w:caps w:val="false"/>
          <w:smallCaps w:val="false"/>
          <w:strike w:val="false"/>
          <w:dstrike w:val="false"/>
          <w:color w:val="000000"/>
          <w:kern w:val="0"/>
          <w:sz w:val="20"/>
          <w:szCs w:val="20"/>
          <w:u w:val="none"/>
          <w:effect w:val="none"/>
          <w:shd w:fill="auto" w:val="clear"/>
          <w:lang w:val="en-US" w:eastAsia="en-US" w:bidi="ar-SA"/>
        </w:rPr>
        <w:t>Va</w:t>
      </w:r>
    </w:p>
    <w:p>
      <w:pPr>
        <w:pStyle w:val="BodyText"/>
        <w:widowControl/>
        <w:numPr>
          <w:ilvl w:val="0"/>
          <w:numId w:val="9"/>
        </w:numPr>
        <w:tabs>
          <w:tab w:val="clear" w:pos="720"/>
          <w:tab w:val="left" w:pos="0" w:leader="none"/>
        </w:tabs>
        <w:suppressAutoHyphens w:val="true"/>
        <w:bidi w:val="0"/>
        <w:spacing w:lineRule="auto" w:line="72"/>
        <w:ind w:hanging="283" w:start="709" w:end="0"/>
        <w:jc w:val="both"/>
        <w:rPr>
          <w:rFonts w:ascii="Arial" w:hAnsi="Arial" w:eastAsia="MS Mincho" w:cs="Arial"/>
          <w:b w:val="false"/>
          <w:i w:val="false"/>
          <w:caps w:val="false"/>
          <w:smallCaps w:val="false"/>
          <w:strike w:val="false"/>
          <w:dstrike w:val="false"/>
          <w:color w:val="000000"/>
          <w:kern w:val="0"/>
          <w:sz w:val="20"/>
          <w:szCs w:val="20"/>
          <w:u w:val="none"/>
          <w:effect w:val="none"/>
          <w:shd w:fill="auto" w:val="clear"/>
          <w:lang w:val="en-US" w:eastAsia="en-US" w:bidi="ar-SA"/>
        </w:rPr>
      </w:pPr>
      <w:r>
        <w:rPr>
          <w:rFonts w:eastAsia="MS Mincho" w:cs="Arial" w:ascii="Arial" w:hAnsi="Arial"/>
          <w:b w:val="false"/>
          <w:i w:val="false"/>
          <w:caps w:val="false"/>
          <w:smallCaps w:val="false"/>
          <w:strike w:val="false"/>
          <w:dstrike w:val="false"/>
          <w:color w:val="000000"/>
          <w:kern w:val="0"/>
          <w:sz w:val="20"/>
          <w:szCs w:val="20"/>
          <w:u w:val="none"/>
          <w:effect w:val="none"/>
          <w:shd w:fill="auto" w:val="clear"/>
          <w:lang w:val="en-US" w:eastAsia="en-US" w:bidi="ar-SA"/>
        </w:rPr>
        <w:t>Ve</w:t>
      </w:r>
    </w:p>
    <w:p>
      <w:pPr>
        <w:pStyle w:val="BodyText"/>
        <w:widowControl/>
        <w:numPr>
          <w:ilvl w:val="0"/>
          <w:numId w:val="9"/>
        </w:numPr>
        <w:tabs>
          <w:tab w:val="clear" w:pos="720"/>
          <w:tab w:val="left" w:pos="0" w:leader="none"/>
        </w:tabs>
        <w:suppressAutoHyphens w:val="true"/>
        <w:bidi w:val="0"/>
        <w:spacing w:lineRule="auto" w:line="72"/>
        <w:ind w:hanging="283" w:start="709" w:end="0"/>
        <w:jc w:val="both"/>
        <w:rPr>
          <w:rFonts w:ascii="Arial" w:hAnsi="Arial" w:eastAsia="MS Mincho" w:cs="Arial"/>
          <w:b w:val="false"/>
          <w:i w:val="false"/>
          <w:caps w:val="false"/>
          <w:smallCaps w:val="false"/>
          <w:strike w:val="false"/>
          <w:dstrike w:val="false"/>
          <w:color w:val="000000"/>
          <w:kern w:val="0"/>
          <w:sz w:val="20"/>
          <w:szCs w:val="20"/>
          <w:u w:val="none"/>
          <w:effect w:val="none"/>
          <w:shd w:fill="auto" w:val="clear"/>
          <w:lang w:val="en-US" w:eastAsia="en-US" w:bidi="ar-SA"/>
        </w:rPr>
      </w:pPr>
      <w:r>
        <w:rPr>
          <w:rFonts w:eastAsia="MS Mincho" w:cs="Arial" w:ascii="Arial" w:hAnsi="Arial"/>
          <w:b w:val="false"/>
          <w:i w:val="false"/>
          <w:caps w:val="false"/>
          <w:smallCaps w:val="false"/>
          <w:strike w:val="false"/>
          <w:dstrike w:val="false"/>
          <w:color w:val="000000"/>
          <w:kern w:val="0"/>
          <w:sz w:val="20"/>
          <w:szCs w:val="20"/>
          <w:u w:val="none"/>
          <w:effect w:val="none"/>
          <w:shd w:fill="auto" w:val="clear"/>
          <w:lang w:val="en-US" w:eastAsia="en-US" w:bidi="ar-SA"/>
        </w:rPr>
        <w:t>RLFI</w:t>
      </w:r>
    </w:p>
    <w:p>
      <w:pPr>
        <w:pStyle w:val="Normal"/>
        <w:bidi w:val="0"/>
        <w:jc w:val="both"/>
        <w:rPr>
          <w:rFonts w:ascii="Arial" w:hAnsi="Arial" w:cs="Arial"/>
          <w:szCs w:val="20"/>
        </w:rPr>
      </w:pPr>
      <w:r>
        <w:rPr>
          <w:rFonts w:cs="Arial" w:ascii="Arial" w:hAnsi="Arial"/>
          <w:szCs w:val="20"/>
        </w:rPr>
        <w:t>Although these codes contain useful regulatory information, they have very high cardinality and may cause the model to memorize vehicle families or laboratory configurations. Such memorisation would reduce generalization to new vehicles.</w:t>
      </w:r>
    </w:p>
    <w:p>
      <w:pPr>
        <w:pStyle w:val="Normal"/>
        <w:bidi w:val="0"/>
        <w:jc w:val="both"/>
        <w:rPr>
          <w:rFonts w:ascii="Arial" w:hAnsi="Arial" w:cs="Arial"/>
          <w:szCs w:val="20"/>
        </w:rPr>
      </w:pPr>
      <w:r>
        <w:rPr>
          <w:rFonts w:cs="Arial" w:ascii="Arial" w:hAnsi="Arial"/>
          <w:szCs w:val="20"/>
        </w:rPr>
        <w:t>The VFN field was also checked for structural validity. Most records followed an IP-based format, but a small number of records contained irregular values such as missing components, alternative prefixes, or incomplete codes. These records were isolated for quality review rather than automatically treated as valid.</w:t>
      </w:r>
    </w:p>
    <w:p>
      <w:pPr>
        <w:pStyle w:val="Normal"/>
        <w:bidi w:val="0"/>
        <w:jc w:val="both"/>
        <w:rPr>
          <w:rFonts w:ascii="Arial" w:hAnsi="Arial" w:cs="Arial"/>
          <w:szCs w:val="20"/>
        </w:rPr>
      </w:pPr>
      <w:r>
        <w:rPr>
          <w:rFonts w:cs="Arial" w:ascii="Arial" w:hAnsi="Arial"/>
          <w:szCs w:val="20"/>
        </w:rPr>
        <w:t>The decision was made to exclude high-cardinality regulatory identifiers from the principal model and focus on physical and meaningful categorical features.</w:t>
      </w:r>
    </w:p>
    <w:p>
      <w:pPr>
        <w:pStyle w:val="Heading3"/>
        <w:bidi w:val="0"/>
        <w:spacing w:lineRule="auto" w:line="331" w:before="280" w:after="80"/>
        <w:ind w:hanging="0" w:start="0" w:end="0"/>
        <w:jc w:val="both"/>
        <w:rPr>
          <w:rFonts w:ascii="Arial;sans-serif" w:hAnsi="Arial;sans-serif"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Manufacturer and model processing</w:t>
      </w:r>
    </w:p>
    <w:p>
      <w:pPr>
        <w:pStyle w:val="Normal"/>
        <w:bidi w:val="0"/>
        <w:jc w:val="both"/>
        <w:rPr>
          <w:rFonts w:ascii="Arial" w:hAnsi="Arial" w:cs="Arial"/>
          <w:szCs w:val="20"/>
        </w:rPr>
      </w:pPr>
      <w:r>
        <w:rPr>
          <w:rFonts w:cs="Arial" w:ascii="Arial" w:hAnsi="Arial"/>
          <w:szCs w:val="20"/>
        </w:rPr>
        <w:t>The manufacturer feature was target-encoded to preserve information about average emissions by manufacturer while avoiding a very large one-hot-encoded matrix. This operation must be performed carefully inside the training pipeline to avoid target leakage between training and test data.</w:t>
      </w:r>
    </w:p>
    <w:p>
      <w:pPr>
        <w:pStyle w:val="Normal"/>
        <w:bidi w:val="0"/>
        <w:jc w:val="both"/>
        <w:rPr>
          <w:rFonts w:ascii="Arial" w:hAnsi="Arial" w:cs="Arial"/>
          <w:szCs w:val="20"/>
        </w:rPr>
      </w:pPr>
      <w:r>
        <w:rPr>
          <w:rFonts w:cs="Arial" w:ascii="Arial" w:hAnsi="Arial"/>
          <w:szCs w:val="20"/>
        </w:rPr>
        <w:t>Model names were transformed using frequency encoding rather than one-hot encoding. This retained information about model frequency without creating thousands of sparse columns.</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Fuel-related processing</w:t>
      </w:r>
    </w:p>
    <w:p>
      <w:pPr>
        <w:pStyle w:val="Normal"/>
        <w:bidi w:val="0"/>
        <w:jc w:val="both"/>
        <w:rPr>
          <w:rFonts w:ascii="Arial" w:hAnsi="Arial" w:cs="Arial"/>
          <w:szCs w:val="20"/>
        </w:rPr>
      </w:pPr>
      <w:r>
        <w:rPr>
          <w:rFonts w:cs="Arial" w:ascii="Arial" w:hAnsi="Arial"/>
          <w:szCs w:val="20"/>
        </w:rPr>
        <w:t>Fuel type and fuel mode were converted into categorical features using one-hot encoding. This approach avoids incorrectly assigning an ordinal relationship to categories.</w:t>
      </w:r>
    </w:p>
    <w:p>
      <w:pPr>
        <w:pStyle w:val="Normal"/>
        <w:bidi w:val="0"/>
        <w:jc w:val="both"/>
        <w:rPr>
          <w:rFonts w:ascii="Arial" w:hAnsi="Arial" w:cs="Arial"/>
          <w:szCs w:val="20"/>
        </w:rPr>
      </w:pPr>
      <w:r>
        <w:rPr>
          <w:rFonts w:cs="Arial" w:ascii="Arial" w:hAnsi="Arial"/>
          <w:szCs w:val="20"/>
        </w:rPr>
        <w:t>The principal retained fuel categories were:</w:t>
      </w:r>
    </w:p>
    <w:p>
      <w:pPr>
        <w:pStyle w:val="BodyText"/>
        <w:numPr>
          <w:ilvl w:val="0"/>
          <w:numId w:val="9"/>
        </w:numPr>
        <w:tabs>
          <w:tab w:val="clear" w:pos="720"/>
          <w:tab w:val="left" w:pos="0" w:leader="none"/>
        </w:tabs>
        <w:bidi w:val="0"/>
        <w:spacing w:lineRule="auto" w:line="331" w:before="24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Petrol.</w:t>
      </w:r>
    </w:p>
    <w:p>
      <w:pPr>
        <w:pStyle w:val="BodyText"/>
        <w:numPr>
          <w:ilvl w:val="0"/>
          <w:numId w:val="9"/>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Petrol/electric.</w:t>
      </w:r>
    </w:p>
    <w:p>
      <w:pPr>
        <w:pStyle w:val="BodyText"/>
        <w:numPr>
          <w:ilvl w:val="0"/>
          <w:numId w:val="9"/>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Petrol/diesel</w:t>
      </w:r>
    </w:p>
    <w:p>
      <w:pPr>
        <w:pStyle w:val="BodyText"/>
        <w:numPr>
          <w:ilvl w:val="0"/>
          <w:numId w:val="9"/>
        </w:numPr>
        <w:tabs>
          <w:tab w:val="clear" w:pos="720"/>
          <w:tab w:val="left" w:pos="0" w:leader="none"/>
        </w:tabs>
        <w:bidi w:val="0"/>
        <w:spacing w:lineRule="auto" w:line="331" w:before="0" w:after="24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Diesel.</w:t>
      </w:r>
    </w:p>
    <w:p>
      <w:pPr>
        <w:pStyle w:val="Normal"/>
        <w:bidi w:val="0"/>
        <w:jc w:val="both"/>
        <w:rPr>
          <w:rFonts w:ascii="Arial" w:hAnsi="Arial" w:cs="Arial"/>
          <w:szCs w:val="20"/>
        </w:rPr>
      </w:pPr>
      <w:r>
        <w:rPr>
          <w:rFonts w:cs="Arial" w:ascii="Arial" w:hAnsi="Arial"/>
          <w:szCs w:val="20"/>
        </w:rPr>
        <w:t>Low-frequency categories such as diesel/electric, E85, and LPG were removed in the modeling preparation stage because their small representation could produce unstable estimates.</w:t>
      </w:r>
    </w:p>
    <w:p>
      <w:pPr>
        <w:pStyle w:val="Normal"/>
        <w:bidi w:val="0"/>
        <w:jc w:val="both"/>
        <w:rPr>
          <w:rFonts w:ascii="Arial" w:hAnsi="Arial" w:cs="Arial"/>
          <w:szCs w:val="20"/>
        </w:rPr>
      </w:pPr>
      <w:r>
        <w:rPr>
          <w:rFonts w:cs="Arial" w:ascii="Arial" w:hAnsi="Arial"/>
          <w:szCs w:val="20"/>
        </w:rPr>
        <w:t xml:space="preserve">The </w:t>
      </w:r>
      <w:r>
        <w:rPr>
          <w:rFonts w:cs="Arial" w:ascii="Arial" w:hAnsi="Arial"/>
          <w:b/>
          <w:bCs/>
          <w:szCs w:val="20"/>
        </w:rPr>
        <w:t>ng</w:t>
      </w:r>
      <w:r>
        <w:rPr>
          <w:rFonts w:cs="Arial" w:ascii="Arial" w:hAnsi="Arial"/>
          <w:szCs w:val="20"/>
        </w:rPr>
        <w:t xml:space="preserve"> or unknown-fuel category was also removed because it represented a very small proportion of the data and lacked corresponding fuel-consumption information.</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Missing-value treatment</w:t>
      </w:r>
    </w:p>
    <w:p>
      <w:pPr>
        <w:pStyle w:val="Normal"/>
        <w:bidi w:val="0"/>
        <w:jc w:val="both"/>
        <w:rPr>
          <w:rFonts w:ascii="Arial" w:hAnsi="Arial" w:cs="Arial"/>
          <w:szCs w:val="20"/>
        </w:rPr>
      </w:pPr>
      <w:r>
        <w:rPr>
          <w:rFonts w:cs="Arial" w:ascii="Arial" w:hAnsi="Arial"/>
          <w:szCs w:val="20"/>
        </w:rPr>
        <w:t>Missingness was not treated uniformly. The analysis recognized that some missing values are structural rather than accidental:</w:t>
      </w:r>
    </w:p>
    <w:p>
      <w:pPr>
        <w:pStyle w:val="Normal"/>
        <w:numPr>
          <w:ilvl w:val="0"/>
          <w:numId w:val="30"/>
        </w:numPr>
        <w:bidi w:val="0"/>
        <w:jc w:val="both"/>
        <w:rPr>
          <w:rFonts w:ascii="Arial" w:hAnsi="Arial" w:cs="Arial"/>
          <w:szCs w:val="20"/>
        </w:rPr>
      </w:pPr>
      <w:r>
        <w:rPr>
          <w:rFonts w:cs="Arial" w:ascii="Arial" w:hAnsi="Arial"/>
          <w:szCs w:val="20"/>
        </w:rPr>
        <w:t>Electric range and electric consumption are naturally absent for many combustion vehicles.</w:t>
      </w:r>
    </w:p>
    <w:p>
      <w:pPr>
        <w:pStyle w:val="Normal"/>
        <w:numPr>
          <w:ilvl w:val="0"/>
          <w:numId w:val="30"/>
        </w:numPr>
        <w:bidi w:val="0"/>
        <w:jc w:val="both"/>
        <w:rPr>
          <w:rFonts w:ascii="Arial" w:hAnsi="Arial" w:cs="Arial"/>
          <w:szCs w:val="20"/>
        </w:rPr>
      </w:pPr>
      <w:r>
        <w:rPr>
          <w:rFonts w:cs="Arial" w:ascii="Arial" w:hAnsi="Arial"/>
          <w:szCs w:val="20"/>
        </w:rPr>
        <w:t>Electric power fields are primarily relevant to electric or hybrid vehicles.</w:t>
      </w:r>
    </w:p>
    <w:p>
      <w:pPr>
        <w:pStyle w:val="Normal"/>
        <w:numPr>
          <w:ilvl w:val="0"/>
          <w:numId w:val="30"/>
        </w:numPr>
        <w:bidi w:val="0"/>
        <w:jc w:val="both"/>
        <w:rPr>
          <w:rFonts w:ascii="Arial" w:hAnsi="Arial" w:cs="Arial"/>
          <w:szCs w:val="20"/>
        </w:rPr>
      </w:pPr>
      <w:r>
        <w:rPr>
          <w:rFonts w:cs="Arial" w:ascii="Arial" w:hAnsi="Arial"/>
          <w:szCs w:val="20"/>
        </w:rPr>
        <w:t>Pollutant fields may be absent because testing requirements vary according to powertrain type.</w:t>
      </w:r>
    </w:p>
    <w:p>
      <w:pPr>
        <w:pStyle w:val="Normal"/>
        <w:bidi w:val="0"/>
        <w:jc w:val="both"/>
        <w:rPr>
          <w:rFonts w:ascii="Arial" w:hAnsi="Arial" w:cs="Arial"/>
          <w:szCs w:val="20"/>
        </w:rPr>
      </w:pPr>
      <w:r>
        <w:rPr>
          <w:rFonts w:cs="Arial" w:ascii="Arial" w:hAnsi="Arial"/>
          <w:szCs w:val="20"/>
        </w:rPr>
        <w:t>Missing electric range and electric-consumption values were set to zero where zero represented “not applicable for a non-electric vehicle.” This assumption should be documented clearly because zero and unknown are not always equivalent.</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Target leakage prevention</w:t>
      </w:r>
    </w:p>
    <w:p>
      <w:pPr>
        <w:pStyle w:val="Normal"/>
        <w:bidi w:val="0"/>
        <w:jc w:val="both"/>
        <w:rPr>
          <w:rFonts w:ascii="Arial" w:hAnsi="Arial" w:cs="Arial"/>
          <w:szCs w:val="20"/>
        </w:rPr>
      </w:pPr>
      <w:r>
        <w:rPr>
          <w:rFonts w:cs="Arial" w:ascii="Arial" w:hAnsi="Arial"/>
          <w:szCs w:val="20"/>
        </w:rPr>
        <w:t>Two variables were marked suspicious, because they provided information too directly related to the target:</w:t>
      </w:r>
    </w:p>
    <w:p>
      <w:pPr>
        <w:pStyle w:val="BodyText"/>
        <w:numPr>
          <w:ilvl w:val="0"/>
          <w:numId w:val="10"/>
        </w:numPr>
        <w:tabs>
          <w:tab w:val="clear" w:pos="720"/>
          <w:tab w:val="left" w:pos="0" w:leader="none"/>
        </w:tabs>
        <w:bidi w:val="0"/>
        <w:spacing w:lineRule="auto" w:line="331" w:before="240" w:after="0"/>
        <w:ind w:hanging="283" w:start="709" w:end="0"/>
        <w:jc w:val="both"/>
        <w:rPr>
          <w:rFonts w:ascii="Arial" w:hAnsi="Arial" w:cs="Arial"/>
          <w:b w:val="false"/>
          <w:i w:val="false"/>
          <w:caps w:val="false"/>
          <w:smallCaps w:val="false"/>
          <w:strike w:val="false"/>
          <w:dstrike w:val="false"/>
          <w:color w:val="000000"/>
          <w:sz w:val="20"/>
          <w:szCs w:val="20"/>
          <w:u w:val="none"/>
          <w:effect w:val="none"/>
        </w:rPr>
      </w:pPr>
      <w:r>
        <w:rPr>
          <w:rFonts w:cs="Arial" w:ascii="Arial" w:hAnsi="Arial"/>
          <w:b/>
          <w:i w:val="false"/>
          <w:caps w:val="false"/>
          <w:smallCaps w:val="false"/>
          <w:strike w:val="false"/>
          <w:dstrike w:val="false"/>
          <w:color w:val="000000"/>
          <w:sz w:val="20"/>
          <w:szCs w:val="20"/>
          <w:u w:val="none"/>
          <w:effect w:val="none"/>
          <w:shd w:fill="auto" w:val="clear"/>
        </w:rPr>
        <w:t>Fuel consumption:</w:t>
      </w:r>
      <w:r>
        <w:rPr>
          <w:rFonts w:cs="Arial" w:ascii="Arial" w:hAnsi="Arial"/>
          <w:b w:val="false"/>
          <w:i w:val="false"/>
          <w:caps w:val="false"/>
          <w:smallCaps w:val="false"/>
          <w:strike w:val="false"/>
          <w:dstrike w:val="false"/>
          <w:color w:val="000000"/>
          <w:sz w:val="20"/>
          <w:szCs w:val="20"/>
          <w:u w:val="none"/>
          <w:effect w:val="none"/>
          <w:shd w:fill="auto" w:val="clear"/>
        </w:rPr>
        <w:t xml:space="preserve"> It has a near-deterministic physical relationship with CO₂ emissions and would make the prediction problem artificially easy.</w:t>
      </w:r>
    </w:p>
    <w:p>
      <w:pPr>
        <w:pStyle w:val="BodyText"/>
        <w:numPr>
          <w:ilvl w:val="0"/>
          <w:numId w:val="10"/>
        </w:numPr>
        <w:tabs>
          <w:tab w:val="clear" w:pos="720"/>
          <w:tab w:val="left" w:pos="0" w:leader="none"/>
        </w:tabs>
        <w:bidi w:val="0"/>
        <w:spacing w:lineRule="auto" w:line="331" w:before="0" w:after="240"/>
        <w:ind w:hanging="283" w:start="709" w:end="0"/>
        <w:jc w:val="both"/>
        <w:rPr>
          <w:rFonts w:ascii="Arial" w:hAnsi="Arial" w:cs="Arial"/>
          <w:b w:val="false"/>
          <w:i w:val="false"/>
          <w:caps w:val="false"/>
          <w:smallCaps w:val="false"/>
          <w:strike w:val="false"/>
          <w:dstrike w:val="false"/>
          <w:color w:val="000000"/>
          <w:sz w:val="20"/>
          <w:szCs w:val="20"/>
          <w:u w:val="none"/>
          <w:effect w:val="none"/>
        </w:rPr>
      </w:pPr>
      <w:r>
        <w:rPr>
          <w:rFonts w:cs="Arial" w:ascii="Arial" w:hAnsi="Arial"/>
          <w:b/>
          <w:i w:val="false"/>
          <w:caps w:val="false"/>
          <w:smallCaps w:val="false"/>
          <w:strike w:val="false"/>
          <w:dstrike w:val="false"/>
          <w:color w:val="000000"/>
          <w:sz w:val="20"/>
          <w:szCs w:val="20"/>
          <w:u w:val="none"/>
          <w:effect w:val="none"/>
          <w:shd w:fill="auto" w:val="clear"/>
        </w:rPr>
        <w:t>Erwltp:</w:t>
      </w:r>
      <w:r>
        <w:rPr>
          <w:rFonts w:cs="Arial" w:ascii="Arial" w:hAnsi="Arial"/>
          <w:b w:val="false"/>
          <w:i w:val="false"/>
          <w:caps w:val="false"/>
          <w:smallCaps w:val="false"/>
          <w:strike w:val="false"/>
          <w:dstrike w:val="false"/>
          <w:color w:val="000000"/>
          <w:sz w:val="20"/>
          <w:szCs w:val="20"/>
          <w:u w:val="none"/>
          <w:effect w:val="none"/>
          <w:shd w:fill="auto" w:val="clear"/>
        </w:rPr>
        <w:t xml:space="preserve"> It represents an adjustment or regulatory value closely connected to WLTP emissions.</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Removing these variables forces the model to learn from more fundamental vehicle characteristics such as mass, engine displacement, power, fuel type, and manufacturer.</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Train-test split</w:t>
      </w:r>
    </w:p>
    <w:p>
      <w:pPr>
        <w:pStyle w:val="BodyText"/>
        <w:bidi w:val="0"/>
        <w:spacing w:lineRule="auto" w:line="331" w:before="240" w:after="240"/>
        <w:ind w:hanging="0" w:start="0" w:end="0"/>
        <w:jc w:val="both"/>
        <w:rPr>
          <w:rFonts w:ascii="Arial" w:hAnsi="Arial" w:cs="Arial"/>
          <w:b/>
          <w:sz w:val="20"/>
          <w:szCs w:val="20"/>
        </w:rPr>
      </w:pPr>
      <w:r>
        <w:rPr>
          <w:rFonts w:cs="Arial" w:ascii="Arial" w:hAnsi="Arial"/>
          <w:b w:val="false"/>
          <w:i w:val="false"/>
          <w:caps w:val="false"/>
          <w:smallCaps w:val="false"/>
          <w:strike w:val="false"/>
          <w:dstrike w:val="false"/>
          <w:color w:val="000000"/>
          <w:sz w:val="20"/>
          <w:szCs w:val="20"/>
          <w:u w:val="none"/>
          <w:effect w:val="none"/>
          <w:shd w:fill="auto" w:val="clear"/>
        </w:rPr>
        <w:t xml:space="preserve">The data was initially divided using an 80/20 train-test split with </w:t>
      </w:r>
      <w:r>
        <w:rPr>
          <w:rFonts w:cs="Arial" w:ascii="Arial" w:hAnsi="Arial"/>
          <w:b w:val="false"/>
          <w:i w:val="false"/>
          <w:caps w:val="false"/>
          <w:smallCaps w:val="false"/>
          <w:strike w:val="false"/>
          <w:dstrike w:val="false"/>
          <w:color w:val="188038"/>
          <w:sz w:val="20"/>
          <w:szCs w:val="20"/>
          <w:u w:val="none"/>
          <w:effect w:val="none"/>
          <w:shd w:fill="auto" w:val="clear"/>
        </w:rPr>
        <w:t>random_state=42</w:t>
      </w:r>
      <w:r>
        <w:rPr>
          <w:rFonts w:cs="Arial" w:ascii="Arial" w:hAnsi="Arial"/>
          <w:b w:val="false"/>
          <w:i w:val="false"/>
          <w:caps w:val="false"/>
          <w:smallCaps w:val="false"/>
          <w:strike w:val="false"/>
          <w:dstrike w:val="false"/>
          <w:color w:val="000000"/>
          <w:sz w:val="20"/>
          <w:szCs w:val="20"/>
          <w:u w:val="none"/>
          <w:effect w:val="none"/>
          <w:shd w:fill="auto" w:val="clear"/>
        </w:rPr>
        <w:t>. The split was performed before scaling and outlier filtering to ensure that the test data remained unseen during model preparation.</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For a stronger evaluation in the modeling phase, it was noted that it would also be useful to consider:</w:t>
      </w:r>
    </w:p>
    <w:p>
      <w:pPr>
        <w:pStyle w:val="BodyText"/>
        <w:numPr>
          <w:ilvl w:val="0"/>
          <w:numId w:val="11"/>
        </w:numPr>
        <w:tabs>
          <w:tab w:val="clear" w:pos="720"/>
          <w:tab w:val="left" w:pos="0" w:leader="none"/>
        </w:tabs>
        <w:bidi w:val="0"/>
        <w:spacing w:lineRule="auto" w:line="331" w:before="24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Grouped splitting by vehicle model or manufacturer.</w:t>
      </w:r>
    </w:p>
    <w:p>
      <w:pPr>
        <w:pStyle w:val="BodyText"/>
        <w:numPr>
          <w:ilvl w:val="0"/>
          <w:numId w:val="11"/>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Time-based splitting if multiple registration years become available.</w:t>
      </w:r>
    </w:p>
    <w:p>
      <w:pPr>
        <w:pStyle w:val="BodyText"/>
        <w:numPr>
          <w:ilvl w:val="0"/>
          <w:numId w:val="11"/>
        </w:numPr>
        <w:tabs>
          <w:tab w:val="clear" w:pos="720"/>
          <w:tab w:val="left" w:pos="0" w:leader="none"/>
        </w:tabs>
        <w:bidi w:val="0"/>
        <w:spacing w:lineRule="auto" w:line="331" w:before="0" w:after="24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Evaluation on manufacturers or models not present in the training set.</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Standardization</w:t>
      </w:r>
    </w:p>
    <w:p>
      <w:pPr>
        <w:pStyle w:val="BodyText"/>
        <w:bidi w:val="0"/>
        <w:spacing w:lineRule="auto" w:line="331" w:before="240" w:after="240"/>
        <w:ind w:hanging="0" w:start="0" w:end="0"/>
        <w:jc w:val="both"/>
        <w:rPr>
          <w:rFonts w:ascii="Arial" w:hAnsi="Arial" w:cs="Arial"/>
          <w:b/>
          <w:sz w:val="20"/>
          <w:szCs w:val="20"/>
        </w:rPr>
      </w:pPr>
      <w:r>
        <w:rPr>
          <w:rFonts w:cs="Arial" w:ascii="Arial" w:hAnsi="Arial"/>
          <w:b w:val="false"/>
          <w:i w:val="false"/>
          <w:caps w:val="false"/>
          <w:smallCaps w:val="false"/>
          <w:strike w:val="false"/>
          <w:dstrike w:val="false"/>
          <w:color w:val="000000"/>
          <w:sz w:val="20"/>
          <w:szCs w:val="20"/>
          <w:u w:val="none"/>
          <w:effect w:val="none"/>
          <w:shd w:fill="auto" w:val="clear"/>
        </w:rPr>
        <w:t xml:space="preserve">Numerical variables were standardized using </w:t>
      </w:r>
      <w:r>
        <w:rPr>
          <w:rFonts w:cs="Arial" w:ascii="Arial" w:hAnsi="Arial"/>
          <w:b w:val="false"/>
          <w:i w:val="false"/>
          <w:caps w:val="false"/>
          <w:smallCaps w:val="false"/>
          <w:strike w:val="false"/>
          <w:dstrike w:val="false"/>
          <w:color w:val="188038"/>
          <w:sz w:val="20"/>
          <w:szCs w:val="20"/>
          <w:u w:val="none"/>
          <w:effect w:val="none"/>
          <w:shd w:fill="auto" w:val="clear"/>
        </w:rPr>
        <w:t>StandardScaler</w:t>
      </w:r>
      <w:r>
        <w:rPr>
          <w:rFonts w:cs="Arial" w:ascii="Arial" w:hAnsi="Arial"/>
          <w:b w:val="false"/>
          <w:i w:val="false"/>
          <w:caps w:val="false"/>
          <w:smallCaps w:val="false"/>
          <w:strike w:val="false"/>
          <w:dstrike w:val="false"/>
          <w:color w:val="000000"/>
          <w:sz w:val="20"/>
          <w:szCs w:val="20"/>
          <w:u w:val="none"/>
          <w:effect w:val="none"/>
          <w:shd w:fill="auto" w:val="clear"/>
        </w:rPr>
        <w:t>. The scaler was fitted only on the training data and then applied to the test data:</w:t>
      </w:r>
    </w:p>
    <w:p>
      <w:pPr>
        <w:pStyle w:val="BodyText"/>
        <w:bidi w:val="0"/>
        <w:spacing w:lineRule="auto" w:line="331" w:before="0" w:after="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X_train_scaled = scaler.fit_transform(X_train)</w:t>
      </w:r>
    </w:p>
    <w:p>
      <w:pPr>
        <w:pStyle w:val="BodyText"/>
        <w:bidi w:val="0"/>
        <w:spacing w:lineRule="auto" w:line="331" w:before="0" w:after="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X_test_scaled = scaler.transform(X_test)</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Standardization is useful for models that are sensitive to feature scale, including linear regression, support-vector machines, k-nearest neighbours, and neural networks. Tree-based models generally require less scale preparation, but using a consistent preprocessing pipeline remains good practice when comparing multiple algorithms.</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Dimension reduction</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No mandatory dimension-reduction technique was required for the initial feature set because high-cardinality identifiers were removed or encoded before modeling. If the final encoded feature space becomes large, dimension reduction could be considered for exploratory purposes or for models that are sensitive to sparse, high-dimensional input.</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Potential methods include:</w:t>
      </w:r>
    </w:p>
    <w:p>
      <w:pPr>
        <w:pStyle w:val="BodyText"/>
        <w:numPr>
          <w:ilvl w:val="0"/>
          <w:numId w:val="12"/>
        </w:numPr>
        <w:tabs>
          <w:tab w:val="clear" w:pos="720"/>
          <w:tab w:val="left" w:pos="0" w:leader="none"/>
        </w:tabs>
        <w:bidi w:val="0"/>
        <w:spacing w:lineRule="auto" w:line="331" w:before="24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Principal Component Analysis for numerical variables.</w:t>
      </w:r>
    </w:p>
    <w:p>
      <w:pPr>
        <w:pStyle w:val="BodyText"/>
        <w:numPr>
          <w:ilvl w:val="0"/>
          <w:numId w:val="12"/>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Truncated SVD for sparse encoded matrices.</w:t>
      </w:r>
    </w:p>
    <w:p>
      <w:pPr>
        <w:pStyle w:val="BodyText"/>
        <w:numPr>
          <w:ilvl w:val="0"/>
          <w:numId w:val="12"/>
        </w:numPr>
        <w:tabs>
          <w:tab w:val="clear" w:pos="720"/>
          <w:tab w:val="left" w:pos="0" w:leader="none"/>
        </w:tabs>
        <w:bidi w:val="0"/>
        <w:spacing w:lineRule="auto" w:line="331" w:before="0" w:after="24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Feature selection based on mutual information or model importance.</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Any dimension-reduction step should be fitted only on the training data.</w:t>
      </w:r>
    </w:p>
    <w:p>
      <w:pPr>
        <w:pStyle w:val="HorizontalLine"/>
        <w:spacing w:before="0" w:after="200"/>
        <w:jc w:val="both"/>
        <w:rPr>
          <w:rFonts w:ascii="Arial" w:hAnsi="Arial" w:cs="Arial"/>
          <w:b/>
          <w:sz w:val="20"/>
          <w:szCs w:val="20"/>
        </w:rPr>
      </w:pPr>
      <w:r>
        <w:rPr>
          <w:rFonts w:cs="Arial" w:ascii="Arial" w:hAnsi="Arial"/>
          <w:b/>
          <w:sz w:val="20"/>
          <w:szCs w:val="20"/>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t>4. Visualizations and Statistical Analysis</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Relationships between explanatory variables</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The exploratory analysis identified several important relationships:</w:t>
      </w:r>
    </w:p>
    <w:p>
      <w:pPr>
        <w:pStyle w:val="BodyText"/>
        <w:numPr>
          <w:ilvl w:val="0"/>
          <w:numId w:val="13"/>
        </w:numPr>
        <w:tabs>
          <w:tab w:val="clear" w:pos="720"/>
          <w:tab w:val="left" w:pos="0" w:leader="none"/>
        </w:tabs>
        <w:bidi w:val="0"/>
        <w:spacing w:lineRule="auto" w:line="331" w:before="24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Vehicle mass is positively associated with emissions.</w:t>
      </w:r>
    </w:p>
    <w:p>
      <w:pPr>
        <w:pStyle w:val="BodyText"/>
        <w:numPr>
          <w:ilvl w:val="0"/>
          <w:numId w:val="13"/>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Engine power and engine displacement are positively associated with emissions.</w:t>
      </w:r>
    </w:p>
    <w:p>
      <w:pPr>
        <w:pStyle w:val="BodyText"/>
        <w:numPr>
          <w:ilvl w:val="0"/>
          <w:numId w:val="13"/>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Mass and WLTP test mass are strongly related.</w:t>
      </w:r>
    </w:p>
    <w:p>
      <w:pPr>
        <w:pStyle w:val="BodyText"/>
        <w:numPr>
          <w:ilvl w:val="0"/>
          <w:numId w:val="13"/>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Fuel type produces clear separation between low- and high-emission groups.</w:t>
      </w:r>
    </w:p>
    <w:p>
      <w:pPr>
        <w:pStyle w:val="BodyText"/>
        <w:numPr>
          <w:ilvl w:val="0"/>
          <w:numId w:val="13"/>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Electric range and electric consumption are concentrated among electrified vehicles.</w:t>
      </w:r>
    </w:p>
    <w:p>
      <w:pPr>
        <w:pStyle w:val="BodyText"/>
        <w:numPr>
          <w:ilvl w:val="0"/>
          <w:numId w:val="13"/>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Manufacturer and model distributions are highly concentrated.</w:t>
      </w:r>
    </w:p>
    <w:p>
      <w:pPr>
        <w:pStyle w:val="BodyText"/>
        <w:numPr>
          <w:ilvl w:val="0"/>
          <w:numId w:val="13"/>
        </w:numPr>
        <w:tabs>
          <w:tab w:val="clear" w:pos="720"/>
          <w:tab w:val="left" w:pos="0" w:leader="none"/>
        </w:tabs>
        <w:bidi w:val="0"/>
        <w:spacing w:lineRule="auto" w:line="331" w:before="0" w:after="24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Some regulatory codes are strongly associated with specific vehicle families and manufacturers.</w:t>
      </w:r>
    </w:p>
    <w:p>
      <w:pPr>
        <w:pStyle w:val="BodyText"/>
        <w:bidi w:val="0"/>
        <w:spacing w:lineRule="auto" w:line="331" w:before="240" w:after="240"/>
        <w:ind w:hanging="0" w:start="0" w:end="0"/>
        <w:jc w:val="both"/>
        <w:rPr>
          <w:rFonts w:ascii="Arial" w:hAnsi="Arial" w:cs="Arial"/>
          <w:b/>
          <w:sz w:val="20"/>
          <w:szCs w:val="20"/>
        </w:rPr>
      </w:pPr>
      <w:r>
        <w:rPr>
          <w:rFonts w:cs="Arial" w:ascii="Arial" w:hAnsi="Arial"/>
          <w:b w:val="false"/>
          <w:i w:val="false"/>
          <w:caps w:val="false"/>
          <w:smallCaps w:val="false"/>
          <w:strike w:val="false"/>
          <w:dstrike w:val="false"/>
          <w:color w:val="000000"/>
          <w:sz w:val="20"/>
          <w:szCs w:val="20"/>
          <w:u w:val="none"/>
          <w:effect w:val="none"/>
          <w:shd w:fill="auto" w:val="clear"/>
        </w:rPr>
        <w:t xml:space="preserve">The strong relationship between </w:t>
      </w:r>
      <w:r>
        <w:rPr>
          <w:rFonts w:cs="Arial" w:ascii="Arial" w:hAnsi="Arial"/>
          <w:b w:val="false"/>
          <w:i w:val="false"/>
          <w:caps w:val="false"/>
          <w:smallCaps w:val="false"/>
          <w:strike w:val="false"/>
          <w:dstrike w:val="false"/>
          <w:color w:val="188038"/>
          <w:sz w:val="20"/>
          <w:szCs w:val="20"/>
          <w:u w:val="none"/>
          <w:effect w:val="none"/>
          <w:shd w:fill="auto" w:val="clear"/>
        </w:rPr>
        <w:t>m</w:t>
      </w:r>
      <w:r>
        <w:rPr>
          <w:rFonts w:cs="Arial" w:ascii="Arial" w:hAnsi="Arial"/>
          <w:b/>
          <w:caps w:val="false"/>
          <w:smallCaps w:val="false"/>
          <w:strike w:val="false"/>
          <w:dstrike w:val="false"/>
          <w:color w:val="000000"/>
          <w:sz w:val="20"/>
          <w:szCs w:val="20"/>
          <w:u w:val="none"/>
          <w:effect w:val="none"/>
          <w:shd w:fill="auto" w:val="clear"/>
        </w:rPr>
        <w:t xml:space="preserve"> </w:t>
      </w:r>
      <w:r>
        <w:rPr>
          <w:rFonts w:cs="Arial" w:ascii="Arial" w:hAnsi="Arial"/>
          <w:b w:val="false"/>
          <w:i w:val="false"/>
          <w:caps w:val="false"/>
          <w:smallCaps w:val="false"/>
          <w:strike w:val="false"/>
          <w:dstrike w:val="false"/>
          <w:color w:val="000000"/>
          <w:sz w:val="20"/>
          <w:szCs w:val="20"/>
          <w:u w:val="none"/>
          <w:effect w:val="none"/>
          <w:shd w:fill="auto" w:val="clear"/>
        </w:rPr>
        <w:t xml:space="preserve">and </w:t>
      </w:r>
      <w:r>
        <w:rPr>
          <w:rFonts w:cs="Arial" w:ascii="Arial" w:hAnsi="Arial"/>
          <w:b w:val="false"/>
          <w:i w:val="false"/>
          <w:caps w:val="false"/>
          <w:smallCaps w:val="false"/>
          <w:strike w:val="false"/>
          <w:dstrike w:val="false"/>
          <w:color w:val="188038"/>
          <w:sz w:val="20"/>
          <w:szCs w:val="20"/>
          <w:u w:val="none"/>
          <w:effect w:val="none"/>
          <w:shd w:fill="auto" w:val="clear"/>
        </w:rPr>
        <w:t>Mt</w:t>
      </w:r>
      <w:r>
        <w:rPr>
          <w:rFonts w:cs="Arial" w:ascii="Arial" w:hAnsi="Arial"/>
          <w:b/>
          <w:caps w:val="false"/>
          <w:smallCaps w:val="false"/>
          <w:strike w:val="false"/>
          <w:dstrike w:val="false"/>
          <w:color w:val="000000"/>
          <w:sz w:val="20"/>
          <w:szCs w:val="20"/>
          <w:u w:val="none"/>
          <w:effect w:val="none"/>
          <w:shd w:fill="auto" w:val="clear"/>
        </w:rPr>
        <w:t xml:space="preserve"> </w:t>
      </w:r>
      <w:r>
        <w:rPr>
          <w:rFonts w:cs="Arial" w:ascii="Arial" w:hAnsi="Arial"/>
          <w:b w:val="false"/>
          <w:i w:val="false"/>
          <w:caps w:val="false"/>
          <w:smallCaps w:val="false"/>
          <w:strike w:val="false"/>
          <w:dstrike w:val="false"/>
          <w:color w:val="000000"/>
          <w:sz w:val="20"/>
          <w:szCs w:val="20"/>
          <w:u w:val="none"/>
          <w:effect w:val="none"/>
          <w:shd w:fill="auto" w:val="clear"/>
        </w:rPr>
        <w:t xml:space="preserve">creates a multicollinearity concern. Although </w:t>
      </w:r>
      <w:r>
        <w:rPr>
          <w:rFonts w:cs="Arial" w:ascii="Arial" w:hAnsi="Arial"/>
          <w:b w:val="false"/>
          <w:i w:val="false"/>
          <w:caps w:val="false"/>
          <w:smallCaps w:val="false"/>
          <w:strike w:val="false"/>
          <w:dstrike w:val="false"/>
          <w:color w:val="188038"/>
          <w:sz w:val="20"/>
          <w:szCs w:val="20"/>
          <w:u w:val="none"/>
          <w:effect w:val="none"/>
          <w:shd w:fill="auto" w:val="clear"/>
        </w:rPr>
        <w:t>Mt</w:t>
      </w:r>
      <w:r>
        <w:rPr>
          <w:rFonts w:cs="Arial" w:ascii="Arial" w:hAnsi="Arial"/>
          <w:b/>
          <w:caps w:val="false"/>
          <w:smallCaps w:val="false"/>
          <w:strike w:val="false"/>
          <w:dstrike w:val="false"/>
          <w:color w:val="000000"/>
          <w:sz w:val="20"/>
          <w:szCs w:val="20"/>
          <w:u w:val="none"/>
          <w:effect w:val="none"/>
          <w:shd w:fill="auto" w:val="clear"/>
        </w:rPr>
        <w:t xml:space="preserve"> </w:t>
      </w:r>
      <w:r>
        <w:rPr>
          <w:rFonts w:cs="Arial" w:ascii="Arial" w:hAnsi="Arial"/>
          <w:b w:val="false"/>
          <w:i w:val="false"/>
          <w:caps w:val="false"/>
          <w:smallCaps w:val="false"/>
          <w:strike w:val="false"/>
          <w:dstrike w:val="false"/>
          <w:color w:val="000000"/>
          <w:sz w:val="20"/>
          <w:szCs w:val="20"/>
          <w:u w:val="none"/>
          <w:effect w:val="none"/>
          <w:shd w:fill="auto" w:val="clear"/>
        </w:rPr>
        <w:t xml:space="preserve">is closely linked to laboratory testing, </w:t>
      </w:r>
      <w:r>
        <w:rPr>
          <w:rFonts w:cs="Arial" w:ascii="Arial" w:hAnsi="Arial"/>
          <w:b w:val="false"/>
          <w:i w:val="false"/>
          <w:caps w:val="false"/>
          <w:smallCaps w:val="false"/>
          <w:strike w:val="false"/>
          <w:dstrike w:val="false"/>
          <w:color w:val="188038"/>
          <w:sz w:val="20"/>
          <w:szCs w:val="20"/>
          <w:u w:val="none"/>
          <w:effect w:val="none"/>
          <w:shd w:fill="auto" w:val="clear"/>
        </w:rPr>
        <w:t>m</w:t>
      </w:r>
      <w:r>
        <w:rPr>
          <w:rFonts w:cs="Arial" w:ascii="Arial" w:hAnsi="Arial"/>
          <w:b/>
          <w:caps w:val="false"/>
          <w:smallCaps w:val="false"/>
          <w:strike w:val="false"/>
          <w:dstrike w:val="false"/>
          <w:color w:val="000000"/>
          <w:sz w:val="20"/>
          <w:szCs w:val="20"/>
          <w:u w:val="none"/>
          <w:effect w:val="none"/>
          <w:shd w:fill="auto" w:val="clear"/>
        </w:rPr>
        <w:t xml:space="preserve"> </w:t>
      </w:r>
      <w:r>
        <w:rPr>
          <w:rFonts w:cs="Arial" w:ascii="Arial" w:hAnsi="Arial"/>
          <w:b w:val="false"/>
          <w:i w:val="false"/>
          <w:caps w:val="false"/>
          <w:smallCaps w:val="false"/>
          <w:strike w:val="false"/>
          <w:dstrike w:val="false"/>
          <w:color w:val="000000"/>
          <w:sz w:val="20"/>
          <w:szCs w:val="20"/>
          <w:u w:val="none"/>
          <w:effect w:val="none"/>
          <w:shd w:fill="auto" w:val="clear"/>
        </w:rPr>
        <w:t xml:space="preserve">is more appropriate for future prediction because curb mass may be available before the vehicle has completed official testing. Consequently, </w:t>
      </w:r>
      <w:r>
        <w:rPr>
          <w:rFonts w:cs="Arial" w:ascii="Arial" w:hAnsi="Arial"/>
          <w:b w:val="false"/>
          <w:i w:val="false"/>
          <w:caps w:val="false"/>
          <w:smallCaps w:val="false"/>
          <w:strike w:val="false"/>
          <w:dstrike w:val="false"/>
          <w:color w:val="188038"/>
          <w:sz w:val="20"/>
          <w:szCs w:val="20"/>
          <w:u w:val="none"/>
          <w:effect w:val="none"/>
          <w:shd w:fill="auto" w:val="clear"/>
        </w:rPr>
        <w:t>m</w:t>
      </w:r>
      <w:r>
        <w:rPr>
          <w:rFonts w:cs="Arial" w:ascii="Arial" w:hAnsi="Arial"/>
          <w:b/>
          <w:caps w:val="false"/>
          <w:smallCaps w:val="false"/>
          <w:strike w:val="false"/>
          <w:dstrike w:val="false"/>
          <w:color w:val="000000"/>
          <w:sz w:val="20"/>
          <w:szCs w:val="20"/>
          <w:u w:val="none"/>
          <w:effect w:val="none"/>
          <w:shd w:fill="auto" w:val="clear"/>
        </w:rPr>
        <w:t xml:space="preserve"> </w:t>
      </w:r>
      <w:r>
        <w:rPr>
          <w:rFonts w:cs="Arial" w:ascii="Arial" w:hAnsi="Arial"/>
          <w:b w:val="false"/>
          <w:i w:val="false"/>
          <w:caps w:val="false"/>
          <w:smallCaps w:val="false"/>
          <w:strike w:val="false"/>
          <w:dstrike w:val="false"/>
          <w:color w:val="000000"/>
          <w:sz w:val="20"/>
          <w:szCs w:val="20"/>
          <w:u w:val="none"/>
          <w:effect w:val="none"/>
          <w:shd w:fill="auto" w:val="clear"/>
        </w:rPr>
        <w:t xml:space="preserve">was marked to be retained and </w:t>
      </w:r>
      <w:r>
        <w:rPr>
          <w:rFonts w:cs="Arial" w:ascii="Arial" w:hAnsi="Arial"/>
          <w:b w:val="false"/>
          <w:i w:val="false"/>
          <w:caps w:val="false"/>
          <w:smallCaps w:val="false"/>
          <w:strike w:val="false"/>
          <w:dstrike w:val="false"/>
          <w:color w:val="188038"/>
          <w:sz w:val="20"/>
          <w:szCs w:val="20"/>
          <w:u w:val="none"/>
          <w:effect w:val="none"/>
          <w:shd w:fill="auto" w:val="clear"/>
        </w:rPr>
        <w:t>Mt</w:t>
      </w:r>
      <w:r>
        <w:rPr>
          <w:rFonts w:cs="Arial" w:ascii="Arial" w:hAnsi="Arial"/>
          <w:b/>
          <w:caps w:val="false"/>
          <w:smallCaps w:val="false"/>
          <w:strike w:val="false"/>
          <w:dstrike w:val="false"/>
          <w:color w:val="000000"/>
          <w:sz w:val="20"/>
          <w:szCs w:val="20"/>
          <w:u w:val="none"/>
          <w:effect w:val="none"/>
          <w:shd w:fill="auto" w:val="clear"/>
        </w:rPr>
        <w:t xml:space="preserve"> </w:t>
      </w:r>
      <w:r>
        <w:rPr>
          <w:rFonts w:cs="Arial" w:ascii="Arial" w:hAnsi="Arial"/>
          <w:b w:val="false"/>
          <w:i w:val="false"/>
          <w:caps w:val="false"/>
          <w:smallCaps w:val="false"/>
          <w:strike w:val="false"/>
          <w:dstrike w:val="false"/>
          <w:color w:val="000000"/>
          <w:sz w:val="20"/>
          <w:szCs w:val="20"/>
          <w:u w:val="none"/>
          <w:effect w:val="none"/>
          <w:shd w:fill="auto" w:val="clear"/>
        </w:rPr>
        <w:t>was marked to be excluded.</w:t>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drawing>
          <wp:anchor distT="0" distB="0" distL="0" distR="0" simplePos="0" relativeHeight="12" behindDoc="0" locked="0" layoutInCell="0" allowOverlap="1">
            <wp:simplePos x="0" y="0"/>
            <wp:positionH relativeFrom="column">
              <wp:posOffset>-280035</wp:posOffset>
            </wp:positionH>
            <wp:positionV relativeFrom="paragraph">
              <wp:posOffset>-108585</wp:posOffset>
            </wp:positionV>
            <wp:extent cx="5486400" cy="4690110"/>
            <wp:effectExtent l="0" t="0" r="0" b="0"/>
            <wp:wrapTopAndBottom/>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4"/>
                    <a:stretch>
                      <a:fillRect/>
                    </a:stretch>
                  </pic:blipFill>
                  <pic:spPr bwMode="auto">
                    <a:xfrm>
                      <a:off x="0" y="0"/>
                      <a:ext cx="5486400" cy="4690110"/>
                    </a:xfrm>
                    <a:prstGeom prst="rect">
                      <a:avLst/>
                    </a:prstGeom>
                    <a:noFill/>
                  </pic:spPr>
                </pic:pic>
              </a:graphicData>
            </a:graphic>
          </wp:anchor>
        </w:drawing>
        <w:drawing>
          <wp:anchor distT="0" distB="0" distL="0" distR="0" simplePos="0" relativeHeight="15" behindDoc="0" locked="0" layoutInCell="0" allowOverlap="1">
            <wp:simplePos x="0" y="0"/>
            <wp:positionH relativeFrom="column">
              <wp:posOffset>-130175</wp:posOffset>
            </wp:positionH>
            <wp:positionV relativeFrom="paragraph">
              <wp:posOffset>4689475</wp:posOffset>
            </wp:positionV>
            <wp:extent cx="5336540" cy="3603625"/>
            <wp:effectExtent l="0" t="0" r="0" b="0"/>
            <wp:wrapSquare wrapText="bothSides"/>
            <wp:docPr id="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pic:cNvPicPr>
                      <a:picLocks noChangeAspect="1" noChangeArrowheads="1"/>
                    </pic:cNvPicPr>
                  </pic:nvPicPr>
                  <pic:blipFill>
                    <a:blip r:embed="rId5"/>
                    <a:stretch>
                      <a:fillRect/>
                    </a:stretch>
                  </pic:blipFill>
                  <pic:spPr bwMode="auto">
                    <a:xfrm>
                      <a:off x="0" y="0"/>
                      <a:ext cx="5336540" cy="3603625"/>
                    </a:xfrm>
                    <a:prstGeom prst="rect">
                      <a:avLst/>
                    </a:prstGeom>
                    <a:noFill/>
                  </pic:spPr>
                </pic:pic>
              </a:graphicData>
            </a:graphic>
          </wp:anchor>
        </w:drawing>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Target distribution</w:t>
      </w:r>
    </w:p>
    <w:p>
      <w:pPr>
        <w:pStyle w:val="BodyText"/>
        <w:bidi w:val="0"/>
        <w:spacing w:lineRule="auto" w:line="331" w:before="240" w:after="240"/>
        <w:ind w:hanging="0" w:start="0" w:end="0"/>
        <w:jc w:val="both"/>
        <w:rPr>
          <w:rFonts w:ascii="Arial" w:hAnsi="Arial" w:cs="Arial"/>
          <w:b/>
          <w:sz w:val="20"/>
          <w:szCs w:val="20"/>
        </w:rPr>
      </w:pPr>
      <w:r>
        <w:rPr>
          <w:rFonts w:cs="Arial" w:ascii="Arial" w:hAnsi="Arial"/>
          <w:b w:val="false"/>
          <w:i w:val="false"/>
          <w:caps w:val="false"/>
          <w:smallCaps w:val="false"/>
          <w:strike w:val="false"/>
          <w:dstrike w:val="false"/>
          <w:color w:val="000000"/>
          <w:sz w:val="20"/>
          <w:szCs w:val="20"/>
          <w:u w:val="none"/>
          <w:effect w:val="none"/>
          <w:shd w:fill="auto" w:val="clear"/>
        </w:rPr>
        <w:t xml:space="preserve">The EEA target, </w:t>
      </w:r>
      <w:r>
        <w:rPr>
          <w:rFonts w:cs="Arial" w:ascii="Arial" w:hAnsi="Arial"/>
          <w:b w:val="false"/>
          <w:i w:val="false"/>
          <w:caps w:val="false"/>
          <w:smallCaps w:val="false"/>
          <w:strike w:val="false"/>
          <w:dstrike w:val="false"/>
          <w:color w:val="188038"/>
          <w:sz w:val="20"/>
          <w:szCs w:val="20"/>
          <w:u w:val="none"/>
          <w:effect w:val="none"/>
          <w:shd w:fill="auto" w:val="clear"/>
        </w:rPr>
        <w:t>Ewltp</w:t>
      </w:r>
      <w:r>
        <w:rPr>
          <w:rFonts w:cs="Arial" w:ascii="Arial" w:hAnsi="Arial"/>
          <w:b w:val="false"/>
          <w:i w:val="false"/>
          <w:caps w:val="false"/>
          <w:smallCaps w:val="false"/>
          <w:strike w:val="false"/>
          <w:dstrike w:val="false"/>
          <w:color w:val="000000"/>
          <w:sz w:val="20"/>
          <w:szCs w:val="20"/>
          <w:u w:val="none"/>
          <w:effect w:val="none"/>
          <w:shd w:fill="auto" w:val="clear"/>
        </w:rPr>
        <w:t>, has:</w:t>
      </w:r>
    </w:p>
    <w:p>
      <w:pPr>
        <w:pStyle w:val="BodyText"/>
        <w:numPr>
          <w:ilvl w:val="0"/>
          <w:numId w:val="14"/>
        </w:numPr>
        <w:tabs>
          <w:tab w:val="clear" w:pos="720"/>
          <w:tab w:val="left" w:pos="0" w:leader="none"/>
        </w:tabs>
        <w:bidi w:val="0"/>
        <w:spacing w:lineRule="auto" w:line="331" w:before="24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Mean of approximately 106.79 g/km.</w:t>
      </w:r>
    </w:p>
    <w:p>
      <w:pPr>
        <w:pStyle w:val="BodyText"/>
        <w:numPr>
          <w:ilvl w:val="0"/>
          <w:numId w:val="14"/>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Median of approximately 123 g/km.</w:t>
      </w:r>
    </w:p>
    <w:p>
      <w:pPr>
        <w:pStyle w:val="BodyText"/>
        <w:numPr>
          <w:ilvl w:val="0"/>
          <w:numId w:val="14"/>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Values ranging from 0 to approximately 543 g/km.</w:t>
      </w:r>
    </w:p>
    <w:p>
      <w:pPr>
        <w:pStyle w:val="BodyText"/>
        <w:numPr>
          <w:ilvl w:val="0"/>
          <w:numId w:val="14"/>
        </w:numPr>
        <w:tabs>
          <w:tab w:val="clear" w:pos="720"/>
          <w:tab w:val="left" w:pos="0" w:leader="none"/>
        </w:tabs>
        <w:bidi w:val="0"/>
        <w:spacing w:lineRule="auto" w:line="331" w:before="0" w:after="24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A distribution containing a pronounced low-emission or zero-emission group and a higher-emission combustion group.</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The zero values are consistent with the treatment of electric and hydrogen vehicles in the dataset. This creates a bimodal or zero-inflated target distribution rather than a simple symmetric distribution.</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486400" cy="3620770"/>
            <wp:effectExtent l="0" t="0" r="0" b="0"/>
            <wp:wrapSquare wrapText="largest"/>
            <wp:docPr id="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3"/>
                    <pic:cNvPicPr>
                      <a:picLocks noChangeAspect="1" noChangeArrowheads="1"/>
                    </pic:cNvPicPr>
                  </pic:nvPicPr>
                  <pic:blipFill>
                    <a:blip r:embed="rId6"/>
                    <a:stretch>
                      <a:fillRect/>
                    </a:stretch>
                  </pic:blipFill>
                  <pic:spPr bwMode="auto">
                    <a:xfrm>
                      <a:off x="0" y="0"/>
                      <a:ext cx="5486400" cy="3620770"/>
                    </a:xfrm>
                    <a:prstGeom prst="rect">
                      <a:avLst/>
                    </a:prstGeom>
                    <a:noFill/>
                  </pic:spPr>
                </pic:pic>
              </a:graphicData>
            </a:graphic>
          </wp:anchor>
        </w:drawing>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Fuel-type relationships</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The presentation identifies substantial differences between fuel categories:</w:t>
      </w:r>
    </w:p>
    <w:p>
      <w:pPr>
        <w:pStyle w:val="BodyText"/>
        <w:numPr>
          <w:ilvl w:val="0"/>
          <w:numId w:val="15"/>
        </w:numPr>
        <w:tabs>
          <w:tab w:val="clear" w:pos="720"/>
          <w:tab w:val="left" w:pos="0" w:leader="none"/>
        </w:tabs>
        <w:bidi w:val="0"/>
        <w:spacing w:lineRule="auto" w:line="331" w:before="24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All-electric and hydrogen vehicles have an average tailpipe value close to 0 g/km.</w:t>
      </w:r>
    </w:p>
    <w:p>
      <w:pPr>
        <w:pStyle w:val="BodyText"/>
        <w:numPr>
          <w:ilvl w:val="0"/>
          <w:numId w:val="15"/>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Diesel/electric plug-in hybrids have a reported average of approximately 14.78 g/km.</w:t>
      </w:r>
    </w:p>
    <w:p>
      <w:pPr>
        <w:pStyle w:val="BodyText"/>
        <w:numPr>
          <w:ilvl w:val="0"/>
          <w:numId w:val="15"/>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Petrol/electric vehicles have a reported average of approximately 27.51 g/km.</w:t>
      </w:r>
    </w:p>
    <w:p>
      <w:pPr>
        <w:pStyle w:val="BodyText"/>
        <w:numPr>
          <w:ilvl w:val="0"/>
          <w:numId w:val="15"/>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Petrol vehicles have a reported average of approximately 130.74 g/km.</w:t>
      </w:r>
    </w:p>
    <w:p>
      <w:pPr>
        <w:pStyle w:val="BodyText"/>
        <w:numPr>
          <w:ilvl w:val="0"/>
          <w:numId w:val="15"/>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Diesel vehicles have a reported average of approximately 149.83 g/km.</w:t>
      </w:r>
    </w:p>
    <w:p>
      <w:pPr>
        <w:pStyle w:val="BodyText"/>
        <w:numPr>
          <w:ilvl w:val="0"/>
          <w:numId w:val="15"/>
        </w:numPr>
        <w:tabs>
          <w:tab w:val="clear" w:pos="720"/>
          <w:tab w:val="left" w:pos="0" w:leader="none"/>
        </w:tabs>
        <w:bidi w:val="0"/>
        <w:spacing w:lineRule="auto" w:line="331" w:before="0" w:after="24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Unknown fuel entries have a reported average of approximately 214 g/km, although they represent a very small part of the dataset.</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These differences indicate that fuel type is likely to be one of the most influential categorical predictors.</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drawing>
          <wp:anchor distT="0" distB="0" distL="0" distR="0" simplePos="0" relativeHeight="14" behindDoc="0" locked="0" layoutInCell="0" allowOverlap="1">
            <wp:simplePos x="0" y="0"/>
            <wp:positionH relativeFrom="column">
              <wp:posOffset>-410210</wp:posOffset>
            </wp:positionH>
            <wp:positionV relativeFrom="paragraph">
              <wp:posOffset>3416300</wp:posOffset>
            </wp:positionV>
            <wp:extent cx="5869305" cy="3274695"/>
            <wp:effectExtent l="0" t="0" r="0" b="0"/>
            <wp:wrapTopAndBottom/>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7"/>
                    <a:stretch>
                      <a:fillRect/>
                    </a:stretch>
                  </pic:blipFill>
                  <pic:spPr bwMode="auto">
                    <a:xfrm>
                      <a:off x="0" y="0"/>
                      <a:ext cx="5869305" cy="3274695"/>
                    </a:xfrm>
                    <a:prstGeom prst="rect">
                      <a:avLst/>
                    </a:prstGeom>
                    <a:noFill/>
                  </pic:spPr>
                </pic:pic>
              </a:graphicData>
            </a:graphic>
          </wp:anchor>
        </w:drawing>
        <w:drawing>
          <wp:anchor distT="0" distB="0" distL="0" distR="0" simplePos="0" relativeHeight="16" behindDoc="0" locked="0" layoutInCell="0" allowOverlap="1">
            <wp:simplePos x="0" y="0"/>
            <wp:positionH relativeFrom="column">
              <wp:posOffset>-342900</wp:posOffset>
            </wp:positionH>
            <wp:positionV relativeFrom="paragraph">
              <wp:posOffset>-161290</wp:posOffset>
            </wp:positionV>
            <wp:extent cx="5486400" cy="3446780"/>
            <wp:effectExtent l="0" t="0" r="0" b="0"/>
            <wp:wrapSquare wrapText="bothSides"/>
            <wp:docPr id="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pic:cNvPicPr>
                      <a:picLocks noChangeAspect="1" noChangeArrowheads="1"/>
                    </pic:cNvPicPr>
                  </pic:nvPicPr>
                  <pic:blipFill>
                    <a:blip r:embed="rId8"/>
                    <a:stretch>
                      <a:fillRect/>
                    </a:stretch>
                  </pic:blipFill>
                  <pic:spPr bwMode="auto">
                    <a:xfrm>
                      <a:off x="0" y="0"/>
                      <a:ext cx="5486400" cy="3446780"/>
                    </a:xfrm>
                    <a:prstGeom prst="rect">
                      <a:avLst/>
                    </a:prstGeom>
                    <a:noFill/>
                  </pic:spPr>
                </pic:pic>
              </a:graphicData>
            </a:graphic>
          </wp:anchor>
        </w:drawing>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Numerical distributions and outliers</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The numerical variables have different distribution shapes:</w:t>
      </w:r>
    </w:p>
    <w:p>
      <w:pPr>
        <w:pStyle w:val="BodyText"/>
        <w:numPr>
          <w:ilvl w:val="0"/>
          <w:numId w:val="16"/>
        </w:numPr>
        <w:tabs>
          <w:tab w:val="clear" w:pos="720"/>
          <w:tab w:val="left" w:pos="0" w:leader="none"/>
        </w:tabs>
        <w:bidi w:val="0"/>
        <w:spacing w:lineRule="auto" w:line="331" w:before="240" w:after="0"/>
        <w:ind w:hanging="283" w:start="709" w:end="0"/>
        <w:jc w:val="both"/>
        <w:rPr>
          <w:rFonts w:ascii="Arial" w:hAnsi="Arial" w:cs="Arial"/>
          <w:b w:val="false"/>
          <w:i w:val="false"/>
          <w:caps w:val="false"/>
          <w:smallCaps w:val="false"/>
          <w:strike w:val="false"/>
          <w:dstrike w:val="false"/>
          <w:color w:val="000000"/>
          <w:sz w:val="20"/>
          <w:szCs w:val="20"/>
          <w:u w:val="none"/>
          <w:effect w:val="none"/>
        </w:rPr>
      </w:pPr>
      <w:r>
        <w:rPr>
          <w:rFonts w:cs="Arial" w:ascii="Arial" w:hAnsi="Arial"/>
          <w:b w:val="false"/>
          <w:i w:val="false"/>
          <w:caps w:val="false"/>
          <w:smallCaps w:val="false"/>
          <w:strike w:val="false"/>
          <w:dstrike w:val="false"/>
          <w:color w:val="188038"/>
          <w:sz w:val="20"/>
          <w:szCs w:val="20"/>
          <w:u w:val="none"/>
          <w:effect w:val="none"/>
          <w:shd w:fill="auto" w:val="clear"/>
        </w:rPr>
        <w:t>ep</w:t>
      </w:r>
      <w:r>
        <w:rPr>
          <w:rFonts w:cs="Arial" w:ascii="Arial" w:hAnsi="Arial"/>
          <w:b w:val="false"/>
          <w:i w:val="false"/>
          <w:caps w:val="false"/>
          <w:smallCaps w:val="false"/>
          <w:strike w:val="false"/>
          <w:dstrike w:val="false"/>
          <w:color w:val="000000"/>
          <w:sz w:val="20"/>
          <w:szCs w:val="20"/>
          <w:u w:val="none"/>
          <w:effect w:val="none"/>
          <w:shd w:fill="auto" w:val="clear"/>
        </w:rPr>
        <w:t xml:space="preserve"> is strongly right-skewed, with skewness of approximately 2.24.</w:t>
      </w:r>
    </w:p>
    <w:p>
      <w:pPr>
        <w:pStyle w:val="BodyText"/>
        <w:numPr>
          <w:ilvl w:val="0"/>
          <w:numId w:val="16"/>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rPr>
      </w:pPr>
      <w:r>
        <w:rPr>
          <w:rFonts w:cs="Arial" w:ascii="Arial" w:hAnsi="Arial"/>
          <w:b w:val="false"/>
          <w:i w:val="false"/>
          <w:caps w:val="false"/>
          <w:smallCaps w:val="false"/>
          <w:strike w:val="false"/>
          <w:dstrike w:val="false"/>
          <w:color w:val="188038"/>
          <w:sz w:val="20"/>
          <w:szCs w:val="20"/>
          <w:u w:val="none"/>
          <w:effect w:val="none"/>
          <w:shd w:fill="auto" w:val="clear"/>
        </w:rPr>
        <w:t>ec</w:t>
      </w:r>
      <w:r>
        <w:rPr>
          <w:rFonts w:cs="Arial" w:ascii="Arial" w:hAnsi="Arial"/>
          <w:b w:val="false"/>
          <w:i w:val="false"/>
          <w:caps w:val="false"/>
          <w:smallCaps w:val="false"/>
          <w:strike w:val="false"/>
          <w:dstrike w:val="false"/>
          <w:color w:val="000000"/>
          <w:sz w:val="20"/>
          <w:szCs w:val="20"/>
          <w:u w:val="none"/>
          <w:effect w:val="none"/>
          <w:shd w:fill="auto" w:val="clear"/>
        </w:rPr>
        <w:t xml:space="preserve"> is right-skewed, with skewness of approximately 1.45.</w:t>
      </w:r>
    </w:p>
    <w:p>
      <w:pPr>
        <w:pStyle w:val="BodyText"/>
        <w:numPr>
          <w:ilvl w:val="0"/>
          <w:numId w:val="16"/>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Electric range has a skewness of approximately 1.41.</w:t>
      </w:r>
    </w:p>
    <w:p>
      <w:pPr>
        <w:pStyle w:val="BodyText"/>
        <w:numPr>
          <w:ilvl w:val="0"/>
          <w:numId w:val="16"/>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rPr>
      </w:pPr>
      <w:r>
        <w:rPr>
          <w:rFonts w:cs="Arial" w:ascii="Arial" w:hAnsi="Arial"/>
          <w:b w:val="false"/>
          <w:i w:val="false"/>
          <w:caps w:val="false"/>
          <w:smallCaps w:val="false"/>
          <w:strike w:val="false"/>
          <w:dstrike w:val="false"/>
          <w:color w:val="188038"/>
          <w:sz w:val="20"/>
          <w:szCs w:val="20"/>
          <w:u w:val="none"/>
          <w:effect w:val="none"/>
          <w:shd w:fill="auto" w:val="clear"/>
        </w:rPr>
        <w:t>z</w:t>
      </w:r>
      <w:r>
        <w:rPr>
          <w:rFonts w:cs="Arial" w:ascii="Arial" w:hAnsi="Arial"/>
          <w:b w:val="false"/>
          <w:i w:val="false"/>
          <w:caps w:val="false"/>
          <w:smallCaps w:val="false"/>
          <w:strike w:val="false"/>
          <w:dstrike w:val="false"/>
          <w:color w:val="000000"/>
          <w:sz w:val="20"/>
          <w:szCs w:val="20"/>
          <w:u w:val="none"/>
          <w:effect w:val="none"/>
          <w:shd w:fill="auto" w:val="clear"/>
        </w:rPr>
        <w:t xml:space="preserve"> has skewness of approximately 1.08.</w:t>
      </w:r>
    </w:p>
    <w:p>
      <w:pPr>
        <w:pStyle w:val="BodyText"/>
        <w:numPr>
          <w:ilvl w:val="0"/>
          <w:numId w:val="16"/>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rPr>
      </w:pPr>
      <w:r>
        <w:rPr>
          <w:rFonts w:cs="Arial" w:ascii="Arial" w:hAnsi="Arial"/>
          <w:b w:val="false"/>
          <w:i w:val="false"/>
          <w:caps w:val="false"/>
          <w:smallCaps w:val="false"/>
          <w:strike w:val="false"/>
          <w:dstrike w:val="false"/>
          <w:color w:val="188038"/>
          <w:sz w:val="20"/>
          <w:szCs w:val="20"/>
          <w:u w:val="none"/>
          <w:effect w:val="none"/>
          <w:shd w:fill="auto" w:val="clear"/>
        </w:rPr>
        <w:t>m</w:t>
      </w:r>
      <w:r>
        <w:rPr>
          <w:rFonts w:cs="Arial" w:ascii="Arial" w:hAnsi="Arial"/>
          <w:b w:val="false"/>
          <w:i w:val="false"/>
          <w:caps w:val="false"/>
          <w:smallCaps w:val="false"/>
          <w:strike w:val="false"/>
          <w:dstrike w:val="false"/>
          <w:color w:val="000000"/>
          <w:sz w:val="20"/>
          <w:szCs w:val="20"/>
          <w:u w:val="none"/>
          <w:effect w:val="none"/>
          <w:shd w:fill="auto" w:val="clear"/>
        </w:rPr>
        <w:t xml:space="preserve"> has moderate right skewness, approximately 0.85.</w:t>
      </w:r>
    </w:p>
    <w:p>
      <w:pPr>
        <w:pStyle w:val="BodyText"/>
        <w:numPr>
          <w:ilvl w:val="0"/>
          <w:numId w:val="16"/>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rPr>
      </w:pPr>
      <w:r>
        <w:rPr>
          <w:rFonts w:cs="Arial" w:ascii="Arial" w:hAnsi="Arial"/>
          <w:b w:val="false"/>
          <w:i w:val="false"/>
          <w:caps w:val="false"/>
          <w:smallCaps w:val="false"/>
          <w:strike w:val="false"/>
          <w:dstrike w:val="false"/>
          <w:color w:val="188038"/>
          <w:sz w:val="20"/>
          <w:szCs w:val="20"/>
          <w:u w:val="none"/>
          <w:effect w:val="none"/>
          <w:shd w:fill="auto" w:val="clear"/>
        </w:rPr>
        <w:t>Ewltp</w:t>
      </w:r>
      <w:r>
        <w:rPr>
          <w:rFonts w:cs="Arial" w:ascii="Arial" w:hAnsi="Arial"/>
          <w:b w:val="false"/>
          <w:i w:val="false"/>
          <w:caps w:val="false"/>
          <w:smallCaps w:val="false"/>
          <w:strike w:val="false"/>
          <w:dstrike w:val="false"/>
          <w:color w:val="000000"/>
          <w:sz w:val="20"/>
          <w:szCs w:val="20"/>
          <w:u w:val="none"/>
          <w:effect w:val="none"/>
          <w:shd w:fill="auto" w:val="clear"/>
        </w:rPr>
        <w:t xml:space="preserve"> is comparatively close to symmetric at approximately -0.34, although its zero-emission group creates a meaningful mixture structure.</w:t>
      </w:r>
    </w:p>
    <w:p>
      <w:pPr>
        <w:pStyle w:val="BodyText"/>
        <w:numPr>
          <w:ilvl w:val="0"/>
          <w:numId w:val="16"/>
        </w:numPr>
        <w:tabs>
          <w:tab w:val="clear" w:pos="720"/>
          <w:tab w:val="left" w:pos="0" w:leader="none"/>
        </w:tabs>
        <w:bidi w:val="0"/>
        <w:spacing w:lineRule="auto" w:line="331" w:before="0" w:after="24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Fuel consumption is also comparatively well behaved after appropriate filtering.</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For vehicle mass, the mean is approximately 1,558.77 kg, the median is approximately 1,483 kg, and the range is approximately 513–4,800 kg. An IQR-based rule identifies many statistical outliers, but only a small number of records fall outside more conservative physical boundaries. This distinction is important: a statistical outlier is not automatically an erroneous vehicle.</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For engine power, the mean is approximately 116.18 kW, while the maximum is approximately 1,352 kW. Very low or extremely high values require domain-specific validation rather than automatic deletion.</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drawing>
          <wp:anchor distT="0" distB="0" distL="0" distR="0" simplePos="0" relativeHeight="13" behindDoc="0" locked="0" layoutInCell="0" allowOverlap="1">
            <wp:simplePos x="0" y="0"/>
            <wp:positionH relativeFrom="column">
              <wp:posOffset>-172085</wp:posOffset>
            </wp:positionH>
            <wp:positionV relativeFrom="paragraph">
              <wp:posOffset>-123190</wp:posOffset>
            </wp:positionV>
            <wp:extent cx="5861050" cy="3626485"/>
            <wp:effectExtent l="0" t="0" r="0" b="0"/>
            <wp:wrapTopAndBottom/>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9"/>
                    <a:stretch>
                      <a:fillRect/>
                    </a:stretch>
                  </pic:blipFill>
                  <pic:spPr bwMode="auto">
                    <a:xfrm>
                      <a:off x="0" y="0"/>
                      <a:ext cx="5861050" cy="3626485"/>
                    </a:xfrm>
                    <a:prstGeom prst="rect">
                      <a:avLst/>
                    </a:prstGeom>
                    <a:noFill/>
                  </pic:spPr>
                </pic:pic>
              </a:graphicData>
            </a:graphic>
          </wp:anchor>
        </w:drawing>
      </w:r>
    </w:p>
    <w:p>
      <w:pPr>
        <w:pStyle w:val="Heading3"/>
        <w:bidi w:val="0"/>
        <w:spacing w:lineRule="auto" w:line="331" w:before="280" w:after="80"/>
        <w:ind w:hanging="0" w:start="0" w:end="0"/>
        <w:jc w:val="both"/>
        <w:rPr>
          <w:rFonts w:ascii="Arial;sans-serif" w:hAnsi="Arial;sans-serif" w:eastAsia="MS Mincho" w:cs="Arial"/>
          <w:b/>
          <w:i w:val="false"/>
          <w:caps w:val="false"/>
          <w:smallCaps w:val="false"/>
          <w:strike w:val="false"/>
          <w:dstrike w:val="false"/>
          <w:color w:val="000000"/>
          <w:sz w:val="26"/>
          <w:szCs w:val="20"/>
          <w:u w:val="none"/>
          <w:effect w:val="none"/>
          <w:shd w:fill="auto" w:val="clear"/>
        </w:rPr>
      </w:pPr>
      <w:r>
        <w:rPr>
          <w:rFonts w:eastAsia="MS Mincho" w:cs="Arial" w:ascii="Arial;sans-serif" w:hAnsi="Arial;sans-serif"/>
          <w:b/>
          <w:i w:val="false"/>
          <w:caps w:val="false"/>
          <w:smallCaps w:val="false"/>
          <w:strike w:val="false"/>
          <w:dstrike w:val="false"/>
          <w:color w:val="000000"/>
          <w:sz w:val="26"/>
          <w:szCs w:val="20"/>
          <w:u w:val="none"/>
          <w:effect w:val="none"/>
          <w:shd w:fill="auto" w:val="clear"/>
        </w:rPr>
        <w:t>Statistical analysis</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The project used or prepared the following statistical methods:</w:t>
      </w:r>
    </w:p>
    <w:p>
      <w:pPr>
        <w:pStyle w:val="BodyText"/>
        <w:numPr>
          <w:ilvl w:val="0"/>
          <w:numId w:val="17"/>
        </w:numPr>
        <w:tabs>
          <w:tab w:val="clear" w:pos="720"/>
          <w:tab w:val="left" w:pos="0" w:leader="none"/>
        </w:tabs>
        <w:bidi w:val="0"/>
        <w:spacing w:lineRule="auto" w:line="331" w:before="24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Descriptive statistics, including count, mean, median, standard deviation, minimum, maximum, and quartiles.</w:t>
      </w:r>
    </w:p>
    <w:p>
      <w:pPr>
        <w:pStyle w:val="BodyText"/>
        <w:numPr>
          <w:ilvl w:val="0"/>
          <w:numId w:val="17"/>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Missing-value percentage analysis.</w:t>
      </w:r>
    </w:p>
    <w:p>
      <w:pPr>
        <w:pStyle w:val="BodyText"/>
        <w:numPr>
          <w:ilvl w:val="0"/>
          <w:numId w:val="17"/>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Frequency and cardinality analysis for categorical variables.</w:t>
      </w:r>
    </w:p>
    <w:p>
      <w:pPr>
        <w:pStyle w:val="BodyText"/>
        <w:numPr>
          <w:ilvl w:val="0"/>
          <w:numId w:val="17"/>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Skewness calculations for numerical columns.</w:t>
      </w:r>
    </w:p>
    <w:p>
      <w:pPr>
        <w:pStyle w:val="BodyText"/>
        <w:numPr>
          <w:ilvl w:val="0"/>
          <w:numId w:val="17"/>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IQR-based outlier detection.</w:t>
      </w:r>
    </w:p>
    <w:p>
      <w:pPr>
        <w:pStyle w:val="BodyText"/>
        <w:numPr>
          <w:ilvl w:val="0"/>
          <w:numId w:val="17"/>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Grouped mean comparisons by fuel type and manufacturer.</w:t>
      </w:r>
    </w:p>
    <w:p>
      <w:pPr>
        <w:pStyle w:val="BodyText"/>
        <w:numPr>
          <w:ilvl w:val="0"/>
          <w:numId w:val="17"/>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Correlation analysis between numerical predictors and emissions.</w:t>
      </w:r>
    </w:p>
    <w:p>
      <w:pPr>
        <w:pStyle w:val="BodyText"/>
        <w:numPr>
          <w:ilvl w:val="0"/>
          <w:numId w:val="17"/>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Distribution plots and histograms.</w:t>
      </w:r>
    </w:p>
    <w:p>
      <w:pPr>
        <w:pStyle w:val="BodyText"/>
        <w:numPr>
          <w:ilvl w:val="0"/>
          <w:numId w:val="17"/>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Scatter plots for relationships such as fuel consumption and emissions.</w:t>
      </w:r>
    </w:p>
    <w:p>
      <w:pPr>
        <w:pStyle w:val="BodyText"/>
        <w:numPr>
          <w:ilvl w:val="0"/>
          <w:numId w:val="17"/>
        </w:numPr>
        <w:tabs>
          <w:tab w:val="clear" w:pos="720"/>
          <w:tab w:val="left" w:pos="0" w:leader="none"/>
        </w:tabs>
        <w:bidi w:val="0"/>
        <w:spacing w:lineRule="auto" w:line="331" w:before="0" w:after="24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Comparative analysis between ADEME and EEA datasets.</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The relationship between fuel consumption and WLTP emissions was found to be almost deterministic. This statistical and visual evidence supported the decision to remove fuel consumption from the model as a target-leaking feature.</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For the modeling phase, the statistical analysis should be complemented by:</w:t>
      </w:r>
    </w:p>
    <w:p>
      <w:pPr>
        <w:pStyle w:val="BodyText"/>
        <w:numPr>
          <w:ilvl w:val="0"/>
          <w:numId w:val="18"/>
        </w:numPr>
        <w:tabs>
          <w:tab w:val="clear" w:pos="720"/>
          <w:tab w:val="left" w:pos="0" w:leader="none"/>
        </w:tabs>
        <w:bidi w:val="0"/>
        <w:spacing w:lineRule="auto" w:line="331" w:before="24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Pearson or Spearman correlation tests for numerical associations.</w:t>
      </w:r>
    </w:p>
    <w:p>
      <w:pPr>
        <w:pStyle w:val="BodyText"/>
        <w:numPr>
          <w:ilvl w:val="0"/>
          <w:numId w:val="18"/>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Group comparison tests across fuel categories.</w:t>
      </w:r>
    </w:p>
    <w:p>
      <w:pPr>
        <w:pStyle w:val="BodyText"/>
        <w:numPr>
          <w:ilvl w:val="0"/>
          <w:numId w:val="18"/>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Confidence intervals for grouped emission means.</w:t>
      </w:r>
    </w:p>
    <w:p>
      <w:pPr>
        <w:pStyle w:val="BodyText"/>
        <w:numPr>
          <w:ilvl w:val="0"/>
          <w:numId w:val="18"/>
        </w:numPr>
        <w:tabs>
          <w:tab w:val="clear" w:pos="720"/>
          <w:tab w:val="left" w:pos="0" w:leader="none"/>
        </w:tabs>
        <w:bidi w:val="0"/>
        <w:spacing w:lineRule="auto" w:line="331" w:before="0" w:after="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Residual analysis after model training.</w:t>
      </w:r>
    </w:p>
    <w:p>
      <w:pPr>
        <w:pStyle w:val="BodyText"/>
        <w:numPr>
          <w:ilvl w:val="0"/>
          <w:numId w:val="18"/>
        </w:numPr>
        <w:tabs>
          <w:tab w:val="clear" w:pos="720"/>
          <w:tab w:val="left" w:pos="0" w:leader="none"/>
        </w:tabs>
        <w:bidi w:val="0"/>
        <w:spacing w:lineRule="auto" w:line="331" w:before="0" w:after="240"/>
        <w:ind w:hanging="283" w:start="709"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Cross-validation and error analysis by fuel type, manufacturer, and vehicle category.</w:t>
      </w:r>
    </w:p>
    <w:p>
      <w:pPr>
        <w:pStyle w:val="HorizontalLine"/>
        <w:spacing w:before="0" w:after="200"/>
        <w:jc w:val="both"/>
        <w:rPr>
          <w:rFonts w:ascii="Arial" w:hAnsi="Arial" w:cs="Arial"/>
          <w:b/>
          <w:sz w:val="20"/>
          <w:szCs w:val="20"/>
        </w:rPr>
      </w:pPr>
      <w:r>
        <w:rPr>
          <w:rFonts w:cs="Arial" w:ascii="Arial" w:hAnsi="Arial"/>
          <w:b/>
          <w:sz w:val="20"/>
          <w:szCs w:val="20"/>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t>6. Conclusions Made For The Modeling Phase</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The exploratory and preprocessing work supports the following modeling decisions:</w:t>
      </w:r>
    </w:p>
    <w:p>
      <w:pPr>
        <w:pStyle w:val="BodyText"/>
        <w:widowControl/>
        <w:numPr>
          <w:ilvl w:val="0"/>
          <w:numId w:val="31"/>
        </w:numPr>
        <w:suppressAutoHyphens w:val="true"/>
        <w:bidi w:val="0"/>
        <w:spacing w:lineRule="auto" w:line="331" w:before="240" w:after="240"/>
        <w:jc w:val="start"/>
        <w:rPr/>
      </w:pPr>
      <w:r>
        <w:rPr>
          <w:rFonts w:eastAsia="MS Mincho" w:cs="Arial" w:ascii="Arial" w:hAnsi="Arial"/>
          <w:b/>
          <w:bCs/>
          <w:i w:val="false"/>
          <w:caps w:val="false"/>
          <w:smallCaps w:val="false"/>
          <w:strike w:val="false"/>
          <w:dstrike w:val="false"/>
          <w:color w:val="000000"/>
          <w:kern w:val="0"/>
          <w:sz w:val="20"/>
          <w:szCs w:val="20"/>
          <w:u w:val="none"/>
          <w:effect w:val="none"/>
          <w:shd w:fill="auto" w:val="clear"/>
          <w:lang w:val="en-US" w:eastAsia="en-US" w:bidi="ar-SA"/>
        </w:rPr>
        <w:t>Use physical vehicle characteristics as the principal predictors.</w:t>
      </w:r>
      <w:r>
        <w:rPr>
          <w:rFonts w:eastAsia="MS Mincho" w:cs="Arial" w:ascii="Arial" w:hAnsi="Arial"/>
          <w:b w:val="false"/>
          <w:i w:val="false"/>
          <w:caps w:val="false"/>
          <w:smallCaps w:val="false"/>
          <w:strike w:val="false"/>
          <w:dstrike w:val="false"/>
          <w:color w:val="000000"/>
          <w:kern w:val="0"/>
          <w:sz w:val="20"/>
          <w:szCs w:val="20"/>
          <w:u w:val="none"/>
          <w:effect w:val="none"/>
          <w:shd w:fill="auto" w:val="clear"/>
          <w:lang w:val="en-US" w:eastAsia="en-US" w:bidi="ar-SA"/>
        </w:rPr>
        <w:br/>
        <w:t>Mass, engine displacement, power, fuel type, fuel mode, electric range, and energy consumption contain meaningful information about emissions.</w:t>
      </w:r>
    </w:p>
    <w:p>
      <w:pPr>
        <w:pStyle w:val="BodyText"/>
        <w:widowControl/>
        <w:numPr>
          <w:ilvl w:val="0"/>
          <w:numId w:val="31"/>
        </w:numPr>
        <w:suppressAutoHyphens w:val="true"/>
        <w:bidi w:val="0"/>
        <w:spacing w:lineRule="auto" w:line="331" w:before="240" w:after="240"/>
        <w:jc w:val="start"/>
        <w:rPr>
          <w:rFonts w:ascii="Arial" w:hAnsi="Arial" w:eastAsia="MS Mincho" w:cs="Arial"/>
          <w:b/>
          <w:color w:val="000000"/>
          <w:kern w:val="0"/>
          <w:sz w:val="20"/>
          <w:szCs w:val="20"/>
          <w:lang w:val="en-US" w:eastAsia="en-US" w:bidi="ar-SA"/>
        </w:rPr>
      </w:pPr>
      <w:r>
        <w:rPr>
          <w:rFonts w:eastAsia="MS Mincho" w:cs="Arial" w:ascii="Arial" w:hAnsi="Arial"/>
          <w:b/>
          <w:bCs/>
          <w:color w:val="000000"/>
          <w:kern w:val="0"/>
          <w:sz w:val="20"/>
          <w:szCs w:val="20"/>
          <w:lang w:val="en-US" w:eastAsia="en-US" w:bidi="ar-SA"/>
        </w:rPr>
        <w:t>Treat fuel type as a major predictor.</w:t>
      </w:r>
      <w:r>
        <w:rPr>
          <w:rFonts w:eastAsia="MS Mincho" w:cs="Arial" w:ascii="Arial" w:hAnsi="Arial"/>
          <w:color w:val="000000"/>
          <w:kern w:val="0"/>
          <w:sz w:val="20"/>
          <w:szCs w:val="20"/>
          <w:lang w:val="en-US" w:eastAsia="en-US" w:bidi="ar-SA"/>
        </w:rPr>
        <w:br/>
        <w:t>The target distribution differs substantially between combustion, hybrid, and electric powertrains.</w:t>
      </w:r>
    </w:p>
    <w:p>
      <w:pPr>
        <w:pStyle w:val="BodyText"/>
        <w:widowControl/>
        <w:numPr>
          <w:ilvl w:val="0"/>
          <w:numId w:val="31"/>
        </w:numPr>
        <w:suppressAutoHyphens w:val="true"/>
        <w:bidi w:val="0"/>
        <w:spacing w:lineRule="auto" w:line="331" w:before="240" w:after="240"/>
        <w:jc w:val="start"/>
        <w:rPr>
          <w:rFonts w:ascii="Arial" w:hAnsi="Arial" w:eastAsia="MS Mincho" w:cs="Arial"/>
          <w:b/>
          <w:color w:val="000000"/>
          <w:kern w:val="0"/>
          <w:sz w:val="20"/>
          <w:szCs w:val="20"/>
          <w:lang w:val="en-US" w:eastAsia="en-US" w:bidi="ar-SA"/>
        </w:rPr>
      </w:pPr>
      <w:r>
        <w:rPr>
          <w:rFonts w:eastAsia="MS Mincho" w:cs="Arial" w:ascii="Arial" w:hAnsi="Arial"/>
          <w:b/>
          <w:bCs/>
          <w:color w:val="000000"/>
          <w:kern w:val="0"/>
          <w:sz w:val="20"/>
          <w:szCs w:val="20"/>
          <w:lang w:val="en-US" w:eastAsia="en-US" w:bidi="ar-SA"/>
        </w:rPr>
        <w:t>Avoid regulatory identifiers as direct model features.</w:t>
      </w:r>
      <w:r>
        <w:rPr>
          <w:rFonts w:eastAsia="MS Mincho" w:cs="Arial" w:ascii="Arial" w:hAnsi="Arial"/>
          <w:color w:val="000000"/>
          <w:kern w:val="0"/>
          <w:sz w:val="20"/>
          <w:szCs w:val="20"/>
          <w:lang w:val="en-US" w:eastAsia="en-US" w:bidi="ar-SA"/>
        </w:rPr>
        <w:br/>
        <w:t>VFN, Tan, RLFI, T, Va, and Ve can have high cardinality, weak portability, and a high risk of memorization or target leakage.</w:t>
      </w:r>
    </w:p>
    <w:p>
      <w:pPr>
        <w:pStyle w:val="BodyText"/>
        <w:widowControl/>
        <w:numPr>
          <w:ilvl w:val="0"/>
          <w:numId w:val="31"/>
        </w:numPr>
        <w:suppressAutoHyphens w:val="true"/>
        <w:bidi w:val="0"/>
        <w:spacing w:lineRule="auto" w:line="331" w:before="240" w:after="240"/>
        <w:jc w:val="start"/>
        <w:rPr>
          <w:rFonts w:ascii="Arial" w:hAnsi="Arial" w:eastAsia="MS Mincho" w:cs="Arial"/>
          <w:b/>
          <w:color w:val="000000"/>
          <w:kern w:val="0"/>
          <w:sz w:val="20"/>
          <w:szCs w:val="20"/>
          <w:lang w:val="en-US" w:eastAsia="en-US" w:bidi="ar-SA"/>
        </w:rPr>
      </w:pPr>
      <w:r>
        <w:rPr>
          <w:rFonts w:eastAsia="MS Mincho" w:cs="Arial" w:ascii="Arial" w:hAnsi="Arial"/>
          <w:b/>
          <w:bCs/>
          <w:color w:val="000000"/>
          <w:kern w:val="0"/>
          <w:sz w:val="20"/>
          <w:szCs w:val="20"/>
          <w:lang w:val="en-US" w:eastAsia="en-US" w:bidi="ar-SA"/>
        </w:rPr>
        <w:t>Prefer curb mass over test mass for future prediction.</w:t>
      </w:r>
      <w:r>
        <w:rPr>
          <w:rFonts w:eastAsia="MS Mincho" w:cs="Arial" w:ascii="Arial" w:hAnsi="Arial"/>
          <w:color w:val="000000"/>
          <w:kern w:val="0"/>
          <w:sz w:val="20"/>
          <w:szCs w:val="20"/>
          <w:lang w:val="en-US" w:eastAsia="en-US" w:bidi="ar-SA"/>
        </w:rPr>
        <w:br/>
        <w:t>Curb mass is more likely to be available before official testing, while test mass is closely tied to the laboratory procedure.</w:t>
      </w:r>
    </w:p>
    <w:p>
      <w:pPr>
        <w:pStyle w:val="BodyText"/>
        <w:widowControl/>
        <w:numPr>
          <w:ilvl w:val="0"/>
          <w:numId w:val="31"/>
        </w:numPr>
        <w:suppressAutoHyphens w:val="true"/>
        <w:bidi w:val="0"/>
        <w:spacing w:lineRule="auto" w:line="331" w:before="240" w:after="240"/>
        <w:jc w:val="start"/>
        <w:rPr>
          <w:rFonts w:ascii="Arial" w:hAnsi="Arial" w:eastAsia="MS Mincho" w:cs="Arial"/>
          <w:b/>
          <w:color w:val="000000"/>
          <w:kern w:val="0"/>
          <w:sz w:val="20"/>
          <w:szCs w:val="20"/>
          <w:lang w:val="en-US" w:eastAsia="en-US" w:bidi="ar-SA"/>
        </w:rPr>
      </w:pPr>
      <w:r>
        <w:rPr>
          <w:rFonts w:eastAsia="MS Mincho" w:cs="Arial" w:ascii="Arial" w:hAnsi="Arial"/>
          <w:b/>
          <w:bCs/>
          <w:color w:val="000000"/>
          <w:kern w:val="0"/>
          <w:sz w:val="20"/>
          <w:szCs w:val="20"/>
          <w:lang w:val="en-US" w:eastAsia="en-US" w:bidi="ar-SA"/>
        </w:rPr>
        <w:t>Exclude fuel consumption from the main predictive feature set.</w:t>
      </w:r>
      <w:r>
        <w:rPr>
          <w:rFonts w:eastAsia="MS Mincho" w:cs="Arial" w:ascii="Arial" w:hAnsi="Arial"/>
          <w:color w:val="000000"/>
          <w:kern w:val="0"/>
          <w:sz w:val="20"/>
          <w:szCs w:val="20"/>
          <w:lang w:val="en-US" w:eastAsia="en-US" w:bidi="ar-SA"/>
        </w:rPr>
        <w:br/>
        <w:t>Although it is highly predictive, it provides an almost direct physical proxy for the target and would undermine the intended prediction task.</w:t>
      </w:r>
    </w:p>
    <w:p>
      <w:pPr>
        <w:pStyle w:val="BodyText"/>
        <w:widowControl/>
        <w:numPr>
          <w:ilvl w:val="0"/>
          <w:numId w:val="31"/>
        </w:numPr>
        <w:suppressAutoHyphens w:val="true"/>
        <w:bidi w:val="0"/>
        <w:spacing w:lineRule="auto" w:line="331" w:before="240" w:after="240"/>
        <w:jc w:val="start"/>
        <w:rPr>
          <w:rFonts w:ascii="Arial" w:hAnsi="Arial" w:eastAsia="MS Mincho" w:cs="Arial"/>
          <w:b/>
          <w:color w:val="000000"/>
          <w:kern w:val="0"/>
          <w:sz w:val="20"/>
          <w:szCs w:val="20"/>
          <w:lang w:val="en-US" w:eastAsia="en-US" w:bidi="ar-SA"/>
        </w:rPr>
      </w:pPr>
      <w:r>
        <w:rPr>
          <w:rFonts w:eastAsia="MS Mincho" w:cs="Arial" w:ascii="Arial" w:hAnsi="Arial"/>
          <w:b/>
          <w:bCs/>
          <w:color w:val="000000"/>
          <w:kern w:val="0"/>
          <w:sz w:val="20"/>
          <w:szCs w:val="20"/>
          <w:lang w:val="en-US" w:eastAsia="en-US" w:bidi="ar-SA"/>
        </w:rPr>
        <w:t>Handle electric vehicles carefully.</w:t>
      </w:r>
      <w:r>
        <w:rPr>
          <w:rFonts w:eastAsia="MS Mincho" w:cs="Arial" w:ascii="Arial" w:hAnsi="Arial"/>
          <w:color w:val="000000"/>
          <w:kern w:val="0"/>
          <w:sz w:val="20"/>
          <w:szCs w:val="20"/>
          <w:lang w:val="en-US" w:eastAsia="en-US" w:bidi="ar-SA"/>
        </w:rPr>
        <w:br/>
        <w:t>Zero-emission vehicles create a distinct subpopulation. Separate modelling by powertrain or a two-stage modeling strategy may be appropriate.</w:t>
      </w:r>
    </w:p>
    <w:p>
      <w:pPr>
        <w:pStyle w:val="BodyText"/>
        <w:widowControl/>
        <w:numPr>
          <w:ilvl w:val="0"/>
          <w:numId w:val="31"/>
        </w:numPr>
        <w:suppressAutoHyphens w:val="true"/>
        <w:bidi w:val="0"/>
        <w:spacing w:lineRule="auto" w:line="331" w:before="240" w:after="240"/>
        <w:jc w:val="start"/>
        <w:rPr>
          <w:rFonts w:ascii="Arial" w:hAnsi="Arial" w:eastAsia="MS Mincho" w:cs="Arial"/>
          <w:b/>
          <w:color w:val="000000"/>
          <w:kern w:val="0"/>
          <w:sz w:val="20"/>
          <w:szCs w:val="20"/>
          <w:lang w:val="en-US" w:eastAsia="en-US" w:bidi="ar-SA"/>
        </w:rPr>
      </w:pPr>
      <w:r>
        <w:rPr>
          <w:rFonts w:eastAsia="MS Mincho" w:cs="Arial" w:ascii="Arial" w:hAnsi="Arial"/>
          <w:b/>
          <w:bCs/>
          <w:color w:val="000000"/>
          <w:kern w:val="0"/>
          <w:sz w:val="20"/>
          <w:szCs w:val="20"/>
          <w:lang w:val="en-US" w:eastAsia="en-US" w:bidi="ar-SA"/>
        </w:rPr>
        <w:t>Use a leakage-safe preprocessing pipeline.</w:t>
      </w:r>
      <w:r>
        <w:rPr>
          <w:rFonts w:eastAsia="MS Mincho" w:cs="Arial" w:ascii="Arial" w:hAnsi="Arial"/>
          <w:color w:val="000000"/>
          <w:kern w:val="0"/>
          <w:sz w:val="20"/>
          <w:szCs w:val="20"/>
          <w:lang w:val="en-US" w:eastAsia="en-US" w:bidi="ar-SA"/>
        </w:rPr>
        <w:br/>
        <w:t>Target encoding, standardization, imputation, and feature selection must be fitted only on training data.</w:t>
      </w:r>
    </w:p>
    <w:p>
      <w:pPr>
        <w:pStyle w:val="BodyText"/>
        <w:widowControl/>
        <w:numPr>
          <w:ilvl w:val="0"/>
          <w:numId w:val="31"/>
        </w:numPr>
        <w:suppressAutoHyphens w:val="true"/>
        <w:bidi w:val="0"/>
        <w:spacing w:lineRule="auto" w:line="331" w:before="240" w:after="240"/>
        <w:jc w:val="start"/>
        <w:rPr>
          <w:rFonts w:ascii="Arial" w:hAnsi="Arial" w:eastAsia="MS Mincho" w:cs="Arial"/>
          <w:b/>
          <w:color w:val="000000"/>
          <w:kern w:val="0"/>
          <w:sz w:val="20"/>
          <w:szCs w:val="20"/>
          <w:lang w:val="en-US" w:eastAsia="en-US" w:bidi="ar-SA"/>
        </w:rPr>
      </w:pPr>
      <w:r>
        <w:rPr>
          <w:rFonts w:eastAsia="MS Mincho" w:cs="Arial" w:ascii="Arial" w:hAnsi="Arial"/>
          <w:b/>
          <w:bCs/>
          <w:color w:val="000000"/>
          <w:kern w:val="0"/>
          <w:sz w:val="20"/>
          <w:szCs w:val="20"/>
          <w:lang w:val="en-US" w:eastAsia="en-US" w:bidi="ar-SA"/>
        </w:rPr>
        <w:t>Evaluate generalization, not only random-split accuracy.</w:t>
      </w:r>
      <w:r>
        <w:rPr>
          <w:rFonts w:eastAsia="MS Mincho" w:cs="Arial" w:ascii="Arial" w:hAnsi="Arial"/>
          <w:color w:val="000000"/>
          <w:kern w:val="0"/>
          <w:sz w:val="20"/>
          <w:szCs w:val="20"/>
          <w:lang w:val="en-US" w:eastAsia="en-US" w:bidi="ar-SA"/>
        </w:rPr>
        <w:br/>
        <w:t>Because vehicle models and manufacturers can repeat across the dataset, a random split may produce optimistic results. Grouped or time-based validation should be considered.</w:t>
      </w:r>
    </w:p>
    <w:p>
      <w:pPr>
        <w:pStyle w:val="BodyText"/>
        <w:widowControl/>
        <w:numPr>
          <w:ilvl w:val="0"/>
          <w:numId w:val="31"/>
        </w:numPr>
        <w:suppressAutoHyphens w:val="true"/>
        <w:bidi w:val="0"/>
        <w:spacing w:lineRule="auto" w:line="331" w:before="240" w:after="240"/>
        <w:jc w:val="start"/>
        <w:rPr>
          <w:rFonts w:ascii="Arial" w:hAnsi="Arial" w:eastAsia="MS Mincho" w:cs="Arial"/>
          <w:b/>
          <w:color w:val="000000"/>
          <w:kern w:val="0"/>
          <w:sz w:val="20"/>
          <w:szCs w:val="20"/>
          <w:lang w:val="en-US" w:eastAsia="en-US" w:bidi="ar-SA"/>
        </w:rPr>
      </w:pPr>
      <w:r>
        <w:rPr>
          <w:rFonts w:eastAsia="MS Mincho" w:cs="Arial" w:ascii="Arial" w:hAnsi="Arial"/>
          <w:b/>
          <w:bCs/>
          <w:color w:val="000000"/>
          <w:kern w:val="0"/>
          <w:sz w:val="20"/>
          <w:szCs w:val="20"/>
          <w:lang w:val="en-US" w:eastAsia="en-US" w:bidi="ar-SA"/>
        </w:rPr>
        <w:t>Report limitations alongside model performance.</w:t>
      </w:r>
      <w:r>
        <w:rPr>
          <w:rFonts w:eastAsia="MS Mincho" w:cs="Arial" w:ascii="Arial" w:hAnsi="Arial"/>
          <w:color w:val="000000"/>
          <w:kern w:val="0"/>
          <w:sz w:val="20"/>
          <w:szCs w:val="20"/>
          <w:lang w:val="en-US" w:eastAsia="en-US" w:bidi="ar-SA"/>
        </w:rPr>
        <w:br/>
        <w:t>Predictions will estimate official WLTP-type emissions from available technical specifications; they will not represent real-world driving emissions or life-cycle carbon impact.</w:t>
      </w:r>
    </w:p>
    <w:p>
      <w:pPr>
        <w:pStyle w:val="BodyText"/>
        <w:widowControl/>
        <w:numPr>
          <w:ilvl w:val="0"/>
          <w:numId w:val="31"/>
        </w:numPr>
        <w:suppressAutoHyphens w:val="true"/>
        <w:bidi w:val="0"/>
        <w:spacing w:lineRule="auto" w:line="331" w:before="240" w:after="240"/>
        <w:jc w:val="start"/>
        <w:rPr>
          <w:rFonts w:ascii="Arial" w:hAnsi="Arial" w:eastAsia="MS Mincho" w:cs="Arial"/>
          <w:b/>
          <w:color w:val="000000"/>
          <w:kern w:val="0"/>
          <w:sz w:val="20"/>
          <w:szCs w:val="20"/>
          <w:lang w:val="en-US" w:eastAsia="en-US" w:bidi="ar-SA"/>
        </w:rPr>
      </w:pPr>
      <w:r>
        <w:rPr>
          <w:rFonts w:eastAsia="MS Mincho" w:cs="Arial" w:ascii="Arial" w:hAnsi="Arial"/>
          <w:b/>
          <w:bCs/>
          <w:color w:val="000000"/>
          <w:kern w:val="0"/>
          <w:sz w:val="20"/>
          <w:szCs w:val="20"/>
          <w:lang w:val="en-US" w:eastAsia="en-US" w:bidi="ar-SA"/>
        </w:rPr>
        <w:t>Preserve reproducibility.</w:t>
      </w:r>
      <w:r>
        <w:rPr>
          <w:rFonts w:eastAsia="MS Mincho" w:cs="Arial" w:ascii="Arial" w:hAnsi="Arial"/>
          <w:color w:val="000000"/>
          <w:kern w:val="0"/>
          <w:sz w:val="20"/>
          <w:szCs w:val="20"/>
          <w:lang w:val="en-US" w:eastAsia="en-US" w:bidi="ar-SA"/>
        </w:rPr>
        <w:br/>
        <w:t>The final project should retain the data-cleaning rules, feature definitions, validation decisions, preprocessing pipeline, model parameters, and evaluation results.</w:t>
      </w:r>
    </w:p>
    <w:p>
      <w:pPr>
        <w:pStyle w:val="BodyText"/>
        <w:bidi w:val="0"/>
        <w:spacing w:lineRule="auto" w:line="331" w:before="240" w:after="240"/>
        <w:ind w:hanging="0" w:start="0" w:end="0"/>
        <w:jc w:val="both"/>
        <w:rPr>
          <w:rFonts w:ascii="Arial" w:hAnsi="Arial" w:cs="Arial"/>
          <w:b w:val="false"/>
          <w:i w:val="false"/>
          <w:caps w:val="false"/>
          <w:smallCaps w:val="false"/>
          <w:strike w:val="false"/>
          <w:dstrike w:val="false"/>
          <w:color w:val="000000"/>
          <w:sz w:val="20"/>
          <w:szCs w:val="20"/>
          <w:u w:val="none"/>
          <w:effect w:val="none"/>
          <w:shd w:fill="auto" w:val="clear"/>
        </w:rPr>
      </w:pPr>
      <w:r>
        <w:rPr>
          <w:rFonts w:cs="Arial" w:ascii="Arial" w:hAnsi="Arial"/>
          <w:b w:val="false"/>
          <w:i w:val="false"/>
          <w:caps w:val="false"/>
          <w:smallCaps w:val="false"/>
          <w:strike w:val="false"/>
          <w:dstrike w:val="false"/>
          <w:color w:val="000000"/>
          <w:sz w:val="20"/>
          <w:szCs w:val="20"/>
          <w:u w:val="none"/>
          <w:effect w:val="none"/>
          <w:shd w:fill="auto" w:val="clear"/>
        </w:rPr>
        <w:t>Overall, the project has established a suitable foundation for supervised machine-learning experiments. The data exploration shows that the prediction problem is technically feasible, but the modeling phase must be designed carefully to manage strong categorical effects, zero-inflated electric features, missing-not-at-random data, manufacturer concentration, and leakage from regulatory or post-test variables.</w:t>
      </w:r>
    </w:p>
    <w:p>
      <w:pPr>
        <w:pStyle w:val="Normal"/>
        <w:spacing w:before="0" w:after="200"/>
        <w:jc w:val="both"/>
        <w:rPr>
          <w:rFonts w:ascii="Arial" w:hAnsi="Arial" w:cs="Arial"/>
          <w:b/>
          <w:szCs w:val="20"/>
        </w:rPr>
      </w:pPr>
      <w:r>
        <w:rPr>
          <w:rFonts w:cs="Arial" w:ascii="Arial" w:hAnsi="Arial"/>
          <w:b/>
          <w:szCs w:val="20"/>
        </w:rPr>
      </w:r>
    </w:p>
    <w:p>
      <w:pPr>
        <w:pStyle w:val="Normal"/>
        <w:spacing w:before="0" w:after="200"/>
        <w:jc w:val="both"/>
        <w:rPr>
          <w:rFonts w:ascii="Arial" w:hAnsi="Arial" w:cs="Arial"/>
          <w:b/>
          <w:szCs w:val="20"/>
        </w:rPr>
      </w:pPr>
      <w:r>
        <w:rPr>
          <w:rFonts w:cs="Arial" w:ascii="Arial" w:hAnsi="Arial"/>
          <w:b/>
          <w:szCs w:val="20"/>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t>MODELING AND FINE TUNING</w:t>
      </w:r>
    </w:p>
    <w:p>
      <w:pPr>
        <w:pStyle w:val="Normal"/>
        <w:spacing w:before="0" w:after="200"/>
        <w:jc w:val="both"/>
        <w:rPr>
          <w:rFonts w:ascii="Arial" w:hAnsi="Arial" w:cs="Arial"/>
          <w:b/>
          <w:szCs w:val="20"/>
        </w:rPr>
      </w:pPr>
      <w:r>
        <w:rPr>
          <w:rFonts w:cs="Arial" w:ascii="Arial" w:hAnsi="Arial"/>
          <w:b/>
          <w:szCs w:val="20"/>
        </w:rPr>
      </w:r>
    </w:p>
    <w:p>
      <w:pPr>
        <w:pStyle w:val="Normal"/>
        <w:spacing w:before="0" w:after="200"/>
        <w:jc w:val="both"/>
        <w:rPr>
          <w:rFonts w:ascii="Arial" w:hAnsi="Arial" w:cs="Arial"/>
          <w:b/>
          <w:szCs w:val="20"/>
        </w:rPr>
      </w:pPr>
      <w:r>
        <w:rPr>
          <w:rFonts w:cs="Arial" w:ascii="Arial" w:hAnsi="Arial"/>
          <w:b/>
          <w:szCs w:val="20"/>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t>Executive Summary</w:t>
      </w:r>
    </w:p>
    <w:p>
      <w:pPr>
        <w:pStyle w:val="Normal"/>
        <w:widowControl/>
        <w:suppressAutoHyphens w:val="true"/>
        <w:bidi w:val="0"/>
        <w:spacing w:lineRule="auto" w:line="276"/>
        <w:jc w:val="both"/>
        <w:rPr>
          <w:rFonts w:ascii="Arial" w:hAnsi="Arial" w:cs="Arial"/>
          <w:kern w:val="0"/>
          <w:szCs w:val="20"/>
          <w:lang w:val="en-US" w:eastAsia="en-US" w:bidi="ar-SA"/>
        </w:rPr>
      </w:pPr>
      <w:r>
        <w:rPr>
          <w:rFonts w:cs="Arial" w:ascii="Arial" w:hAnsi="Arial"/>
          <w:kern w:val="0"/>
          <w:szCs w:val="20"/>
          <w:lang w:val="en-US" w:eastAsia="en-US" w:bidi="ar-SA"/>
        </w:rPr>
      </w:r>
    </w:p>
    <w:p>
      <w:pPr>
        <w:pStyle w:val="Normal"/>
        <w:jc w:val="both"/>
        <w:rPr>
          <w:rFonts w:ascii="Arial" w:hAnsi="Arial" w:cs="Arial"/>
          <w:szCs w:val="20"/>
        </w:rPr>
      </w:pPr>
      <w:r>
        <w:rPr>
          <w:rFonts w:cs="Arial" w:ascii="Arial" w:hAnsi="Arial"/>
          <w:szCs w:val="20"/>
        </w:rPr>
        <w:t xml:space="preserve">This report presents the final leakage-aware modeling workflow for predicting official WLTP CO₂ emissions (g/km) for French vehicles. The 2024 data were used for development, group-aware validation, feature selection and hyperparameter tuning; the 2025 data were held out as a temporal test set. </w:t>
      </w:r>
      <w:r>
        <w:rPr>
          <w:rFonts w:cs="Arial" w:ascii="Arial" w:hAnsi="Arial"/>
          <w:b/>
          <w:bCs/>
          <w:szCs w:val="20"/>
        </w:rPr>
        <w:t>The modeling report consists of 2 parts,</w:t>
      </w:r>
      <w:r>
        <w:rPr>
          <w:rFonts w:cs="Arial" w:ascii="Arial" w:hAnsi="Arial"/>
          <w:szCs w:val="20"/>
        </w:rPr>
        <w:t xml:space="preserve"> where part 1 represents execution performed on the complete dataset, part 2 represents the execution that was performed on segmented datasets based on fuel modes; namely Mono, PHEV (Plug-in hybrid electric vehicles) and Hybrid.</w:t>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b/>
          <w:bCs/>
          <w:szCs w:val="20"/>
        </w:rPr>
        <w:t>Executive conclusion part 1:</w:t>
      </w:r>
      <w:r>
        <w:rPr>
          <w:rFonts w:cs="Arial" w:ascii="Arial" w:hAnsi="Arial"/>
          <w:szCs w:val="20"/>
        </w:rPr>
        <w:t xml:space="preserve"> An initial modeling test was performed with the initial random split dataset prepared during the data exploration and feature engineering phase, given the results were far away from optimal, the approach was dropped and study continued using a group based splitting and tested feature sets. The first trial modeling will not be included in this report, however the Jupyter notebook that contains this study (named 03_modeling.ipynb) can be found in our repository.</w:t>
      </w:r>
    </w:p>
    <w:p>
      <w:pPr>
        <w:pStyle w:val="Normal"/>
        <w:jc w:val="both"/>
        <w:rPr>
          <w:rFonts w:ascii="Arial" w:hAnsi="Arial" w:cs="Arial"/>
          <w:szCs w:val="20"/>
        </w:rPr>
      </w:pPr>
      <w:r>
        <w:rPr>
          <w:rFonts w:cs="Arial" w:ascii="Arial" w:hAnsi="Arial"/>
          <w:szCs w:val="20"/>
        </w:rPr>
        <w:t>The project progressed from an overly optimistic first benchmark to a leakage-aware final workflow. The strongest conventional model was a tuned ExtraTreesRegressor. On the final workflow, it achieved validation RMSE 6.63 g/km and 2025 test RMSE 10.58 g/km, MAE 5.03 g/km and R² 0.9625. A neural network was also successful: its best reported test result was RMSE 8.67 g/km and MAE 6.67 g/km. The Lightning MLP had a lower reported RMSE but a higher MAE than the final ExtraTrees model; because the evaluation workflows may not be identical, the results should not be treated as a definitive head-to-head comparison. ExtraTrees remains the primary recommendation because it is the fully validated and interpreted model in the final temporal workflow.</w:t>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b/>
          <w:bCs/>
          <w:szCs w:val="20"/>
        </w:rPr>
        <w:t xml:space="preserve">Executive conclusion part 2: </w:t>
      </w:r>
      <w:r>
        <w:rPr>
          <w:rFonts w:cs="Arial" w:ascii="Arial" w:hAnsi="Arial"/>
          <w:szCs w:val="20"/>
        </w:rPr>
        <w:t>The workflow progressed from duplicate consolidation and leakage investigation to a tuned ExtraTreesRegressor. ExtraTrees was selected as the primary conventional model. The extension notebook then trained separate models for Mono-fuel (M), PHEV (P) and Hybrid (H) vehicles, allowing errors and feature importance to be analysed within powertrain regimes.</w:t>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t>The segmented ExtraTrees evaluation on 2025 produced MAE 5.0343 g/km, RMSE 10.5761 g/km and R² 0.9625. Mono and Hybrid models performed substantially better than the PHEV model. The principal weakness was systematic under-prediction for unseen petrol/electric PHEV configurations.</w:t>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t xml:space="preserve">MODELING PART I: </w:t>
      </w:r>
    </w:p>
    <w:p>
      <w:pPr>
        <w:pStyle w:val="Heading1"/>
        <w:widowControl/>
        <w:suppressAutoHyphens w:val="true"/>
        <w:bidi w:val="0"/>
        <w:spacing w:lineRule="auto" w:line="276"/>
        <w:ind w:hanging="0" w:start="0"/>
        <w:jc w:val="both"/>
        <w:rPr>
          <w:rFonts w:ascii="Arial" w:hAnsi="Arial" w:cs="Arial"/>
          <w:kern w:val="0"/>
          <w:sz w:val="52"/>
          <w:szCs w:val="52"/>
          <w:lang w:val="en-US" w:eastAsia="en-US" w:bidi="ar-SA"/>
        </w:rPr>
      </w:pPr>
      <w:r>
        <w:rPr>
          <w:rFonts w:cs="Arial" w:ascii="Arial" w:hAnsi="Arial"/>
          <w:kern w:val="0"/>
          <w:sz w:val="52"/>
          <w:szCs w:val="52"/>
          <w:lang w:val="en-US" w:eastAsia="en-US" w:bidi="ar-SA"/>
        </w:rPr>
        <w:t>Analysis On Complete Dataset</w:t>
      </w:r>
    </w:p>
    <w:p>
      <w:pPr>
        <w:pStyle w:val="Normal"/>
        <w:jc w:val="both"/>
        <w:rPr>
          <w:rFonts w:ascii="Arial" w:hAnsi="Arial" w:cs="Arial"/>
          <w:sz w:val="52"/>
          <w:szCs w:val="52"/>
        </w:rPr>
      </w:pPr>
      <w:r>
        <w:rPr>
          <w:rFonts w:cs="Arial" w:ascii="Arial" w:hAnsi="Arial"/>
          <w:sz w:val="52"/>
          <w:szCs w:val="52"/>
        </w:rPr>
      </w:r>
    </w:p>
    <w:p>
      <w:pPr>
        <w:pStyle w:val="Normal"/>
        <w:jc w:val="both"/>
        <w:rPr>
          <w:rFonts w:ascii="Arial" w:hAnsi="Arial" w:cs="Arial"/>
          <w:sz w:val="52"/>
          <w:szCs w:val="52"/>
        </w:rPr>
      </w:pPr>
      <w:r>
        <w:rPr>
          <w:rFonts w:cs="Arial" w:ascii="Arial" w:hAnsi="Arial"/>
          <w:sz w:val="52"/>
          <w:szCs w:val="52"/>
        </w:rPr>
      </w:r>
    </w:p>
    <w:p>
      <w:pPr>
        <w:pStyle w:val="Normal"/>
        <w:jc w:val="both"/>
        <w:rPr>
          <w:rFonts w:ascii="Arial" w:hAnsi="Arial" w:cs="Arial"/>
          <w:sz w:val="52"/>
          <w:szCs w:val="52"/>
        </w:rPr>
      </w:pPr>
      <w:r>
        <w:rPr>
          <w:rFonts w:cs="Arial" w:ascii="Arial" w:hAnsi="Arial"/>
          <w:sz w:val="52"/>
          <w:szCs w:val="52"/>
        </w:rPr>
      </w:r>
    </w:p>
    <w:p>
      <w:pPr>
        <w:pStyle w:val="Normal"/>
        <w:jc w:val="both"/>
        <w:rPr>
          <w:rFonts w:ascii="Arial" w:hAnsi="Arial" w:cs="Arial"/>
          <w:sz w:val="52"/>
          <w:szCs w:val="52"/>
        </w:rPr>
      </w:pPr>
      <w:r>
        <w:rPr>
          <w:rFonts w:cs="Arial" w:ascii="Arial" w:hAnsi="Arial"/>
          <w:sz w:val="52"/>
          <w:szCs w:val="52"/>
        </w:rPr>
      </w:r>
    </w:p>
    <w:p>
      <w:pPr>
        <w:pStyle w:val="Normal"/>
        <w:jc w:val="both"/>
        <w:rPr>
          <w:rFonts w:ascii="Arial" w:hAnsi="Arial" w:cs="Arial"/>
          <w:sz w:val="52"/>
          <w:szCs w:val="52"/>
        </w:rPr>
      </w:pPr>
      <w:r>
        <w:rPr>
          <w:rFonts w:cs="Arial" w:ascii="Arial" w:hAnsi="Arial"/>
          <w:sz w:val="52"/>
          <w:szCs w:val="52"/>
        </w:rPr>
      </w:r>
    </w:p>
    <w:p>
      <w:pPr>
        <w:pStyle w:val="Normal"/>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b/>
          <w:szCs w:val="20"/>
        </w:rPr>
      </w:pPr>
      <w:r>
        <w:rPr>
          <w:rFonts w:cs="Arial" w:ascii="Arial" w:hAnsi="Arial"/>
          <w:b/>
          <w:szCs w:val="20"/>
        </w:rPr>
        <w:t>1. Data Preparation and Experimental Design</w:t>
      </w:r>
    </w:p>
    <w:p>
      <w:pPr>
        <w:pStyle w:val="Normal"/>
        <w:jc w:val="both"/>
        <w:rPr>
          <w:rFonts w:ascii="Arial" w:hAnsi="Arial" w:cs="Arial"/>
          <w:szCs w:val="20"/>
        </w:rPr>
      </w:pPr>
      <w:r>
        <w:rPr>
          <w:rFonts w:cs="Arial" w:ascii="Arial" w:hAnsi="Arial"/>
          <w:szCs w:val="20"/>
        </w:rPr>
        <w:t>The target is Ewltp (g/km), the official WLTP CO2-emission value. The 2024 French dataset was used for model development, and the 2025 French dataset was held out as a temporal final test. The final notebook reports 15,957 aggregated 2024 records and 14,735 aggregated 2025 records; the final group split contained 12,801 training rows and 3,156 validation rows.</w:t>
      </w:r>
    </w:p>
    <w:p>
      <w:pPr>
        <w:pStyle w:val="Normal"/>
        <w:jc w:val="both"/>
        <w:rPr>
          <w:rFonts w:ascii="Arial" w:hAnsi="Arial" w:cs="Arial"/>
          <w:szCs w:val="20"/>
        </w:rPr>
      </w:pPr>
      <w:r>
        <w:rPr>
          <w:rFonts w:cs="Arial" w:ascii="Arial" w:hAnsi="Arial"/>
          <w:szCs w:val="20"/>
        </w:rPr>
        <w:t>A central improvement was replacing a simple random-style benchmark with a group-aware split. Groups were defined from core technical characteristics: mass, engine capacity, engine power, fuel type and fuel mode. The final split had zero exact core-configuration overlap between training and validation. The 2025 set was not used for model selection or tuning.</w:t>
      </w:r>
    </w:p>
    <w:p>
      <w:pPr>
        <w:pStyle w:val="Normal"/>
        <w:jc w:val="both"/>
        <w:rPr>
          <w:rFonts w:ascii="Arial" w:hAnsi="Arial" w:cs="Arial"/>
          <w:szCs w:val="20"/>
        </w:rPr>
      </w:pPr>
      <w:r>
        <w:rPr>
          <w:rFonts w:cs="Arial" w:ascii="Arial" w:hAnsi="Arial"/>
          <w:szCs w:val="20"/>
        </w:rPr>
        <w:t>Preprocessing was fitted on the training partition only: top-make grouping, group-aware target encoding, frequency maps, IT-code extraction, one-hot encoding and scaling. The final feature design distinguished between a strict design-stage feature set and an extended specification set containing electric range and eco-innovation indicators.</w:t>
      </w:r>
    </w:p>
    <w:p>
      <w:pPr>
        <w:pStyle w:val="Heading1"/>
        <w:widowControl/>
        <w:suppressAutoHyphens w:val="true"/>
        <w:bidi w:val="0"/>
        <w:spacing w:lineRule="auto" w:line="276"/>
        <w:ind w:hanging="0" w:start="0"/>
        <w:jc w:val="both"/>
        <w:rPr/>
      </w:pPr>
      <w:r>
        <w:rPr/>
        <w:t>2. Trial-and-error journey</w:t>
      </w:r>
    </w:p>
    <w:tbl>
      <w:tblPr>
        <w:tblW w:w="5000" w:type="pct"/>
        <w:jc w:val="start"/>
        <w:tblInd w:w="-5" w:type="dxa"/>
        <w:tblLayout w:type="fixed"/>
        <w:tblCellMar>
          <w:top w:w="0" w:type="dxa"/>
          <w:start w:w="108" w:type="dxa"/>
          <w:bottom w:w="0" w:type="dxa"/>
          <w:end w:w="108" w:type="dxa"/>
        </w:tblCellMar>
      </w:tblPr>
      <w:tblGrid>
        <w:gridCol w:w="1579"/>
        <w:gridCol w:w="2606"/>
        <w:gridCol w:w="4455"/>
      </w:tblGrid>
      <w:tr>
        <w:trPr/>
        <w:tc>
          <w:tcPr>
            <w:tcW w:w="1579"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Stage</w:t>
            </w:r>
          </w:p>
        </w:tc>
        <w:tc>
          <w:tcPr>
            <w:tcW w:w="2606"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What was tried</w:t>
            </w:r>
          </w:p>
        </w:tc>
        <w:tc>
          <w:tcPr>
            <w:tcW w:w="4455"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Result and lesson</w:t>
            </w:r>
          </w:p>
        </w:tc>
      </w:tr>
      <w:tr>
        <w:trPr/>
        <w:tc>
          <w:tcPr>
            <w:tcW w:w="1579" w:type="dxa"/>
            <w:tcBorders>
              <w:start w:val="single" w:sz="4" w:space="0" w:color="000000"/>
              <w:bottom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Initial automated benchmark</w:t>
            </w:r>
          </w:p>
        </w:tc>
        <w:tc>
          <w:tcPr>
            <w:tcW w:w="2606" w:type="dxa"/>
            <w:tcBorders>
              <w:start w:val="single" w:sz="4" w:space="0" w:color="000000"/>
              <w:bottom w:val="single" w:sz="4" w:space="0" w:color="000000"/>
            </w:tcBorders>
            <w:vAlign w:val="center"/>
          </w:tcPr>
          <w:p>
            <w:pPr>
              <w:pStyle w:val="Normal"/>
              <w:spacing w:lineRule="auto" w:line="240" w:before="0" w:after="0"/>
              <w:jc w:val="both"/>
              <w:rPr>
                <w:rFonts w:ascii="Arial" w:hAnsi="Arial" w:cs="Arial"/>
                <w:szCs w:val="20"/>
              </w:rPr>
            </w:pPr>
            <w:r>
              <w:rPr>
                <w:rFonts w:cs="Arial" w:ascii="Arial" w:hAnsi="Arial"/>
                <w:szCs w:val="20"/>
              </w:rPr>
              <w:t>LazyPredict comparison of many regressors</w:t>
            </w:r>
          </w:p>
        </w:tc>
        <w:tc>
          <w:tcPr>
            <w:tcW w:w="4455" w:type="dxa"/>
            <w:tcBorders>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Cs w:val="20"/>
              </w:rPr>
            </w:pPr>
            <w:r>
              <w:rPr>
                <w:rFonts w:cs="Arial" w:ascii="Arial" w:hAnsi="Arial"/>
                <w:szCs w:val="20"/>
              </w:rPr>
              <w:t>Tree ensembles dominated linear models. ExtraTrees, Random Forest, HistGradientBoosting and Bagging were the leading families.</w:t>
            </w:r>
          </w:p>
        </w:tc>
      </w:tr>
      <w:tr>
        <w:trPr/>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Resource control</w:t>
            </w:r>
          </w:p>
        </w:tc>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Cs w:val="20"/>
              </w:rPr>
            </w:pPr>
            <w:r>
              <w:rPr>
                <w:rFonts w:cs="Arial" w:ascii="Arial" w:hAnsi="Arial"/>
                <w:szCs w:val="20"/>
              </w:rPr>
              <w:t>Excluded Gaussian-process/kernel-style candidates after estimating a roughly 61.44 GB kernel-matrix requirement versus a 32 GB machine</w:t>
            </w:r>
          </w:p>
        </w:tc>
        <w:tc>
          <w:tcPr>
            <w:tcW w:w="44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Cs w:val="20"/>
              </w:rPr>
            </w:pPr>
            <w:r>
              <w:rPr>
                <w:rFonts w:cs="Arial" w:ascii="Arial" w:hAnsi="Arial"/>
                <w:szCs w:val="20"/>
              </w:rPr>
              <w:t>A practical modeling decision prevented an unproductive or crashing experiment.</w:t>
            </w:r>
          </w:p>
        </w:tc>
      </w:tr>
      <w:tr>
        <w:trPr/>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First very high scores</w:t>
            </w:r>
          </w:p>
        </w:tc>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Cs w:val="20"/>
              </w:rPr>
            </w:pPr>
            <w:r>
              <w:rPr>
                <w:rFonts w:cs="Arial" w:ascii="Arial" w:hAnsi="Arial"/>
                <w:szCs w:val="20"/>
              </w:rPr>
              <w:t>ExtraTrees/RF appeared near R² 0.999 with RMSE around 1.6-1.9 g/km</w:t>
            </w:r>
          </w:p>
        </w:tc>
        <w:tc>
          <w:tcPr>
            <w:tcW w:w="44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Cs w:val="20"/>
              </w:rPr>
            </w:pPr>
            <w:r>
              <w:rPr>
                <w:rFonts w:cs="Arial" w:ascii="Arial" w:hAnsi="Arial"/>
                <w:szCs w:val="20"/>
              </w:rPr>
              <w:t>The result was suspiciously strong, so leakage, target proxies and duplicate configurations were investigated. In the final notebook's broad comparison, Random Forest and ExtraTrees achieved validation RMSE of 1.16 and 1.19 g/km before the stricter feature-set and group-aware tuning stages.</w:t>
            </w:r>
          </w:p>
        </w:tc>
      </w:tr>
      <w:tr>
        <w:trPr/>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Feature audit</w:t>
            </w:r>
          </w:p>
        </w:tc>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Cs w:val="20"/>
              </w:rPr>
            </w:pPr>
            <w:r>
              <w:rPr>
                <w:rFonts w:cs="Arial" w:ascii="Arial" w:hAnsi="Arial"/>
                <w:szCs w:val="20"/>
              </w:rPr>
              <w:t>Examined electric range, fuel mode, fuel type, frequency features and possible target-related columns</w:t>
            </w:r>
          </w:p>
        </w:tc>
        <w:tc>
          <w:tcPr>
            <w:tcW w:w="44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Cs w:val="20"/>
              </w:rPr>
            </w:pPr>
            <w:r>
              <w:rPr>
                <w:rFonts w:cs="Arial" w:ascii="Arial" w:hAnsi="Arial"/>
                <w:szCs w:val="20"/>
              </w:rPr>
              <w:t>Electric range was powerful; identifier-derived frequency features were treated cautiously and removed from final feature logic were appropriate.</w:t>
            </w:r>
          </w:p>
        </w:tc>
      </w:tr>
      <w:tr>
        <w:trPr/>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Feature-set comparison</w:t>
            </w:r>
          </w:p>
        </w:tc>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Cs w:val="20"/>
              </w:rPr>
            </w:pPr>
            <w:r>
              <w:rPr>
                <w:rFonts w:cs="Arial" w:ascii="Arial" w:hAnsi="Arial"/>
                <w:szCs w:val="20"/>
              </w:rPr>
              <w:t>Strict nine-feature design-stage set versus 17-feature extended specification set</w:t>
            </w:r>
          </w:p>
        </w:tc>
        <w:tc>
          <w:tcPr>
            <w:tcW w:w="44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Cs w:val="20"/>
              </w:rPr>
            </w:pPr>
            <w:r>
              <w:rPr>
                <w:rFonts w:cs="Arial" w:ascii="Arial" w:hAnsi="Arial"/>
                <w:szCs w:val="20"/>
              </w:rPr>
              <w:t>Extended set improved validation RMSE from 9.10 to 7.45 g/km, about 18.1% lower.</w:t>
            </w:r>
          </w:p>
        </w:tc>
      </w:tr>
      <w:tr>
        <w:trPr/>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Tuning</w:t>
            </w:r>
          </w:p>
        </w:tc>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Cs w:val="20"/>
              </w:rPr>
            </w:pPr>
            <w:r>
              <w:rPr>
                <w:rFonts w:cs="Arial" w:ascii="Arial" w:hAnsi="Arial"/>
                <w:szCs w:val="20"/>
              </w:rPr>
              <w:t>RandomizedSearchCV with five-fold GroupKFold, only inside the 2024 training data</w:t>
            </w:r>
          </w:p>
        </w:tc>
        <w:tc>
          <w:tcPr>
            <w:tcW w:w="44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Cs w:val="20"/>
              </w:rPr>
            </w:pPr>
            <w:r>
              <w:rPr>
                <w:rFonts w:cs="Arial" w:ascii="Arial" w:hAnsi="Arial"/>
                <w:szCs w:val="20"/>
              </w:rPr>
              <w:t>ExtraTrees achieved the best inner-CV RMSE and the best held-out validation RMSE among tuned candidates.</w:t>
            </w:r>
          </w:p>
        </w:tc>
      </w:tr>
      <w:tr>
        <w:trPr/>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Deep learning</w:t>
            </w:r>
          </w:p>
        </w:tc>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Cs w:val="20"/>
              </w:rPr>
            </w:pPr>
            <w:r>
              <w:rPr>
                <w:rFonts w:cs="Arial" w:ascii="Arial" w:hAnsi="Arial"/>
                <w:szCs w:val="20"/>
              </w:rPr>
              <w:t>PyTorch MLP, then an organized PyTorch Lightning version</w:t>
            </w:r>
          </w:p>
        </w:tc>
        <w:tc>
          <w:tcPr>
            <w:tcW w:w="44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Cs w:val="20"/>
              </w:rPr>
            </w:pPr>
            <w:r>
              <w:rPr>
                <w:rFonts w:cs="Arial" w:ascii="Arial" w:hAnsi="Arial"/>
                <w:szCs w:val="20"/>
              </w:rPr>
              <w:t>The network learned the signal but remained less accurate than the tree ensemble on reported test metrics.</w:t>
            </w:r>
          </w:p>
        </w:tc>
      </w:tr>
    </w:tbl>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t>3. Ensemble modeling results</w:t>
      </w:r>
    </w:p>
    <w:p>
      <w:pPr>
        <w:pStyle w:val="Normal"/>
        <w:jc w:val="both"/>
        <w:rPr>
          <w:rFonts w:ascii="Arial" w:hAnsi="Arial" w:cs="Arial"/>
          <w:szCs w:val="20"/>
        </w:rPr>
      </w:pPr>
      <w:r>
        <w:rPr>
          <w:rFonts w:cs="Arial" w:ascii="Arial" w:hAnsi="Arial"/>
          <w:szCs w:val="20"/>
        </w:rPr>
        <w:t>The broad comparison showed why nonlinear ensembles were appropriate. The target is influenced by interacting vehicle specifications and categorical powertrain regimes; a linear model cannot represent these interactions as naturally without extensive manual feature construction.</w:t>
      </w:r>
    </w:p>
    <w:tbl>
      <w:tblPr>
        <w:tblW w:w="5000" w:type="pct"/>
        <w:jc w:val="start"/>
        <w:tblInd w:w="-5" w:type="dxa"/>
        <w:tblLayout w:type="fixed"/>
        <w:tblCellMar>
          <w:top w:w="0" w:type="dxa"/>
          <w:start w:w="108" w:type="dxa"/>
          <w:bottom w:w="0" w:type="dxa"/>
          <w:end w:w="108" w:type="dxa"/>
        </w:tblCellMar>
      </w:tblPr>
      <w:tblGrid>
        <w:gridCol w:w="2159"/>
        <w:gridCol w:w="2160"/>
        <w:gridCol w:w="2160"/>
        <w:gridCol w:w="2161"/>
      </w:tblGrid>
      <w:tr>
        <w:trPr>
          <w:trHeight w:val="790" w:hRule="atLeast"/>
        </w:trPr>
        <w:tc>
          <w:tcPr>
            <w:tcW w:w="2159"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Model/family</w:t>
            </w:r>
          </w:p>
        </w:tc>
        <w:tc>
          <w:tcPr>
            <w:tcW w:w="2160"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Validation RMSE (g/km)</w:t>
            </w:r>
          </w:p>
        </w:tc>
        <w:tc>
          <w:tcPr>
            <w:tcW w:w="2160"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Validation R²</w:t>
            </w:r>
          </w:p>
        </w:tc>
        <w:tc>
          <w:tcPr>
            <w:tcW w:w="2161"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r>
          </w:p>
          <w:p>
            <w:pPr>
              <w:pStyle w:val="Normal"/>
              <w:suppressAutoHyphens w:val="true"/>
              <w:spacing w:lineRule="auto" w:line="240" w:before="0" w:after="0"/>
              <w:jc w:val="center"/>
              <w:rPr>
                <w:rFonts w:eastAsia="ＭＳ 明朝"/>
                <w:b/>
              </w:rPr>
            </w:pPr>
            <w:r>
              <w:rPr>
                <w:rFonts w:eastAsia="ＭＳ 明朝"/>
                <w:b/>
              </w:rPr>
              <w:t>Interpretation</w:t>
            </w:r>
          </w:p>
          <w:p>
            <w:pPr>
              <w:pStyle w:val="Normal"/>
              <w:suppressAutoHyphens w:val="true"/>
              <w:spacing w:lineRule="auto" w:line="240" w:before="0" w:after="0"/>
              <w:jc w:val="center"/>
              <w:rPr>
                <w:rFonts w:eastAsia="ＭＳ 明朝"/>
                <w:b/>
              </w:rPr>
            </w:pPr>
            <w:r>
              <w:rPr>
                <w:rFonts w:eastAsia="ＭＳ 明朝"/>
                <w:b/>
              </w:rPr>
            </w:r>
          </w:p>
        </w:tc>
      </w:tr>
      <w:tr>
        <w:trPr>
          <w:trHeight w:val="790" w:hRule="atLeast"/>
        </w:trPr>
        <w:tc>
          <w:tcPr>
            <w:tcW w:w="21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Random Forest / initial comparison</w:t>
            </w:r>
          </w:p>
          <w:p>
            <w:pPr>
              <w:pStyle w:val="Normal"/>
              <w:spacing w:lineRule="auto" w:line="240" w:before="0" w:after="0"/>
              <w:jc w:val="center"/>
              <w:rPr>
                <w:rFonts w:ascii="Arial" w:hAnsi="Arial" w:cs="Arial"/>
                <w:szCs w:val="20"/>
              </w:rPr>
            </w:pPr>
            <w:r>
              <w:rPr>
                <w:rFonts w:cs="Arial" w:ascii="Arial" w:hAnsi="Arial"/>
                <w:szCs w:val="20"/>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1.16</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0.9995</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Cs w:val="20"/>
              </w:rPr>
            </w:pPr>
            <w:r>
              <w:rPr>
                <w:rFonts w:cs="Arial" w:ascii="Arial" w:hAnsi="Arial"/>
                <w:szCs w:val="20"/>
              </w:rPr>
              <w:t>Best result in the broad automated comparison; later tested under stricter features and group-aware tuning.</w:t>
            </w:r>
          </w:p>
        </w:tc>
      </w:tr>
      <w:tr>
        <w:trPr>
          <w:trHeight w:val="790" w:hRule="atLeast"/>
        </w:trPr>
        <w:tc>
          <w:tcPr>
            <w:tcW w:w="21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ExtraTrees / initial comparison</w:t>
            </w:r>
          </w:p>
          <w:p>
            <w:pPr>
              <w:pStyle w:val="Normal"/>
              <w:spacing w:lineRule="auto" w:line="240" w:before="0" w:after="0"/>
              <w:jc w:val="center"/>
              <w:rPr>
                <w:rFonts w:ascii="Arial" w:hAnsi="Arial" w:cs="Arial"/>
                <w:szCs w:val="20"/>
              </w:rPr>
            </w:pPr>
            <w:r>
              <w:rPr>
                <w:rFonts w:cs="Arial" w:ascii="Arial" w:hAnsi="Arial"/>
                <w:szCs w:val="20"/>
              </w:rPr>
            </w:r>
          </w:p>
          <w:p>
            <w:pPr>
              <w:pStyle w:val="Normal"/>
              <w:spacing w:lineRule="auto" w:line="240" w:before="0" w:after="0"/>
              <w:jc w:val="center"/>
              <w:rPr>
                <w:rFonts w:ascii="Arial" w:hAnsi="Arial" w:cs="Arial"/>
                <w:szCs w:val="20"/>
              </w:rPr>
            </w:pPr>
            <w:r>
              <w:rPr>
                <w:rFonts w:cs="Arial" w:ascii="Arial" w:hAnsi="Arial"/>
                <w:szCs w:val="20"/>
              </w:rPr>
            </w:r>
          </w:p>
          <w:p>
            <w:pPr>
              <w:pStyle w:val="Normal"/>
              <w:spacing w:lineRule="auto" w:line="240" w:before="0" w:after="0"/>
              <w:jc w:val="center"/>
              <w:rPr>
                <w:rFonts w:ascii="Arial" w:hAnsi="Arial" w:cs="Arial"/>
                <w:szCs w:val="20"/>
              </w:rPr>
            </w:pPr>
            <w:r>
              <w:rPr>
                <w:rFonts w:cs="Arial" w:ascii="Arial" w:hAnsi="Arial"/>
                <w:szCs w:val="20"/>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1.19</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0.9995</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Cs w:val="20"/>
              </w:rPr>
            </w:pPr>
            <w:r>
              <w:rPr>
                <w:rFonts w:cs="Arial" w:ascii="Arial" w:hAnsi="Arial"/>
                <w:szCs w:val="20"/>
              </w:rPr>
              <w:t>Very strong early candidate in the broad automated comparison.</w:t>
            </w:r>
          </w:p>
        </w:tc>
      </w:tr>
      <w:tr>
        <w:trPr>
          <w:trHeight w:val="790" w:hRule="atLeast"/>
        </w:trPr>
        <w:tc>
          <w:tcPr>
            <w:tcW w:w="21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LightGBM / initial comparison</w:t>
            </w:r>
          </w:p>
          <w:p>
            <w:pPr>
              <w:pStyle w:val="Normal"/>
              <w:spacing w:lineRule="auto" w:line="240" w:before="0" w:after="0"/>
              <w:jc w:val="center"/>
              <w:rPr>
                <w:rFonts w:ascii="Arial" w:hAnsi="Arial" w:cs="Arial"/>
                <w:szCs w:val="20"/>
              </w:rPr>
            </w:pPr>
            <w:r>
              <w:rPr>
                <w:rFonts w:cs="Arial" w:ascii="Arial" w:hAnsi="Arial"/>
                <w:szCs w:val="20"/>
              </w:rPr>
            </w:r>
          </w:p>
          <w:p>
            <w:pPr>
              <w:pStyle w:val="Normal"/>
              <w:spacing w:lineRule="auto" w:line="240" w:before="0" w:after="0"/>
              <w:jc w:val="center"/>
              <w:rPr>
                <w:rFonts w:ascii="Arial" w:hAnsi="Arial" w:cs="Arial"/>
                <w:szCs w:val="20"/>
              </w:rPr>
            </w:pPr>
            <w:r>
              <w:rPr>
                <w:rFonts w:cs="Arial" w:ascii="Arial" w:hAnsi="Arial"/>
                <w:szCs w:val="20"/>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1.30</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0.9994</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Cs w:val="20"/>
              </w:rPr>
            </w:pPr>
            <w:r>
              <w:rPr>
                <w:rFonts w:cs="Arial" w:ascii="Arial" w:hAnsi="Arial"/>
                <w:szCs w:val="20"/>
              </w:rPr>
              <w:t>Efficient boosting candidate.</w:t>
            </w:r>
          </w:p>
        </w:tc>
      </w:tr>
      <w:tr>
        <w:trPr>
          <w:trHeight w:val="790" w:hRule="atLeast"/>
        </w:trPr>
        <w:tc>
          <w:tcPr>
            <w:tcW w:w="21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Bagging / initial comparison</w:t>
            </w:r>
          </w:p>
          <w:p>
            <w:pPr>
              <w:pStyle w:val="Normal"/>
              <w:spacing w:lineRule="auto" w:line="240" w:before="0" w:after="0"/>
              <w:jc w:val="center"/>
              <w:rPr>
                <w:rFonts w:ascii="Arial" w:hAnsi="Arial" w:cs="Arial"/>
                <w:szCs w:val="20"/>
              </w:rPr>
            </w:pPr>
            <w:r>
              <w:rPr>
                <w:rFonts w:cs="Arial" w:ascii="Arial" w:hAnsi="Arial"/>
                <w:szCs w:val="20"/>
              </w:rPr>
            </w:r>
          </w:p>
          <w:p>
            <w:pPr>
              <w:pStyle w:val="Normal"/>
              <w:spacing w:lineRule="auto" w:line="240" w:before="0" w:after="0"/>
              <w:jc w:val="center"/>
              <w:rPr>
                <w:rFonts w:ascii="Arial" w:hAnsi="Arial" w:cs="Arial"/>
                <w:szCs w:val="20"/>
              </w:rPr>
            </w:pPr>
            <w:r>
              <w:rPr>
                <w:rFonts w:cs="Arial" w:ascii="Arial" w:hAnsi="Arial"/>
                <w:szCs w:val="20"/>
              </w:rPr>
            </w:r>
          </w:p>
          <w:p>
            <w:pPr>
              <w:pStyle w:val="Normal"/>
              <w:spacing w:lineRule="auto" w:line="240" w:before="0" w:after="0"/>
              <w:jc w:val="center"/>
              <w:rPr>
                <w:rFonts w:ascii="Arial" w:hAnsi="Arial" w:cs="Arial"/>
                <w:szCs w:val="20"/>
              </w:rPr>
            </w:pPr>
            <w:r>
              <w:rPr>
                <w:rFonts w:cs="Arial" w:ascii="Arial" w:hAnsi="Arial"/>
                <w:szCs w:val="20"/>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1.30</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0.9994</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Cs w:val="20"/>
              </w:rPr>
            </w:pPr>
            <w:r>
              <w:rPr>
                <w:rFonts w:cs="Arial" w:ascii="Arial" w:hAnsi="Arial"/>
                <w:szCs w:val="20"/>
              </w:rPr>
              <w:t>Strong ensemble baseline in the broad comparison.</w:t>
            </w:r>
          </w:p>
        </w:tc>
      </w:tr>
      <w:tr>
        <w:trPr>
          <w:trHeight w:val="790" w:hRule="atLeast"/>
        </w:trPr>
        <w:tc>
          <w:tcPr>
            <w:tcW w:w="21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Tuned ExtraTrees</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6.63</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0.9838</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Cs w:val="20"/>
              </w:rPr>
            </w:pPr>
            <w:r>
              <w:rPr>
                <w:rFonts w:cs="Arial" w:ascii="Arial" w:hAnsi="Arial"/>
                <w:szCs w:val="20"/>
              </w:rPr>
              <w:t>Final selected model; best inner-CV RMSE and stronger held-out validation result.</w:t>
            </w:r>
          </w:p>
        </w:tc>
      </w:tr>
      <w:tr>
        <w:trPr>
          <w:trHeight w:val="790" w:hRule="atLeast"/>
        </w:trPr>
        <w:tc>
          <w:tcPr>
            <w:tcW w:w="21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Tuned Random Forest</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7.37</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0.9799</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Cs w:val="20"/>
              </w:rPr>
            </w:pPr>
            <w:r>
              <w:rPr>
                <w:rFonts w:cs="Arial" w:ascii="Arial" w:hAnsi="Arial"/>
                <w:szCs w:val="20"/>
              </w:rPr>
              <w:t>Close benchmark, but weaker than tuned ExtraTrees.</w:t>
            </w:r>
          </w:p>
        </w:tc>
      </w:tr>
      <w:tr>
        <w:trPr>
          <w:trHeight w:val="790" w:hRule="atLeast"/>
        </w:trPr>
        <w:tc>
          <w:tcPr>
            <w:tcW w:w="21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Extended ExtraTrees feature-set baseline</w:t>
            </w:r>
          </w:p>
          <w:p>
            <w:pPr>
              <w:pStyle w:val="Normal"/>
              <w:spacing w:lineRule="auto" w:line="240" w:before="0" w:after="0"/>
              <w:jc w:val="center"/>
              <w:rPr>
                <w:rFonts w:ascii="Arial" w:hAnsi="Arial" w:cs="Arial"/>
                <w:szCs w:val="20"/>
              </w:rPr>
            </w:pPr>
            <w:r>
              <w:rPr>
                <w:rFonts w:cs="Arial" w:ascii="Arial" w:hAnsi="Arial"/>
                <w:szCs w:val="20"/>
              </w:rPr>
            </w:r>
          </w:p>
          <w:p>
            <w:pPr>
              <w:pStyle w:val="Normal"/>
              <w:spacing w:lineRule="auto" w:line="240" w:before="0" w:after="0"/>
              <w:jc w:val="center"/>
              <w:rPr>
                <w:rFonts w:ascii="Arial" w:hAnsi="Arial" w:cs="Arial"/>
                <w:szCs w:val="20"/>
              </w:rPr>
            </w:pPr>
            <w:r>
              <w:rPr>
                <w:rFonts w:cs="Arial" w:ascii="Arial" w:hAnsi="Arial"/>
                <w:szCs w:val="20"/>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7.45</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0.9795</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Cs w:val="20"/>
              </w:rPr>
            </w:pPr>
            <w:r>
              <w:rPr>
                <w:rFonts w:cs="Arial" w:ascii="Arial" w:hAnsi="Arial"/>
                <w:szCs w:val="20"/>
              </w:rPr>
              <w:t>Outperformed the strict design-stage feature set before tuning.</w:t>
            </w:r>
          </w:p>
        </w:tc>
      </w:tr>
    </w:tbl>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t>The selected ExtraTrees configuration was: 678 trees, no maximum-depth limit, max_features approximately 0.8268, minimum samples per leaf 3, minimum samples split 2, random_state 42 and all available CPU cores. The search optimized negative RMSE using five-fold GroupKFold on the training partition. The held-out validation set and the 2025 test set were not used to choose the parameters.</w:t>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t>4. Feature engineering and interpretation</w:t>
      </w:r>
    </w:p>
    <w:p>
      <w:pPr>
        <w:pStyle w:val="Normal"/>
        <w:jc w:val="both"/>
        <w:rPr>
          <w:rFonts w:ascii="Arial" w:hAnsi="Arial" w:cs="Arial"/>
          <w:szCs w:val="20"/>
        </w:rPr>
      </w:pPr>
      <w:r>
        <w:rPr>
          <w:rFonts w:cs="Arial" w:ascii="Arial" w:hAnsi="Arial"/>
          <w:szCs w:val="20"/>
        </w:rPr>
        <w:t>The extended specification model used 18 features: vehicle mass, engine capacity, engine power, fuel-type indicators, fuel-mode indicators, electric range and IT-code indicators. The strict model used 10 design-stage variables and excluded electric range and IT features.</w:t>
      </w:r>
    </w:p>
    <w:p>
      <w:pPr>
        <w:pStyle w:val="Normal"/>
        <w:jc w:val="both"/>
        <w:rPr>
          <w:rFonts w:ascii="Arial" w:hAnsi="Arial" w:cs="Arial"/>
          <w:szCs w:val="20"/>
        </w:rPr>
      </w:pPr>
      <w:r>
        <w:rPr>
          <w:rFonts w:cs="Arial" w:ascii="Arial" w:hAnsi="Arial"/>
          <w:szCs w:val="20"/>
        </w:rPr>
        <w:t>Electric range was the most important interpretive finding. In the exploratory audit, the 0-km group had mean emissions around 138.6 g/km, while vehicles with positive electric range averaged around 28.3 g/km. Within the positive-range group, electric range had a strong inverse relationship with emissions: Pearson correlation about −0.786 and Spearman correlation about −0.876. This explains why electric range can produce a major performance improvement, but it is also a potential proxy: it identifies powertrain classes and their emission regimes.</w:t>
      </w:r>
    </w:p>
    <w:p>
      <w:pPr>
        <w:pStyle w:val="Normal"/>
        <w:jc w:val="both"/>
        <w:rPr>
          <w:rFonts w:ascii="Arial" w:hAnsi="Arial" w:cs="Arial"/>
          <w:szCs w:val="20"/>
        </w:rPr>
      </w:pPr>
      <w:r>
        <w:rPr>
          <w:rFonts w:cs="Arial" w:ascii="Arial" w:hAnsi="Arial"/>
          <w:szCs w:val="20"/>
        </w:rPr>
        <w:t>Feature-set comparison showed the trade-off. The strict 10-feature design-stage model achieved validation RMSE 9.10 g/km, while adding electric range and IT indicators reduced validation RMSE to 7.45 g/km, an improvement of approximately 18.1%. Predictive importance is not automatically causal importance.</w:t>
      </w:r>
    </w:p>
    <w:p>
      <w:pPr>
        <w:pStyle w:val="Normal"/>
        <w:jc w:val="both"/>
        <w:rPr>
          <w:rFonts w:ascii="Arial" w:hAnsi="Arial" w:cs="Arial"/>
          <w:szCs w:val="20"/>
        </w:rPr>
      </w:pPr>
      <w:r>
        <w:rPr>
          <w:rFonts w:cs="Arial" w:ascii="Arial" w:hAnsi="Arial"/>
          <w:szCs w:val="20"/>
        </w:rPr>
        <w:t>Interpretability tools used in notebooks included three features of importance, permutation-importance experiments and controlled feature ablation. The main interpretation is global and model-based, not causal claim. For final deployment, SHAP or grouped permutation importance should be added with confidence intervals and evaluated separately for combustion, hybrid and electric subgroups.</w:t>
      </w:r>
    </w:p>
    <w:p>
      <w:pPr>
        <w:pStyle w:val="Heading1"/>
        <w:widowControl/>
        <w:suppressAutoHyphens w:val="true"/>
        <w:bidi w:val="0"/>
        <w:spacing w:lineRule="auto" w:line="276"/>
        <w:ind w:hanging="0" w:start="0"/>
        <w:jc w:val="both"/>
        <w:rPr>
          <w:rFonts w:ascii="Arial" w:hAnsi="Arial" w:cs="Arial"/>
          <w:kern w:val="0"/>
          <w:szCs w:val="20"/>
          <w:lang w:val="en-US" w:eastAsia="en-US" w:bidi="ar-SA"/>
        </w:rPr>
      </w:pPr>
      <w:r>
        <w:rPr>
          <w:rFonts w:cs="Arial" w:ascii="Arial" w:hAnsi="Arial"/>
          <w:kern w:val="0"/>
          <w:szCs w:val="20"/>
          <w:lang w:val="en-US" w:eastAsia="en-US" w:bidi="ar-SA"/>
        </w:rPr>
        <w:t>5. Deep-learning experiments</w:t>
      </w:r>
    </w:p>
    <w:p>
      <w:pPr>
        <w:pStyle w:val="Normal"/>
        <w:jc w:val="both"/>
        <w:rPr>
          <w:rFonts w:ascii="Arial" w:hAnsi="Arial" w:cs="Arial"/>
          <w:szCs w:val="20"/>
        </w:rPr>
      </w:pPr>
      <w:r>
        <w:rPr>
          <w:rFonts w:cs="Arial" w:ascii="Arial" w:hAnsi="Arial"/>
          <w:szCs w:val="20"/>
        </w:rPr>
        <w:t>The deep-learning notebooks implemented a multilayer perception using 17 selected features. The architecture used 128 → 64 → 32 hidden units, BatchNorm, GELU activations and 5% dropout. Training used AdamW with learning rate 0.001, weight decay 1e−5, MSE loss, ReduceLROnPlateau and early stopping. The direct PyTorch run stopped around epoch 32 after validation loss ceased improving.</w:t>
      </w:r>
    </w:p>
    <w:tbl>
      <w:tblPr>
        <w:tblW w:w="5000" w:type="pct"/>
        <w:jc w:val="start"/>
        <w:tblInd w:w="-5" w:type="dxa"/>
        <w:tblLayout w:type="fixed"/>
        <w:tblCellMar>
          <w:top w:w="0" w:type="dxa"/>
          <w:start w:w="108" w:type="dxa"/>
          <w:bottom w:w="0" w:type="dxa"/>
          <w:end w:w="108" w:type="dxa"/>
        </w:tblCellMar>
      </w:tblPr>
      <w:tblGrid>
        <w:gridCol w:w="1416"/>
        <w:gridCol w:w="2293"/>
        <w:gridCol w:w="4931"/>
      </w:tblGrid>
      <w:tr>
        <w:trPr/>
        <w:tc>
          <w:tcPr>
            <w:tcW w:w="1416"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r>
          </w:p>
          <w:p>
            <w:pPr>
              <w:pStyle w:val="Normal"/>
              <w:suppressAutoHyphens w:val="true"/>
              <w:spacing w:lineRule="auto" w:line="240" w:before="0" w:after="0"/>
              <w:jc w:val="center"/>
              <w:rPr>
                <w:rFonts w:eastAsia="ＭＳ 明朝"/>
                <w:b/>
              </w:rPr>
            </w:pPr>
            <w:r>
              <w:rPr>
                <w:rFonts w:eastAsia="ＭＳ 明朝"/>
                <w:b/>
              </w:rPr>
              <w:t>Deep-learning version</w:t>
            </w:r>
          </w:p>
        </w:tc>
        <w:tc>
          <w:tcPr>
            <w:tcW w:w="2293"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r>
          </w:p>
          <w:p>
            <w:pPr>
              <w:pStyle w:val="Normal"/>
              <w:suppressAutoHyphens w:val="true"/>
              <w:spacing w:lineRule="auto" w:line="240" w:before="0" w:after="0"/>
              <w:jc w:val="center"/>
              <w:rPr>
                <w:rFonts w:eastAsia="ＭＳ 明朝"/>
                <w:b/>
              </w:rPr>
            </w:pPr>
            <w:r>
              <w:rPr>
                <w:rFonts w:eastAsia="ＭＳ 明朝"/>
                <w:b/>
              </w:rPr>
              <w:t>Reported result</w:t>
            </w:r>
          </w:p>
        </w:tc>
        <w:tc>
          <w:tcPr>
            <w:tcW w:w="4931"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r>
          </w:p>
          <w:p>
            <w:pPr>
              <w:pStyle w:val="Normal"/>
              <w:suppressAutoHyphens w:val="true"/>
              <w:spacing w:lineRule="auto" w:line="240" w:before="0" w:after="0"/>
              <w:jc w:val="center"/>
              <w:rPr>
                <w:rFonts w:eastAsia="ＭＳ 明朝"/>
                <w:b/>
              </w:rPr>
            </w:pPr>
            <w:r>
              <w:rPr>
                <w:rFonts w:eastAsia="ＭＳ 明朝"/>
                <w:b/>
              </w:rPr>
              <w:t>Assessment</w:t>
            </w:r>
          </w:p>
        </w:tc>
      </w:tr>
      <w:tr>
        <w:trPr/>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PyTorch Lightning MLP</w:t>
            </w:r>
          </w:p>
        </w:tc>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MAE 8.0732; RMSE 11.9008</w:t>
            </w:r>
          </w:p>
        </w:tc>
        <w:tc>
          <w:tcPr>
            <w:tcW w:w="49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Cs w:val="20"/>
              </w:rPr>
            </w:pPr>
            <w:r>
              <w:rPr>
                <w:rFonts w:cs="Arial" w:ascii="Arial" w:hAnsi="Arial"/>
                <w:szCs w:val="20"/>
              </w:rPr>
              <w:t>Lower reported RMSE but higher MAE than final ExtraTrees; workflow comparability should be confirmed before ranking.</w:t>
            </w:r>
          </w:p>
          <w:p>
            <w:pPr>
              <w:pStyle w:val="Normal"/>
              <w:spacing w:lineRule="auto" w:line="240" w:before="0" w:after="0"/>
              <w:jc w:val="center"/>
              <w:rPr>
                <w:rFonts w:ascii="Arial" w:hAnsi="Arial" w:cs="Arial"/>
                <w:szCs w:val="20"/>
              </w:rPr>
            </w:pPr>
            <w:r>
              <w:rPr>
                <w:rFonts w:cs="Arial" w:ascii="Arial" w:hAnsi="Arial"/>
                <w:szCs w:val="20"/>
              </w:rPr>
            </w:r>
          </w:p>
        </w:tc>
      </w:tr>
    </w:tbl>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t>The network had approximately 13.2 thousand trainable parameters and used Apple MPS acceleration. The best checkpoint was restored before testing. Reported test metrics were MAE 8.0732 g/km and RMSE 11.9008 g/km. The MLP learned the broad relationship but underperformed the ExtraTrees model.</w:t>
      </w:r>
    </w:p>
    <w:p>
      <w:pPr>
        <w:pStyle w:val="Normal"/>
        <w:jc w:val="both"/>
        <w:rPr>
          <w:rFonts w:ascii="Arial" w:hAnsi="Arial" w:cs="Arial"/>
          <w:szCs w:val="20"/>
        </w:rPr>
      </w:pPr>
      <w:r>
        <w:rPr>
          <w:rFonts w:cs="Arial" w:ascii="Arial" w:hAnsi="Arial"/>
          <w:szCs w:val="20"/>
        </w:rPr>
        <w:t>The result is scientifically useful rather than a failure. Neural networks are not guaranteed to dominate medium-dimensional tabular data, especially when randomized trees capture categorical regimes and threshold-like relationships effectively. The Lightning MLP reported a lower RMSE but a higher MAE than final ExtraTrees; a controlled same-split comparison is required before declaring one model family more accurate overall.</w:t>
      </w:r>
    </w:p>
    <w:p>
      <w:pPr>
        <w:pStyle w:val="Normal"/>
        <w:jc w:val="both"/>
        <w:rPr>
          <w:rFonts w:ascii="Arial" w:hAnsi="Arial" w:cs="Arial"/>
          <w:szCs w:val="20"/>
        </w:rPr>
      </w:pPr>
      <w:r>
        <w:rPr>
          <w:rFonts w:cs="Arial" w:ascii="Arial" w:hAnsi="Arial"/>
          <w:szCs w:val="20"/>
        </w:rPr>
      </w:r>
    </w:p>
    <w:p>
      <w:pPr>
        <w:pStyle w:val="Heading1"/>
        <w:widowControl/>
        <w:suppressAutoHyphens w:val="true"/>
        <w:bidi w:val="0"/>
        <w:spacing w:lineRule="auto" w:line="276"/>
        <w:ind w:hanging="0" w:start="0"/>
        <w:jc w:val="both"/>
        <w:rPr/>
      </w:pPr>
      <w:r>
        <w:rPr>
          <w:rFonts w:cs="Arial" w:ascii="Arial" w:hAnsi="Arial"/>
          <w:b/>
          <w:szCs w:val="20"/>
        </w:rPr>
        <w:t xml:space="preserve">6. Final evaluation and model </w:t>
      </w:r>
      <w:r>
        <w:rPr>
          <w:rFonts w:cs="Arial" w:ascii="Arial" w:hAnsi="Arial"/>
          <w:kern w:val="0"/>
          <w:szCs w:val="20"/>
          <w:lang w:val="en-US" w:eastAsia="en-US" w:bidi="ar-SA"/>
        </w:rPr>
        <w:t>choice</w:t>
      </w:r>
    </w:p>
    <w:p>
      <w:pPr>
        <w:pStyle w:val="Normal"/>
        <w:jc w:val="both"/>
        <w:rPr>
          <w:rFonts w:ascii="Arial" w:hAnsi="Arial" w:cs="Arial"/>
          <w:szCs w:val="20"/>
        </w:rPr>
      </w:pPr>
      <w:r>
        <w:rPr>
          <w:rFonts w:cs="Arial" w:ascii="Arial" w:hAnsi="Arial"/>
          <w:szCs w:val="20"/>
        </w:rPr>
        <w:t>The final model was set to be the ExtraTreesRegressor model after a 20 iteration randomized search cross validation:</w:t>
      </w:r>
    </w:p>
    <w:tbl>
      <w:tblPr>
        <w:tblW w:w="5000" w:type="pct"/>
        <w:jc w:val="start"/>
        <w:tblInd w:w="-5" w:type="dxa"/>
        <w:tblLayout w:type="fixed"/>
        <w:tblCellMar>
          <w:top w:w="0" w:type="dxa"/>
          <w:start w:w="108" w:type="dxa"/>
          <w:bottom w:w="0" w:type="dxa"/>
          <w:end w:w="108" w:type="dxa"/>
        </w:tblCellMar>
      </w:tblPr>
      <w:tblGrid>
        <w:gridCol w:w="1440"/>
        <w:gridCol w:w="1437"/>
        <w:gridCol w:w="1442"/>
        <w:gridCol w:w="1441"/>
        <w:gridCol w:w="1439"/>
        <w:gridCol w:w="1441"/>
      </w:tblGrid>
      <w:tr>
        <w:trPr/>
        <w:tc>
          <w:tcPr>
            <w:tcW w:w="1440" w:type="dxa"/>
            <w:tcBorders>
              <w:top w:val="single" w:sz="4" w:space="0" w:color="000000"/>
              <w:start w:val="single" w:sz="4" w:space="0" w:color="000000"/>
              <w:bottom w:val="single" w:sz="4" w:space="0" w:color="000000"/>
            </w:tcBorders>
            <w:shd w:fill="D9EAF7" w:val="clear"/>
            <w:vAlign w:val="center"/>
          </w:tcPr>
          <w:p>
            <w:pPr>
              <w:pStyle w:val="Normal"/>
              <w:suppressAutoHyphens w:val="true"/>
              <w:bidi w:val="0"/>
              <w:spacing w:lineRule="auto" w:line="240" w:before="0" w:after="0"/>
              <w:jc w:val="center"/>
              <w:rPr>
                <w:rFonts w:eastAsia="ＭＳ 明朝"/>
                <w:b/>
              </w:rPr>
            </w:pPr>
            <w:r>
              <w:rPr>
                <w:rFonts w:eastAsia="ＭＳ 明朝"/>
                <w:b/>
              </w:rPr>
              <w:t>model</w:t>
            </w:r>
          </w:p>
        </w:tc>
        <w:tc>
          <w:tcPr>
            <w:tcW w:w="1437" w:type="dxa"/>
            <w:tcBorders>
              <w:top w:val="single" w:sz="4" w:space="0" w:color="000000"/>
              <w:start w:val="single" w:sz="4" w:space="0" w:color="000000"/>
              <w:bottom w:val="single" w:sz="4" w:space="0" w:color="000000"/>
            </w:tcBorders>
            <w:shd w:fill="D9EAF7" w:val="clear"/>
            <w:vAlign w:val="center"/>
          </w:tcPr>
          <w:p>
            <w:pPr>
              <w:pStyle w:val="Normal"/>
              <w:suppressAutoHyphens w:val="true"/>
              <w:bidi w:val="0"/>
              <w:spacing w:lineRule="auto" w:line="240" w:before="0" w:after="0"/>
              <w:jc w:val="center"/>
              <w:rPr>
                <w:rFonts w:eastAsia="ＭＳ 明朝"/>
                <w:b/>
              </w:rPr>
            </w:pPr>
            <w:r>
              <w:rPr>
                <w:rFonts w:eastAsia="ＭＳ 明朝"/>
                <w:b/>
              </w:rPr>
              <w:t>Best cv rmse</w:t>
            </w:r>
          </w:p>
        </w:tc>
        <w:tc>
          <w:tcPr>
            <w:tcW w:w="1442" w:type="dxa"/>
            <w:tcBorders>
              <w:top w:val="single" w:sz="4" w:space="0" w:color="000000"/>
              <w:start w:val="single" w:sz="4" w:space="0" w:color="000000"/>
              <w:bottom w:val="single" w:sz="4" w:space="0" w:color="000000"/>
            </w:tcBorders>
            <w:shd w:fill="D9EAF7" w:val="clear"/>
            <w:vAlign w:val="center"/>
          </w:tcPr>
          <w:p>
            <w:pPr>
              <w:pStyle w:val="Normal"/>
              <w:suppressAutoHyphens w:val="true"/>
              <w:bidi w:val="0"/>
              <w:spacing w:lineRule="auto" w:line="240" w:before="0" w:after="0"/>
              <w:jc w:val="center"/>
              <w:rPr>
                <w:rFonts w:eastAsia="ＭＳ 明朝"/>
                <w:b/>
              </w:rPr>
            </w:pPr>
            <w:r>
              <w:rPr>
                <w:rFonts w:eastAsia="ＭＳ 明朝"/>
                <w:b/>
              </w:rPr>
              <w:t>Validation mae</w:t>
            </w:r>
          </w:p>
        </w:tc>
        <w:tc>
          <w:tcPr>
            <w:tcW w:w="1441" w:type="dxa"/>
            <w:tcBorders>
              <w:top w:val="single" w:sz="4" w:space="0" w:color="000000"/>
              <w:start w:val="single" w:sz="4" w:space="0" w:color="000000"/>
              <w:bottom w:val="single" w:sz="4" w:space="0" w:color="000000"/>
            </w:tcBorders>
            <w:shd w:fill="D9EAF7" w:val="clear"/>
            <w:vAlign w:val="center"/>
          </w:tcPr>
          <w:p>
            <w:pPr>
              <w:pStyle w:val="Normal"/>
              <w:suppressAutoHyphens w:val="true"/>
              <w:bidi w:val="0"/>
              <w:spacing w:lineRule="auto" w:line="240" w:before="0" w:after="0"/>
              <w:jc w:val="center"/>
              <w:rPr>
                <w:rFonts w:eastAsia="ＭＳ 明朝"/>
                <w:b/>
              </w:rPr>
            </w:pPr>
            <w:r>
              <w:rPr>
                <w:rFonts w:eastAsia="ＭＳ 明朝"/>
                <w:b/>
              </w:rPr>
              <w:t>Validation rmse</w:t>
            </w:r>
          </w:p>
        </w:tc>
        <w:tc>
          <w:tcPr>
            <w:tcW w:w="1439" w:type="dxa"/>
            <w:tcBorders>
              <w:top w:val="single" w:sz="4" w:space="0" w:color="000000"/>
              <w:start w:val="single" w:sz="4" w:space="0" w:color="000000"/>
              <w:bottom w:val="single" w:sz="4" w:space="0" w:color="000000"/>
            </w:tcBorders>
            <w:shd w:fill="D9EAF7" w:val="clear"/>
            <w:vAlign w:val="center"/>
          </w:tcPr>
          <w:p>
            <w:pPr>
              <w:pStyle w:val="Normal"/>
              <w:suppressAutoHyphens w:val="true"/>
              <w:bidi w:val="0"/>
              <w:spacing w:lineRule="auto" w:line="240" w:before="0" w:after="0"/>
              <w:jc w:val="center"/>
              <w:rPr>
                <w:rFonts w:eastAsia="ＭＳ 明朝"/>
                <w:b/>
              </w:rPr>
            </w:pPr>
            <w:r>
              <w:rPr>
                <w:rFonts w:eastAsia="ＭＳ 明朝"/>
                <w:b/>
              </w:rPr>
              <w:t>Validation r2</w:t>
            </w:r>
          </w:p>
        </w:tc>
        <w:tc>
          <w:tcPr>
            <w:tcW w:w="1441"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bidi w:val="0"/>
              <w:spacing w:lineRule="auto" w:line="240" w:before="0" w:after="0"/>
              <w:jc w:val="center"/>
              <w:rPr>
                <w:rFonts w:eastAsia="ＭＳ 明朝"/>
                <w:b/>
              </w:rPr>
            </w:pPr>
            <w:r>
              <w:rPr>
                <w:rFonts w:eastAsia="ＭＳ 明朝"/>
                <w:b/>
              </w:rPr>
              <w:t>best_params</w:t>
            </w:r>
          </w:p>
        </w:tc>
      </w:tr>
      <w:tr>
        <w:trPr/>
        <w:tc>
          <w:tcPr>
            <w:tcW w:w="1440"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bidi w:val="0"/>
              <w:rPr>
                <w:b/>
                <w:bCs/>
              </w:rPr>
            </w:pPr>
            <w:r>
              <w:rPr>
                <w:b/>
                <w:bCs/>
              </w:rPr>
              <w:t>ExtraTrees</w:t>
            </w:r>
          </w:p>
          <w:p>
            <w:pPr>
              <w:pStyle w:val="TableContents"/>
              <w:bidi w:val="0"/>
              <w:spacing w:before="0" w:after="200"/>
              <w:rPr>
                <w:b w:val="false"/>
                <w:bCs w:val="false"/>
              </w:rPr>
            </w:pPr>
            <w:r>
              <w:rPr>
                <w:b w:val="false"/>
                <w:bCs w:val="false"/>
              </w:rPr>
            </w:r>
          </w:p>
        </w:tc>
        <w:tc>
          <w:tcPr>
            <w:tcW w:w="143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7.2341</w:t>
            </w:r>
          </w:p>
        </w:tc>
        <w:tc>
          <w:tcPr>
            <w:tcW w:w="1442"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4.5150</w:t>
            </w:r>
          </w:p>
        </w:tc>
        <w:tc>
          <w:tcPr>
            <w:tcW w:w="144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6.6267</w:t>
            </w:r>
          </w:p>
        </w:tc>
        <w:tc>
          <w:tcPr>
            <w:tcW w:w="1439"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0.9838</w:t>
            </w:r>
          </w:p>
        </w:tc>
        <w:tc>
          <w:tcPr>
            <w:tcW w:w="144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bidi w:val="0"/>
              <w:spacing w:before="0" w:after="200"/>
              <w:jc w:val="both"/>
              <w:rPr>
                <w:rFonts w:ascii="Arial" w:hAnsi="Arial" w:cs="Arial"/>
                <w:szCs w:val="20"/>
              </w:rPr>
            </w:pPr>
            <w:r>
              <w:rPr>
                <w:rFonts w:cs="Arial" w:ascii="Arial" w:hAnsi="Arial"/>
                <w:szCs w:val="20"/>
              </w:rPr>
              <w:t>{'max_depth': None, 'max_features': 0.82680517164919, 'min_samples_leaf': 3, 'min_samples_split': 2, 'n_estimators': 678}</w:t>
            </w:r>
          </w:p>
        </w:tc>
      </w:tr>
      <w:tr>
        <w:trPr/>
        <w:tc>
          <w:tcPr>
            <w:tcW w:w="1440"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bidi w:val="0"/>
              <w:spacing w:before="0" w:after="200"/>
              <w:rPr>
                <w:b/>
                <w:bCs/>
              </w:rPr>
            </w:pPr>
            <w:r>
              <w:rPr>
                <w:b/>
                <w:bCs/>
              </w:rPr>
              <w:t>RandomForest</w:t>
            </w:r>
          </w:p>
        </w:tc>
        <w:tc>
          <w:tcPr>
            <w:tcW w:w="143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7.4048</w:t>
            </w:r>
          </w:p>
        </w:tc>
        <w:tc>
          <w:tcPr>
            <w:tcW w:w="1442"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5.0432</w:t>
            </w:r>
          </w:p>
        </w:tc>
        <w:tc>
          <w:tcPr>
            <w:tcW w:w="144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7.3651</w:t>
            </w:r>
          </w:p>
        </w:tc>
        <w:tc>
          <w:tcPr>
            <w:tcW w:w="1439"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0.9799</w:t>
            </w:r>
          </w:p>
        </w:tc>
        <w:tc>
          <w:tcPr>
            <w:tcW w:w="144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bidi w:val="0"/>
              <w:spacing w:before="0" w:after="200"/>
              <w:jc w:val="both"/>
              <w:rPr>
                <w:rFonts w:ascii="Arial" w:hAnsi="Arial" w:cs="Arial"/>
                <w:szCs w:val="20"/>
              </w:rPr>
            </w:pPr>
            <w:r>
              <w:rPr>
                <w:rFonts w:cs="Arial" w:ascii="Arial" w:hAnsi="Arial"/>
                <w:szCs w:val="20"/>
              </w:rPr>
              <w:t>{'max_depth': 25, 'max_features': 0.41235069657748147, 'min_samples_leaf': 2, 'min_samples_split': 9, 'n_estimators': 791}</w:t>
            </w:r>
          </w:p>
        </w:tc>
      </w:tr>
    </w:tbl>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t>The 2025 test set contains both familiar and new technical configurations. After retraining on the combined 2024 development data, 83.73% of 2025 rows shared an exact core configuration with the 2024 data, while 16.27% were unseen. Consequently, the overall test score should not be interpreted as pure generalization to entirely new vehicle designs; subgroup reporting for seen versus unseen configurations was investigated.</w:t>
      </w:r>
    </w:p>
    <w:tbl>
      <w:tblPr>
        <w:tblW w:w="5000" w:type="pct"/>
        <w:jc w:val="start"/>
        <w:tblInd w:w="-5" w:type="dxa"/>
        <w:tblLayout w:type="fixed"/>
        <w:tblCellMar>
          <w:top w:w="0" w:type="dxa"/>
          <w:start w:w="108" w:type="dxa"/>
          <w:bottom w:w="0" w:type="dxa"/>
          <w:end w:w="108" w:type="dxa"/>
        </w:tblCellMar>
      </w:tblPr>
      <w:tblGrid>
        <w:gridCol w:w="2845"/>
        <w:gridCol w:w="1270"/>
        <w:gridCol w:w="1441"/>
        <w:gridCol w:w="1533"/>
        <w:gridCol w:w="1551"/>
      </w:tblGrid>
      <w:tr>
        <w:trPr>
          <w:trHeight w:val="317" w:hRule="exact"/>
        </w:trPr>
        <w:tc>
          <w:tcPr>
            <w:tcW w:w="2845"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Subset</w:t>
            </w:r>
          </w:p>
        </w:tc>
        <w:tc>
          <w:tcPr>
            <w:tcW w:w="1270"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Rows</w:t>
            </w:r>
          </w:p>
        </w:tc>
        <w:tc>
          <w:tcPr>
            <w:tcW w:w="1441"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MAE (g/km)</w:t>
            </w:r>
          </w:p>
        </w:tc>
        <w:tc>
          <w:tcPr>
            <w:tcW w:w="1533"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RMSE (g/km)</w:t>
            </w:r>
          </w:p>
        </w:tc>
        <w:tc>
          <w:tcPr>
            <w:tcW w:w="1551"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R²</w:t>
            </w:r>
          </w:p>
        </w:tc>
      </w:tr>
      <w:tr>
        <w:trPr>
          <w:trHeight w:val="317" w:hRule="exact"/>
        </w:trPr>
        <w:tc>
          <w:tcPr>
            <w:tcW w:w="284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szCs w:val="20"/>
              </w:rPr>
            </w:pPr>
            <w:r>
              <w:rPr>
                <w:rFonts w:cs="Arial" w:ascii="Arial" w:hAnsi="Arial"/>
                <w:szCs w:val="20"/>
              </w:rPr>
              <w:t>All 2025 records</w:t>
            </w:r>
          </w:p>
        </w:tc>
        <w:tc>
          <w:tcPr>
            <w:tcW w:w="1270"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szCs w:val="20"/>
              </w:rPr>
            </w:pPr>
            <w:r>
              <w:rPr>
                <w:rFonts w:cs="Arial" w:ascii="Arial" w:hAnsi="Arial"/>
                <w:szCs w:val="20"/>
              </w:rPr>
              <w:t>14,735</w:t>
            </w:r>
          </w:p>
        </w:tc>
        <w:tc>
          <w:tcPr>
            <w:tcW w:w="144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szCs w:val="20"/>
              </w:rPr>
            </w:pPr>
            <w:r>
              <w:rPr>
                <w:rFonts w:cs="Arial" w:ascii="Arial" w:hAnsi="Arial"/>
                <w:szCs w:val="20"/>
              </w:rPr>
              <w:t>5.0343</w:t>
            </w:r>
          </w:p>
        </w:tc>
        <w:tc>
          <w:tcPr>
            <w:tcW w:w="1533"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szCs w:val="20"/>
              </w:rPr>
            </w:pPr>
            <w:r>
              <w:rPr>
                <w:rFonts w:cs="Arial" w:ascii="Arial" w:hAnsi="Arial"/>
                <w:szCs w:val="20"/>
              </w:rPr>
              <w:t>10.5761</w:t>
            </w:r>
          </w:p>
        </w:tc>
        <w:tc>
          <w:tcPr>
            <w:tcW w:w="155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szCs w:val="20"/>
              </w:rPr>
            </w:pPr>
            <w:r>
              <w:rPr>
                <w:rFonts w:cs="Arial" w:ascii="Arial" w:hAnsi="Arial"/>
                <w:szCs w:val="20"/>
              </w:rPr>
              <w:t>0.9625</w:t>
            </w:r>
          </w:p>
        </w:tc>
      </w:tr>
      <w:tr>
        <w:trPr>
          <w:trHeight w:val="317" w:hRule="exact"/>
        </w:trPr>
        <w:tc>
          <w:tcPr>
            <w:tcW w:w="284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szCs w:val="20"/>
              </w:rPr>
            </w:pPr>
            <w:r>
              <w:rPr>
                <w:rFonts w:cs="Arial" w:ascii="Arial" w:hAnsi="Arial"/>
                <w:szCs w:val="20"/>
              </w:rPr>
              <w:t>Seen core configurations</w:t>
            </w:r>
          </w:p>
        </w:tc>
        <w:tc>
          <w:tcPr>
            <w:tcW w:w="1270"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szCs w:val="20"/>
              </w:rPr>
            </w:pPr>
            <w:r>
              <w:rPr>
                <w:rFonts w:cs="Arial" w:ascii="Arial" w:hAnsi="Arial"/>
                <w:szCs w:val="20"/>
              </w:rPr>
              <w:t>12,337</w:t>
            </w:r>
          </w:p>
        </w:tc>
        <w:tc>
          <w:tcPr>
            <w:tcW w:w="144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szCs w:val="20"/>
              </w:rPr>
            </w:pPr>
            <w:r>
              <w:rPr>
                <w:rFonts w:cs="Arial" w:ascii="Arial" w:hAnsi="Arial"/>
                <w:szCs w:val="20"/>
              </w:rPr>
              <w:t>3.8755</w:t>
            </w:r>
          </w:p>
        </w:tc>
        <w:tc>
          <w:tcPr>
            <w:tcW w:w="1533"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szCs w:val="20"/>
              </w:rPr>
            </w:pPr>
            <w:r>
              <w:rPr>
                <w:rFonts w:cs="Arial" w:ascii="Arial" w:hAnsi="Arial"/>
                <w:szCs w:val="20"/>
              </w:rPr>
              <w:t>8.6901</w:t>
            </w:r>
          </w:p>
        </w:tc>
        <w:tc>
          <w:tcPr>
            <w:tcW w:w="155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szCs w:val="20"/>
              </w:rPr>
            </w:pPr>
            <w:r>
              <w:rPr>
                <w:rFonts w:cs="Arial" w:ascii="Arial" w:hAnsi="Arial"/>
                <w:szCs w:val="20"/>
              </w:rPr>
              <w:t>0.9733</w:t>
            </w:r>
          </w:p>
        </w:tc>
      </w:tr>
      <w:tr>
        <w:trPr>
          <w:trHeight w:val="317" w:hRule="exact"/>
        </w:trPr>
        <w:tc>
          <w:tcPr>
            <w:tcW w:w="284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szCs w:val="20"/>
              </w:rPr>
            </w:pPr>
            <w:r>
              <w:rPr>
                <w:rFonts w:cs="Arial" w:ascii="Arial" w:hAnsi="Arial"/>
                <w:szCs w:val="20"/>
              </w:rPr>
              <w:t>Unseen core configurations</w:t>
            </w:r>
          </w:p>
        </w:tc>
        <w:tc>
          <w:tcPr>
            <w:tcW w:w="1270"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szCs w:val="20"/>
              </w:rPr>
            </w:pPr>
            <w:r>
              <w:rPr>
                <w:rFonts w:cs="Arial" w:ascii="Arial" w:hAnsi="Arial"/>
                <w:szCs w:val="20"/>
              </w:rPr>
              <w:t>2,398</w:t>
            </w:r>
          </w:p>
        </w:tc>
        <w:tc>
          <w:tcPr>
            <w:tcW w:w="144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szCs w:val="20"/>
              </w:rPr>
            </w:pPr>
            <w:r>
              <w:rPr>
                <w:rFonts w:cs="Arial" w:ascii="Arial" w:hAnsi="Arial"/>
                <w:szCs w:val="20"/>
              </w:rPr>
              <w:t>10.9959</w:t>
            </w:r>
          </w:p>
        </w:tc>
        <w:tc>
          <w:tcPr>
            <w:tcW w:w="1533"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szCs w:val="20"/>
              </w:rPr>
            </w:pPr>
            <w:r>
              <w:rPr>
                <w:rFonts w:cs="Arial" w:ascii="Arial" w:hAnsi="Arial"/>
                <w:szCs w:val="20"/>
              </w:rPr>
              <w:t>17.2856</w:t>
            </w:r>
          </w:p>
        </w:tc>
        <w:tc>
          <w:tcPr>
            <w:tcW w:w="155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szCs w:val="20"/>
              </w:rPr>
            </w:pPr>
            <w:r>
              <w:rPr>
                <w:rFonts w:cs="Arial" w:ascii="Arial" w:hAnsi="Arial"/>
                <w:szCs w:val="20"/>
              </w:rPr>
              <w:t>0.9182</w:t>
            </w:r>
          </w:p>
        </w:tc>
      </w:tr>
    </w:tbl>
    <w:p>
      <w:pPr>
        <w:pStyle w:val="Normal"/>
        <w:jc w:val="both"/>
        <w:rPr>
          <w:rFonts w:ascii="Arial" w:hAnsi="Arial" w:cs="Arial"/>
          <w:b/>
          <w:szCs w:val="20"/>
        </w:rPr>
      </w:pPr>
      <w:r>
        <w:rPr>
          <w:rFonts w:cs="Arial" w:ascii="Arial" w:hAnsi="Arial"/>
          <w:b/>
          <w:szCs w:val="20"/>
        </w:rPr>
      </w:r>
    </w:p>
    <w:p>
      <w:pPr>
        <w:pStyle w:val="Normal"/>
        <w:jc w:val="both"/>
        <w:rPr>
          <w:rFonts w:ascii="Arial" w:hAnsi="Arial" w:cs="Arial"/>
          <w:szCs w:val="20"/>
        </w:rPr>
      </w:pPr>
      <w:r>
        <w:rPr>
          <w:rFonts w:cs="Arial" w:ascii="Arial" w:hAnsi="Arial"/>
          <w:szCs w:val="20"/>
        </w:rPr>
        <w:t>Permutation importance was calculated on the held-out 2025 temporal test set. For each feature, its values were randomly permuted ten times while keeping all other features unchanged. Importance was measured as the average increase in RMSE after permutation.</w:t>
      </w:r>
    </w:p>
    <w:tbl>
      <w:tblPr>
        <w:tblW w:w="8748" w:type="dxa"/>
        <w:jc w:val="start"/>
        <w:tblInd w:w="-104" w:type="dxa"/>
        <w:tblLayout w:type="fixed"/>
        <w:tblCellMar>
          <w:top w:w="0" w:type="dxa"/>
          <w:start w:w="108" w:type="dxa"/>
          <w:bottom w:w="0" w:type="dxa"/>
          <w:end w:w="108" w:type="dxa"/>
        </w:tblCellMar>
      </w:tblPr>
      <w:tblGrid>
        <w:gridCol w:w="4428"/>
        <w:gridCol w:w="4320"/>
      </w:tblGrid>
      <w:tr>
        <w:trPr>
          <w:trHeight w:val="20" w:hRule="atLeast"/>
        </w:trPr>
        <w:tc>
          <w:tcPr>
            <w:tcW w:w="4428"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Feature</w:t>
            </w:r>
          </w:p>
        </w:tc>
        <w:tc>
          <w:tcPr>
            <w:tcW w:w="4320"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RMSE increase (g/km)</w:t>
            </w:r>
          </w:p>
        </w:tc>
      </w:tr>
      <w:tr>
        <w:trPr>
          <w:trHeight w:val="20" w:hRule="atLeast"/>
        </w:trPr>
        <w:tc>
          <w:tcPr>
            <w:tcW w:w="4428" w:type="dxa"/>
            <w:tcBorders>
              <w:start w:val="single" w:sz="4" w:space="0" w:color="000000"/>
              <w:bottom w:val="single" w:sz="4" w:space="0" w:color="000000"/>
            </w:tcBorders>
          </w:tcPr>
          <w:p>
            <w:pPr>
              <w:pStyle w:val="TableContents"/>
              <w:spacing w:lineRule="auto" w:line="240" w:before="0" w:after="0"/>
              <w:jc w:val="center"/>
              <w:rPr>
                <w:rFonts w:ascii="Arial" w:hAnsi="Arial" w:cs="Arial"/>
                <w:szCs w:val="20"/>
              </w:rPr>
            </w:pPr>
            <w:r>
              <w:rPr>
                <w:rFonts w:cs="Arial" w:ascii="Arial" w:hAnsi="Arial"/>
                <w:szCs w:val="20"/>
              </w:rPr>
              <w:t>Electric range (km)</w:t>
            </w:r>
          </w:p>
        </w:tc>
        <w:tc>
          <w:tcPr>
            <w:tcW w:w="4320" w:type="dxa"/>
            <w:tcBorders>
              <w:start w:val="single" w:sz="4" w:space="0" w:color="000000"/>
              <w:bottom w:val="single" w:sz="4" w:space="0" w:color="000000"/>
              <w:end w:val="single" w:sz="4" w:space="0" w:color="000000"/>
            </w:tcBorders>
          </w:tcPr>
          <w:p>
            <w:pPr>
              <w:pStyle w:val="TableContents"/>
              <w:spacing w:lineRule="auto" w:line="240" w:before="0" w:after="0"/>
              <w:jc w:val="center"/>
              <w:rPr>
                <w:rFonts w:ascii="Arial" w:hAnsi="Arial" w:cs="Arial"/>
                <w:szCs w:val="20"/>
              </w:rPr>
            </w:pPr>
            <w:r>
              <w:rPr>
                <w:rFonts w:cs="Arial" w:ascii="Arial" w:hAnsi="Arial"/>
                <w:szCs w:val="20"/>
              </w:rPr>
              <w:t>31.87</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Fm_P</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29.91</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m (kg)</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18.79</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ep (KW)</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12.97</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ec (cm3)</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6.05</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Fm_H</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2.56</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Fm_M</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1.82</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Ft_petrol</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0.90</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Ft_diesel</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0.71</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IT_29</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0.71</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IT_37</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szCs w:val="20"/>
              </w:rPr>
            </w:pPr>
            <w:r>
              <w:rPr>
                <w:rFonts w:cs="Arial" w:ascii="Arial" w:hAnsi="Arial"/>
                <w:szCs w:val="20"/>
              </w:rPr>
              <w:t>0.70</w:t>
            </w:r>
          </w:p>
        </w:tc>
      </w:tr>
    </w:tbl>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t>The model relied most strongly on `Electric range (km)`. Randomly permuting this feature increased test RMSE by 31.87 g/km, indicating that electric driving range contains substantial predictive information for WLTP CO₂ emissions.</w:t>
      </w:r>
    </w:p>
    <w:p>
      <w:pPr>
        <w:pStyle w:val="Normal"/>
        <w:jc w:val="both"/>
        <w:rPr>
          <w:rFonts w:ascii="Arial" w:hAnsi="Arial" w:cs="Arial"/>
          <w:szCs w:val="20"/>
        </w:rPr>
      </w:pPr>
      <w:r>
        <w:rPr>
          <w:rFonts w:cs="Arial" w:ascii="Arial" w:hAnsi="Arial"/>
          <w:szCs w:val="20"/>
        </w:rPr>
        <w:t>The next most important variable was `Fm_P`, which indicates the plug-in hybrid powertrain group and increased RMSE by 29.91 g/km when permuted. It is closely related to electric range, so the variables should be interpreted as a correlated PHEV feature group rather than as completely independent effects.</w:t>
      </w:r>
    </w:p>
    <w:p>
      <w:pPr>
        <w:pStyle w:val="Normal"/>
        <w:jc w:val="both"/>
        <w:rPr>
          <w:rFonts w:ascii="Arial" w:hAnsi="Arial" w:cs="Arial"/>
          <w:szCs w:val="20"/>
        </w:rPr>
      </w:pPr>
      <w:r>
        <w:rPr>
          <w:rFonts w:cs="Arial" w:ascii="Arial" w:hAnsi="Arial"/>
          <w:szCs w:val="20"/>
        </w:rPr>
        <w:t>Vehicle mass, engine power, and engine capacity also made substantial contributions. This indicates that the model uses physically meaningful vehicle specifications in addition to powertrain type and electric driving capability.</w:t>
      </w:r>
    </w:p>
    <w:p>
      <w:pPr>
        <w:pStyle w:val="Normal"/>
        <w:jc w:val="both"/>
        <w:rPr>
          <w:b w:val="false"/>
          <w:bCs w:val="false"/>
        </w:rPr>
      </w:pPr>
      <w:r>
        <w:rPr>
          <w:rFonts w:cs="Arial" w:ascii="Arial" w:hAnsi="Arial"/>
          <w:b w:val="false"/>
          <w:bCs w:val="false"/>
          <w:szCs w:val="20"/>
        </w:rPr>
        <w:t>`IT_38` had no measurable importance, while `Ft_diesel/electric` and `Ft_petrol/electric` had slightly negative importance, suggesting that they provided little incremental predictive value after the other features were included.</w:t>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b/>
          <w:bCs/>
          <w:szCs w:val="20"/>
        </w:rPr>
        <w:t>Actual vs. predicted CO2 Emissions:</w:t>
      </w:r>
    </w:p>
    <w:p>
      <w:pPr>
        <w:pStyle w:val="Normal"/>
        <w:jc w:val="both"/>
        <w:rPr>
          <w:rFonts w:ascii="Arial" w:hAnsi="Arial" w:cs="Arial"/>
          <w:szCs w:val="20"/>
        </w:rPr>
      </w:pPr>
      <w:r>
        <w:rPr>
          <w:rFonts w:cs="Arial" w:ascii="Arial" w:hAnsi="Arial"/>
          <w:szCs w:val="20"/>
        </w:rPr>
        <w:t xml:space="preserve"> </w:t>
      </w:r>
      <w:r>
        <w:drawing>
          <wp:anchor distT="0" distB="0" distL="0" distR="0" simplePos="0" relativeHeight="3" behindDoc="0" locked="0" layoutInCell="0" allowOverlap="1">
            <wp:simplePos x="0" y="0"/>
            <wp:positionH relativeFrom="column">
              <wp:align>center</wp:align>
            </wp:positionH>
            <wp:positionV relativeFrom="paragraph">
              <wp:posOffset>2540</wp:posOffset>
            </wp:positionV>
            <wp:extent cx="4915535" cy="3583940"/>
            <wp:effectExtent l="0" t="0" r="0" b="0"/>
            <wp:wrapSquare wrapText="largest"/>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pic:cNvPicPr>
                      <a:picLocks noChangeAspect="1" noChangeArrowheads="1"/>
                    </pic:cNvPicPr>
                  </pic:nvPicPr>
                  <pic:blipFill>
                    <a:blip r:embed="rId10"/>
                    <a:stretch>
                      <a:fillRect/>
                    </a:stretch>
                  </pic:blipFill>
                  <pic:spPr bwMode="auto">
                    <a:xfrm>
                      <a:off x="0" y="0"/>
                      <a:ext cx="4915535" cy="3583940"/>
                    </a:xfrm>
                    <a:prstGeom prst="rect">
                      <a:avLst/>
                    </a:prstGeom>
                    <a:noFill/>
                  </pic:spPr>
                </pic:pic>
              </a:graphicData>
            </a:graphic>
          </wp:anchor>
        </w:drawing>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t>Scatter plot compares the actual and predicted WLTP CO2 emissions for the 2025 temporal test set. The red dashed line represents perfect predictions, where the predicted value is equal to the actual value.</w:t>
      </w:r>
    </w:p>
    <w:p>
      <w:pPr>
        <w:pStyle w:val="Normal"/>
        <w:jc w:val="both"/>
        <w:rPr>
          <w:rFonts w:ascii="Arial" w:hAnsi="Arial" w:cs="Arial"/>
          <w:szCs w:val="20"/>
        </w:rPr>
      </w:pPr>
      <w:r>
        <w:rPr>
          <w:rFonts w:cs="Arial" w:ascii="Arial" w:hAnsi="Arial"/>
          <w:szCs w:val="20"/>
        </w:rPr>
        <w:t>Most observations are located close to the perfect-prediction line, indicating a strong overall agreement between the predicted and observed emissions. The model performs particularly well across the central portion of the target distribution and follows the general upward trend across increasing CO2 values.</w:t>
      </w:r>
    </w:p>
    <w:p>
      <w:pPr>
        <w:pStyle w:val="Normal"/>
        <w:jc w:val="both"/>
        <w:rPr>
          <w:rFonts w:ascii="Arial" w:hAnsi="Arial" w:cs="Arial"/>
          <w:szCs w:val="20"/>
        </w:rPr>
      </w:pPr>
      <w:r>
        <w:rPr>
          <w:rFonts w:cs="Arial" w:ascii="Arial" w:hAnsi="Arial"/>
          <w:szCs w:val="20"/>
        </w:rPr>
        <w:t>However, the plot also reveals several structured error patterns. In the low-emission range, approximately 20–100 g/km, a secondary group of predictions is located substantially below the perfect-prediction line. This indicates systematic under-prediction for some low-emission vehicles, potentially due to differences between plug-in hybrid and conventional powertrain configurations.</w:t>
      </w:r>
    </w:p>
    <w:p>
      <w:pPr>
        <w:pStyle w:val="Normal"/>
        <w:jc w:val="both"/>
        <w:rPr>
          <w:rFonts w:ascii="Arial" w:hAnsi="Arial" w:cs="Arial"/>
          <w:szCs w:val="20"/>
        </w:rPr>
      </w:pPr>
      <w:r>
        <w:rPr>
          <w:rFonts w:cs="Arial" w:ascii="Arial" w:hAnsi="Arial"/>
          <w:szCs w:val="20"/>
        </w:rPr>
        <w:t>The model also shows some under-prediction for a small number of high-emission vehicles, particularly in the upper tail of the distribution. These errors may be associated with rare high-performance or heavy vehicle configurations that are less represented in the training data.</w:t>
      </w:r>
    </w:p>
    <w:p>
      <w:pPr>
        <w:pStyle w:val="Normal"/>
        <w:jc w:val="both"/>
        <w:rPr>
          <w:rFonts w:ascii="Arial" w:hAnsi="Arial" w:cs="Arial"/>
          <w:szCs w:val="20"/>
        </w:rPr>
      </w:pPr>
      <w:r>
        <w:rPr>
          <w:rFonts w:cs="Arial" w:ascii="Arial" w:hAnsi="Arial"/>
          <w:szCs w:val="20"/>
        </w:rPr>
        <w:t>Overall, the plot confirms that the model captures the main relationship between vehicle specifications and WLTP CO2 emissions. Nevertheless, the remaining structured errors show that overall performance metrics should be complemented with seen-versus-unseen configuration analysis and subgroup-level error analysis.</w:t>
      </w:r>
    </w:p>
    <w:p>
      <w:pPr>
        <w:pStyle w:val="Normal"/>
        <w:jc w:val="both"/>
        <w:rPr>
          <w:rFonts w:ascii="Arial" w:hAnsi="Arial" w:cs="Arial"/>
          <w:b/>
          <w:bCs/>
          <w:szCs w:val="20"/>
        </w:rPr>
      </w:pPr>
      <w:r>
        <w:rPr>
          <w:rFonts w:cs="Arial" w:ascii="Arial" w:hAnsi="Arial"/>
          <w:b/>
          <w:bCs/>
          <w:szCs w:val="20"/>
        </w:rPr>
      </w:r>
    </w:p>
    <w:p>
      <w:pPr>
        <w:pStyle w:val="Normal"/>
        <w:jc w:val="both"/>
        <w:rPr>
          <w:rFonts w:ascii="Arial" w:hAnsi="Arial" w:cs="Arial"/>
          <w:b/>
          <w:bCs/>
          <w:szCs w:val="20"/>
        </w:rPr>
      </w:pPr>
      <w:r>
        <w:rPr>
          <w:rFonts w:cs="Arial" w:ascii="Arial" w:hAnsi="Arial"/>
          <w:b/>
          <w:bCs/>
          <w:szCs w:val="20"/>
        </w:rPr>
      </w:r>
    </w:p>
    <w:p>
      <w:pPr>
        <w:pStyle w:val="Normal"/>
        <w:jc w:val="both"/>
        <w:rPr>
          <w:rFonts w:ascii="Arial" w:hAnsi="Arial" w:cs="Arial"/>
          <w:b/>
          <w:bCs/>
          <w:szCs w:val="20"/>
        </w:rPr>
      </w:pPr>
      <w:r>
        <w:rPr>
          <w:rFonts w:cs="Arial" w:ascii="Arial" w:hAnsi="Arial"/>
          <w:b/>
          <w:bCs/>
          <w:szCs w:val="20"/>
        </w:rPr>
        <w:t>Residual Analysis:</w:t>
      </w:r>
    </w:p>
    <w:p>
      <w:pPr>
        <w:pStyle w:val="Normal"/>
        <w:jc w:val="both"/>
        <w:rPr>
          <w:rFonts w:ascii="Arial" w:hAnsi="Arial" w:cs="Arial"/>
          <w:szCs w:val="20"/>
        </w:rPr>
      </w:pPr>
      <w:r>
        <w:rPr>
          <w:rFonts w:cs="Arial" w:ascii="Arial" w:hAnsi="Arial"/>
          <w:szCs w:val="20"/>
        </w:rPr>
        <w:t xml:space="preserve">Residuals were defined as: </w:t>
      </w:r>
      <w:r>
        <w:rPr>
          <w:rFonts w:cs="Arial" w:ascii="Arial" w:hAnsi="Arial"/>
          <w:b/>
          <w:bCs/>
          <w:szCs w:val="20"/>
        </w:rPr>
        <w:t>residual=actual CO2−predicted CO2</w:t>
      </w:r>
    </w:p>
    <w:p>
      <w:pPr>
        <w:pStyle w:val="Normal"/>
        <w:jc w:val="both"/>
        <w:rPr>
          <w:rFonts w:ascii="Arial" w:hAnsi="Arial" w:cs="Arial"/>
          <w:szCs w:val="20"/>
        </w:rPr>
      </w:pPr>
      <w:r>
        <w:rPr>
          <w:rFonts w:cs="Arial" w:ascii="Arial" w:hAnsi="Arial"/>
          <w:szCs w:val="20"/>
        </w:rPr>
        <w:t>Therefore, positive residuals indicate underprediction, while negative residuals indicate overprediction.</w:t>
      </w:r>
    </w:p>
    <w:tbl>
      <w:tblPr>
        <w:tblW w:w="5000" w:type="pct"/>
        <w:jc w:val="start"/>
        <w:tblInd w:w="-5" w:type="dxa"/>
        <w:tblLayout w:type="fixed"/>
        <w:tblCellMar>
          <w:top w:w="58" w:type="dxa"/>
          <w:start w:w="58" w:type="dxa"/>
          <w:bottom w:w="58" w:type="dxa"/>
          <w:end w:w="58" w:type="dxa"/>
        </w:tblCellMar>
      </w:tblPr>
      <w:tblGrid>
        <w:gridCol w:w="4319"/>
        <w:gridCol w:w="4321"/>
      </w:tblGrid>
      <w:tr>
        <w:trPr/>
        <w:tc>
          <w:tcPr>
            <w:tcW w:w="4319"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szCs w:val="20"/>
              </w:rPr>
            </w:pPr>
            <w:r>
              <w:rPr>
                <w:rFonts w:cs="Arial" w:ascii="Arial" w:hAnsi="Arial"/>
                <w:b/>
                <w:bCs/>
                <w:szCs w:val="20"/>
              </w:rPr>
              <w:t xml:space="preserve">Residual definition: </w:t>
            </w:r>
            <w:r>
              <w:rPr>
                <w:rFonts w:cs="Arial" w:ascii="Arial" w:hAnsi="Arial"/>
                <w:szCs w:val="20"/>
              </w:rPr>
              <w:t>actual – predicted</w:t>
            </w:r>
          </w:p>
          <w:p>
            <w:pPr>
              <w:pStyle w:val="Normal"/>
              <w:jc w:val="both"/>
              <w:rPr>
                <w:rFonts w:ascii="Arial" w:hAnsi="Arial" w:cs="Arial"/>
                <w:szCs w:val="20"/>
              </w:rPr>
            </w:pPr>
            <w:r>
              <w:rPr>
                <w:rFonts w:cs="Arial" w:ascii="Arial" w:hAnsi="Arial"/>
                <w:szCs w:val="20"/>
              </w:rPr>
              <w:t>Residual min: -46.75555434124311</w:t>
            </w:r>
          </w:p>
          <w:p>
            <w:pPr>
              <w:pStyle w:val="Normal"/>
              <w:jc w:val="both"/>
              <w:rPr>
                <w:rFonts w:ascii="Arial" w:hAnsi="Arial" w:cs="Arial"/>
                <w:szCs w:val="20"/>
              </w:rPr>
            </w:pPr>
            <w:r>
              <w:rPr>
                <w:rFonts w:cs="Arial" w:ascii="Arial" w:hAnsi="Arial"/>
                <w:szCs w:val="20"/>
              </w:rPr>
              <w:t>Residual max: 141.1191181349199</w:t>
            </w:r>
          </w:p>
          <w:p>
            <w:pPr>
              <w:pStyle w:val="Normal"/>
              <w:jc w:val="both"/>
              <w:rPr>
                <w:rFonts w:ascii="Arial" w:hAnsi="Arial" w:cs="Arial"/>
                <w:szCs w:val="20"/>
              </w:rPr>
            </w:pPr>
            <w:r>
              <w:rPr>
                <w:rFonts w:cs="Arial" w:ascii="Arial" w:hAnsi="Arial"/>
                <w:szCs w:val="20"/>
              </w:rPr>
              <w:t>Residual mean: 1.1253470707936255</w:t>
            </w:r>
          </w:p>
          <w:p>
            <w:pPr>
              <w:pStyle w:val="Normal"/>
              <w:jc w:val="both"/>
              <w:rPr>
                <w:rFonts w:ascii="Arial" w:hAnsi="Arial" w:cs="Arial"/>
                <w:szCs w:val="20"/>
              </w:rPr>
            </w:pPr>
            <w:r>
              <w:rPr>
                <w:rFonts w:cs="Arial" w:ascii="Arial" w:hAnsi="Arial"/>
                <w:szCs w:val="20"/>
              </w:rPr>
              <w:t>Residual median: -0.13240116693857829</w:t>
            </w:r>
          </w:p>
          <w:p>
            <w:pPr>
              <w:pStyle w:val="Normal"/>
              <w:spacing w:before="0" w:after="200"/>
              <w:jc w:val="both"/>
              <w:rPr>
                <w:rFonts w:ascii="Arial" w:hAnsi="Arial" w:cs="Arial"/>
                <w:szCs w:val="20"/>
              </w:rPr>
            </w:pPr>
            <w:r>
              <w:rPr>
                <w:rFonts w:cs="Arial" w:ascii="Arial" w:hAnsi="Arial"/>
                <w:szCs w:val="20"/>
              </w:rPr>
            </w:r>
          </w:p>
        </w:tc>
        <w:tc>
          <w:tcPr>
            <w:tcW w:w="4321" w:type="dxa"/>
            <w:tcBorders>
              <w:top w:val="single" w:sz="4" w:space="0" w:color="000000"/>
              <w:start w:val="single" w:sz="4" w:space="0" w:color="000000"/>
              <w:bottom w:val="single" w:sz="4" w:space="0" w:color="000000"/>
              <w:end w:val="single" w:sz="4" w:space="0" w:color="000000"/>
            </w:tcBorders>
          </w:tcPr>
          <w:p>
            <w:pPr>
              <w:pStyle w:val="Normal"/>
              <w:jc w:val="start"/>
              <w:rPr>
                <w:rFonts w:ascii="Arial" w:hAnsi="Arial" w:cs="Arial"/>
                <w:b/>
                <w:bCs/>
                <w:szCs w:val="20"/>
              </w:rPr>
            </w:pPr>
            <w:r>
              <w:rPr>
                <w:rFonts w:cs="Arial" w:ascii="Arial" w:hAnsi="Arial"/>
                <w:b/>
                <w:bCs/>
                <w:szCs w:val="20"/>
              </w:rPr>
              <w:t>Largest positive residual:</w:t>
              <w:br/>
            </w:r>
            <w:r>
              <w:rPr>
                <w:rFonts w:cs="Arial" w:ascii="Arial" w:hAnsi="Arial"/>
                <w:b w:val="false"/>
                <w:bCs w:val="false"/>
                <w:szCs w:val="20"/>
              </w:rPr>
              <w:t>Actual: 350.0</w:t>
            </w:r>
          </w:p>
          <w:p>
            <w:pPr>
              <w:pStyle w:val="Normal"/>
              <w:jc w:val="both"/>
              <w:rPr>
                <w:rFonts w:ascii="Arial" w:hAnsi="Arial" w:cs="Arial"/>
                <w:b/>
                <w:bCs/>
                <w:szCs w:val="20"/>
              </w:rPr>
            </w:pPr>
            <w:r>
              <w:rPr>
                <w:rFonts w:cs="Arial" w:ascii="Arial" w:hAnsi="Arial"/>
                <w:b w:val="false"/>
                <w:bCs w:val="false"/>
                <w:szCs w:val="20"/>
              </w:rPr>
              <w:t>Predicted: 208.8808818650801</w:t>
            </w:r>
          </w:p>
          <w:p>
            <w:pPr>
              <w:pStyle w:val="Normal"/>
              <w:jc w:val="both"/>
              <w:rPr>
                <w:rFonts w:ascii="Arial" w:hAnsi="Arial" w:cs="Arial"/>
                <w:b/>
                <w:bCs/>
                <w:szCs w:val="20"/>
              </w:rPr>
            </w:pPr>
            <w:r>
              <w:rPr>
                <w:rFonts w:cs="Arial" w:ascii="Arial" w:hAnsi="Arial"/>
                <w:b w:val="false"/>
                <w:bCs w:val="false"/>
                <w:szCs w:val="20"/>
              </w:rPr>
              <w:t>Residual: 141.1191181349199</w:t>
            </w:r>
          </w:p>
          <w:p>
            <w:pPr>
              <w:pStyle w:val="Normal"/>
              <w:jc w:val="start"/>
              <w:rPr>
                <w:rFonts w:ascii="Arial" w:hAnsi="Arial" w:cs="Arial"/>
                <w:b/>
                <w:bCs/>
                <w:szCs w:val="20"/>
              </w:rPr>
            </w:pPr>
            <w:r>
              <w:rPr>
                <w:rFonts w:cs="Arial" w:ascii="Arial" w:hAnsi="Arial"/>
                <w:b/>
                <w:bCs/>
                <w:szCs w:val="20"/>
              </w:rPr>
              <w:t>Largest negative residual:</w:t>
              <w:br/>
            </w:r>
            <w:r>
              <w:rPr>
                <w:rFonts w:cs="Arial" w:ascii="Arial" w:hAnsi="Arial"/>
                <w:b w:val="false"/>
                <w:bCs w:val="false"/>
                <w:szCs w:val="20"/>
              </w:rPr>
              <w:t>Actual: 263.0</w:t>
            </w:r>
          </w:p>
          <w:p>
            <w:pPr>
              <w:pStyle w:val="Normal"/>
              <w:jc w:val="both"/>
              <w:rPr>
                <w:rFonts w:ascii="Arial" w:hAnsi="Arial" w:cs="Arial"/>
                <w:b/>
                <w:bCs/>
                <w:szCs w:val="20"/>
              </w:rPr>
            </w:pPr>
            <w:r>
              <w:rPr>
                <w:rFonts w:cs="Arial" w:ascii="Arial" w:hAnsi="Arial"/>
                <w:b w:val="false"/>
                <w:bCs w:val="false"/>
                <w:szCs w:val="20"/>
              </w:rPr>
              <w:t>Predicted: 309.7555543412431</w:t>
            </w:r>
          </w:p>
          <w:p>
            <w:pPr>
              <w:pStyle w:val="Normal"/>
              <w:spacing w:before="0" w:after="200"/>
              <w:jc w:val="both"/>
              <w:rPr>
                <w:rFonts w:ascii="Arial" w:hAnsi="Arial" w:cs="Arial"/>
                <w:b/>
                <w:bCs/>
                <w:szCs w:val="20"/>
              </w:rPr>
            </w:pPr>
            <w:r>
              <w:rPr>
                <w:rFonts w:cs="Arial" w:ascii="Arial" w:hAnsi="Arial"/>
                <w:b w:val="false"/>
                <w:bCs w:val="false"/>
                <w:szCs w:val="20"/>
              </w:rPr>
              <w:t>Residual: -46.75555434124311</w:t>
            </w:r>
          </w:p>
        </w:tc>
      </w:tr>
    </w:tbl>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t>The residual distribution showed limited overall bias:</w:t>
      </w:r>
    </w:p>
    <w:p>
      <w:pPr>
        <w:pStyle w:val="Normal"/>
        <w:jc w:val="both"/>
        <w:rPr>
          <w:rFonts w:ascii="Arial" w:hAnsi="Arial" w:cs="Arial"/>
          <w:szCs w:val="20"/>
        </w:rPr>
      </w:pPr>
      <w:r>
        <w:rPr>
          <w:rFonts w:cs="Arial" w:ascii="Arial" w:hAnsi="Arial"/>
          <w:szCs w:val="20"/>
        </w:rPr>
        <w:t>- Mean residual: +1.13 g/km</w:t>
      </w:r>
    </w:p>
    <w:p>
      <w:pPr>
        <w:pStyle w:val="Normal"/>
        <w:jc w:val="both"/>
        <w:rPr>
          <w:rFonts w:ascii="Arial" w:hAnsi="Arial" w:cs="Arial"/>
          <w:szCs w:val="20"/>
        </w:rPr>
      </w:pPr>
      <w:r>
        <w:rPr>
          <w:rFonts w:cs="Arial" w:ascii="Arial" w:hAnsi="Arial"/>
          <w:szCs w:val="20"/>
        </w:rPr>
        <w:t>- Median residual: -0.13 g/km</w:t>
      </w:r>
    </w:p>
    <w:p>
      <w:pPr>
        <w:pStyle w:val="Normal"/>
        <w:jc w:val="both"/>
        <w:rPr>
          <w:rFonts w:ascii="Arial" w:hAnsi="Arial" w:cs="Arial"/>
          <w:szCs w:val="20"/>
        </w:rPr>
      </w:pPr>
      <w:r>
        <w:rPr>
          <w:rFonts w:cs="Arial" w:ascii="Arial" w:hAnsi="Arial"/>
          <w:szCs w:val="20"/>
        </w:rPr>
        <w:t>- Minimum residual: -46.76 g/km</w:t>
      </w:r>
    </w:p>
    <w:p>
      <w:pPr>
        <w:pStyle w:val="Normal"/>
        <w:jc w:val="both"/>
        <w:rPr>
          <w:rFonts w:ascii="Arial" w:hAnsi="Arial" w:cs="Arial"/>
          <w:szCs w:val="20"/>
        </w:rPr>
      </w:pPr>
      <w:r>
        <w:rPr>
          <w:rFonts w:cs="Arial" w:ascii="Arial" w:hAnsi="Arial"/>
          <w:szCs w:val="20"/>
        </w:rPr>
        <w:t>- Maximum residual: +141.12 g/km</w:t>
      </w:r>
    </w:p>
    <w:p>
      <w:pPr>
        <w:pStyle w:val="Normal"/>
        <w:jc w:val="both"/>
        <w:rPr>
          <w:rFonts w:ascii="Arial" w:hAnsi="Arial" w:cs="Arial"/>
          <w:szCs w:val="20"/>
        </w:rPr>
      </w:pPr>
      <w:r>
        <w:rPr>
          <w:rFonts w:cs="Arial" w:ascii="Arial" w:hAnsi="Arial"/>
          <w:szCs w:val="20"/>
        </w:rPr>
        <w:t>The median residual was close to zero, indicating that the model was broadly well calibrated for a typical 2025 record. The slightly positive mean residual was caused by a small number of large underpredictions.</w:t>
      </w:r>
    </w:p>
    <w:p>
      <w:pPr>
        <w:pStyle w:val="Normal"/>
        <w:jc w:val="both"/>
        <w:rPr>
          <w:rFonts w:ascii="Arial" w:hAnsi="Arial" w:cs="Arial"/>
          <w:szCs w:val="20"/>
        </w:rPr>
      </w:pPr>
      <w:r>
        <w:rPr>
          <w:rFonts w:cs="Arial" w:ascii="Arial" w:hAnsi="Arial"/>
          <w:szCs w:val="20"/>
        </w:rPr>
        <w:t>The largest under-prediction occurred for a vehicle with an actual WLTP CO2 value of 350.0 g/km. The model predicted 208.88 g/km, resulting in a residual of +141.12 g/km. The largest overprediction occurred for a vehicle with an actual CO2 value of 263.0 g/km and a prediction of 309.76 g/km, corresponding to a residual of -46.76 g/km.</w:t>
      </w:r>
    </w:p>
    <w:p>
      <w:pPr>
        <w:pStyle w:val="Normal"/>
        <w:jc w:val="both"/>
        <w:rPr>
          <w:rFonts w:ascii="Arial" w:hAnsi="Arial" w:cs="Arial"/>
          <w:szCs w:val="20"/>
        </w:rPr>
      </w:pPr>
      <w:r>
        <w:rPr>
          <w:rFonts w:cs="Arial" w:ascii="Arial" w:hAnsi="Arial"/>
          <w:szCs w:val="20"/>
        </w:rPr>
        <w:t>The residual-versus-actual plot showed that errors were generally concentrated around zero in the central emission range. However, residual spread increased for low-emission and high-emission vehicles. This pattern suggests that the model captures the dominant relationships between vehicle specifications and CO2 emissions, while rare vehicle configurations and unobserved design factors remain difficult to predict.</w:t>
      </w:r>
    </w:p>
    <w:p>
      <w:pPr>
        <w:pStyle w:val="Normal"/>
        <w:jc w:val="both"/>
        <w:rPr>
          <w:rFonts w:ascii="Arial" w:hAnsi="Arial" w:cs="Arial"/>
          <w:b/>
          <w:szCs w:val="20"/>
        </w:rPr>
      </w:pPr>
      <w:r>
        <w:rPr/>
        <w:drawing>
          <wp:inline distT="0" distB="0" distL="0" distR="0">
            <wp:extent cx="5486400" cy="326898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noChangeArrowheads="1"/>
                    </pic:cNvPicPr>
                  </pic:nvPicPr>
                  <pic:blipFill>
                    <a:blip r:embed="rId11"/>
                    <a:stretch>
                      <a:fillRect/>
                    </a:stretch>
                  </pic:blipFill>
                  <pic:spPr bwMode="auto">
                    <a:xfrm>
                      <a:off x="0" y="0"/>
                      <a:ext cx="5486400" cy="3268980"/>
                    </a:xfrm>
                    <a:prstGeom prst="rect">
                      <a:avLst/>
                    </a:prstGeom>
                    <a:noFill/>
                  </pic:spPr>
                </pic:pic>
              </a:graphicData>
            </a:graphic>
          </wp:inline>
        </w:drawing>
      </w:r>
    </w:p>
    <w:p>
      <w:pPr>
        <w:pStyle w:val="Normal"/>
        <w:jc w:val="both"/>
        <w:rPr>
          <w:rFonts w:ascii="Arial" w:hAnsi="Arial" w:cs="Arial"/>
          <w:b/>
          <w:szCs w:val="20"/>
        </w:rPr>
      </w:pPr>
      <w:r>
        <w:rPr>
          <w:rFonts w:cs="Arial" w:ascii="Arial" w:hAnsi="Arial"/>
          <w:b/>
          <w:szCs w:val="20"/>
        </w:rPr>
        <w:t>Error Analysis by Fuel Type and Fuel Mode</w:t>
      </w:r>
    </w:p>
    <w:tbl>
      <w:tblPr>
        <w:tblW w:w="8640" w:type="dxa"/>
        <w:jc w:val="start"/>
        <w:tblInd w:w="-106" w:type="dxa"/>
        <w:tblLayout w:type="fixed"/>
        <w:tblCellMar>
          <w:top w:w="0" w:type="dxa"/>
          <w:start w:w="108" w:type="dxa"/>
          <w:bottom w:w="0" w:type="dxa"/>
          <w:end w:w="108" w:type="dxa"/>
        </w:tblCellMar>
      </w:tblPr>
      <w:tblGrid>
        <w:gridCol w:w="1168"/>
        <w:gridCol w:w="1068"/>
        <w:gridCol w:w="1067"/>
        <w:gridCol w:w="1067"/>
        <w:gridCol w:w="1067"/>
        <w:gridCol w:w="1068"/>
        <w:gridCol w:w="1066"/>
        <w:gridCol w:w="1069"/>
      </w:tblGrid>
      <w:tr>
        <w:trPr/>
        <w:tc>
          <w:tcPr>
            <w:tcW w:w="1168"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Fuel type</w:t>
            </w:r>
          </w:p>
        </w:tc>
        <w:tc>
          <w:tcPr>
            <w:tcW w:w="1068"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Fuel mode</w:t>
            </w:r>
          </w:p>
        </w:tc>
        <w:tc>
          <w:tcPr>
            <w:tcW w:w="1067"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Records</w:t>
            </w:r>
          </w:p>
        </w:tc>
        <w:tc>
          <w:tcPr>
            <w:tcW w:w="1067"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Actual mean (g/km)</w:t>
            </w:r>
          </w:p>
        </w:tc>
        <w:tc>
          <w:tcPr>
            <w:tcW w:w="1067"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Predicted mean (g/km)</w:t>
            </w:r>
          </w:p>
        </w:tc>
        <w:tc>
          <w:tcPr>
            <w:tcW w:w="1068"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Mean residual (g/km)</w:t>
            </w:r>
          </w:p>
        </w:tc>
        <w:tc>
          <w:tcPr>
            <w:tcW w:w="1066"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MAE (g/km)</w:t>
            </w:r>
          </w:p>
        </w:tc>
        <w:tc>
          <w:tcPr>
            <w:tcW w:w="1069"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RMSE (g/km)</w:t>
            </w:r>
          </w:p>
        </w:tc>
      </w:tr>
      <w:tr>
        <w:trPr>
          <w:trHeight w:val="576" w:hRule="exact"/>
        </w:trPr>
        <w:tc>
          <w:tcPr>
            <w:tcW w:w="11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petrol/electric</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P</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2,466</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36.58</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27.29</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+9.29</w:t>
            </w:r>
          </w:p>
        </w:tc>
        <w:tc>
          <w:tcPr>
            <w:tcW w:w="1066"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9.83</w:t>
            </w:r>
          </w:p>
        </w:tc>
        <w:tc>
          <w:tcPr>
            <w:tcW w:w="1069"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20.93</w:t>
            </w:r>
          </w:p>
        </w:tc>
      </w:tr>
      <w:tr>
        <w:trPr>
          <w:trHeight w:val="576" w:hRule="exact"/>
        </w:trPr>
        <w:tc>
          <w:tcPr>
            <w:tcW w:w="11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diesel/electric</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P</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229</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22.67</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13.63</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+9.04</w:t>
            </w:r>
          </w:p>
        </w:tc>
        <w:tc>
          <w:tcPr>
            <w:tcW w:w="1066"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9.35</w:t>
            </w:r>
          </w:p>
        </w:tc>
        <w:tc>
          <w:tcPr>
            <w:tcW w:w="1069"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18.05</w:t>
            </w:r>
          </w:p>
        </w:tc>
      </w:tr>
      <w:tr>
        <w:trPr>
          <w:trHeight w:val="576" w:hRule="exact"/>
        </w:trPr>
        <w:tc>
          <w:tcPr>
            <w:tcW w:w="11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diesel</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H</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1,276</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147.29</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150.12</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-2.83</w:t>
            </w:r>
          </w:p>
        </w:tc>
        <w:tc>
          <w:tcPr>
            <w:tcW w:w="1066"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6.38</w:t>
            </w:r>
          </w:p>
        </w:tc>
        <w:tc>
          <w:tcPr>
            <w:tcW w:w="1069"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9.74</w:t>
            </w:r>
          </w:p>
        </w:tc>
      </w:tr>
      <w:tr>
        <w:trPr>
          <w:trHeight w:val="576" w:hRule="exact"/>
        </w:trPr>
        <w:tc>
          <w:tcPr>
            <w:tcW w:w="11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petrol</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H</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3,907</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130.63</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131.63</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-1.00</w:t>
            </w:r>
          </w:p>
        </w:tc>
        <w:tc>
          <w:tcPr>
            <w:tcW w:w="1066"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4.16</w:t>
            </w:r>
          </w:p>
        </w:tc>
        <w:tc>
          <w:tcPr>
            <w:tcW w:w="1069"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6.35</w:t>
            </w:r>
          </w:p>
        </w:tc>
      </w:tr>
      <w:tr>
        <w:trPr>
          <w:trHeight w:val="576" w:hRule="exact"/>
        </w:trPr>
        <w:tc>
          <w:tcPr>
            <w:tcW w:w="11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diesel</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M</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3,121</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157.19</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157.27</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-0.08</w:t>
            </w:r>
          </w:p>
        </w:tc>
        <w:tc>
          <w:tcPr>
            <w:tcW w:w="1066"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3.85</w:t>
            </w:r>
          </w:p>
        </w:tc>
        <w:tc>
          <w:tcPr>
            <w:tcW w:w="1069"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6.24</w:t>
            </w:r>
          </w:p>
        </w:tc>
      </w:tr>
      <w:tr>
        <w:trPr>
          <w:trHeight w:val="576" w:hRule="exact"/>
        </w:trPr>
        <w:tc>
          <w:tcPr>
            <w:tcW w:w="1168"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petrol</w:t>
            </w:r>
          </w:p>
        </w:tc>
        <w:tc>
          <w:tcPr>
            <w:tcW w:w="1068"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M</w:t>
            </w:r>
          </w:p>
        </w:tc>
        <w:tc>
          <w:tcPr>
            <w:tcW w:w="1067"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3,736</w:t>
            </w:r>
          </w:p>
        </w:tc>
        <w:tc>
          <w:tcPr>
            <w:tcW w:w="1067"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147.82</w:t>
            </w:r>
          </w:p>
        </w:tc>
        <w:tc>
          <w:tcPr>
            <w:tcW w:w="1067"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147.99</w:t>
            </w:r>
          </w:p>
        </w:tc>
        <w:tc>
          <w:tcPr>
            <w:tcW w:w="1068"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-0.17</w:t>
            </w:r>
          </w:p>
        </w:tc>
        <w:tc>
          <w:tcPr>
            <w:tcW w:w="1066"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3.06</w:t>
            </w:r>
          </w:p>
        </w:tc>
        <w:tc>
          <w:tcPr>
            <w:tcW w:w="1069"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szCs w:val="20"/>
              </w:rPr>
            </w:pPr>
            <w:r>
              <w:rPr>
                <w:rFonts w:cs="Arial" w:ascii="Arial" w:hAnsi="Arial"/>
                <w:szCs w:val="20"/>
              </w:rPr>
              <w:t>5.00</w:t>
            </w:r>
          </w:p>
        </w:tc>
      </w:tr>
    </w:tbl>
    <w:p>
      <w:pPr>
        <w:pStyle w:val="Normal"/>
        <w:jc w:val="center"/>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t>Although the model captured that this vehicle had a large engine and very high power, it substantially under-predicted its emissions. This suggests that the model can overgeneralize the low-emission signal associated with PHEV vehicles, especially for rare, high-performance PHEV configurations with short electric range.</w:t>
      </w:r>
    </w:p>
    <w:p>
      <w:pPr>
        <w:pStyle w:val="Normal"/>
        <w:jc w:val="both"/>
        <w:rPr>
          <w:rFonts w:ascii="Arial" w:hAnsi="Arial" w:cs="Arial"/>
          <w:szCs w:val="20"/>
        </w:rPr>
      </w:pPr>
      <w:r>
        <w:rPr>
          <w:rFonts w:cs="Arial" w:ascii="Arial" w:hAnsi="Arial"/>
          <w:szCs w:val="20"/>
        </w:rPr>
        <w:t>A similar pattern appeared for a high-performance PHEV with a 66 km electric range: the actual CO2 value was 140 g/km, while the model predicted 48.47 g/km. This confirms that electric range alone is insufficient to represent the full WLTP CO2 behavior of high-performance PHEV vehicles.</w:t>
      </w:r>
    </w:p>
    <w:p>
      <w:pPr>
        <w:pStyle w:val="Normal"/>
        <w:jc w:val="both"/>
        <w:rPr>
          <w:rFonts w:ascii="Arial" w:hAnsi="Arial" w:cs="Arial"/>
          <w:szCs w:val="20"/>
        </w:rPr>
      </w:pPr>
      <w:r>
        <w:rPr>
          <w:rFonts w:cs="Arial" w:ascii="Arial" w:hAnsi="Arial"/>
          <w:szCs w:val="20"/>
        </w:rPr>
        <w:t>Several heavy petrol/electric PHEV records also had large underpredictions of approximately 77–85 g/km. These records were labelled as seen core configurations because their mass, engine capacity, engine power, fuel type, and fuel mode were present in the 2024 data. However, a seen core configuration does not guarantee an identical full vehicle specification, because additional characteristics such as battery configuration, drivetrain architecture, vehicle version, aerodynamic properties, and WLTP homologation details were not included in the final model.</w:t>
      </w:r>
    </w:p>
    <w:p>
      <w:pPr>
        <w:pStyle w:val="Normal"/>
        <w:jc w:val="both"/>
        <w:rPr>
          <w:rFonts w:ascii="Arial" w:hAnsi="Arial" w:cs="Arial"/>
          <w:szCs w:val="20"/>
        </w:rPr>
      </w:pPr>
      <w:r>
        <w:rPr>
          <w:rFonts w:cs="Arial" w:ascii="Arial" w:hAnsi="Arial"/>
          <w:szCs w:val="20"/>
        </w:rPr>
        <w:t>The analysis also identified a large underprediction for an unseen high-emission petrol configuration. Its actual CO2 value was 456 g/km, compared with a prediction of 375.81 g/km. This result indicates that rare, extreme high-emission vehicles are more difficult to predict because comparable observations are less common in the training data.</w:t>
      </w:r>
    </w:p>
    <w:p>
      <w:pPr>
        <w:pStyle w:val="Normal"/>
        <w:jc w:val="both"/>
        <w:rPr>
          <w:rFonts w:ascii="Arial" w:hAnsi="Arial" w:cs="Arial"/>
          <w:szCs w:val="20"/>
        </w:rPr>
      </w:pPr>
      <w:r>
        <w:rPr>
          <w:rFonts w:cs="Arial" w:ascii="Arial" w:hAnsi="Arial"/>
          <w:szCs w:val="20"/>
        </w:rPr>
        <w:t>The repeated records with similar technical specifications should be interpreted as multiple records with related specifications rather than as 20 completely independent vehicle cases. Overall, the largest errors were concentrated in rare high-performance PHEV vehicles and extreme high-emission conventional vehicles, which likely require additional information not available in the leakage-free feature set.</w:t>
      </w:r>
    </w:p>
    <w:p>
      <w:pPr>
        <w:pStyle w:val="Normal"/>
        <w:jc w:val="both"/>
        <w:rPr>
          <w:rFonts w:ascii="Arial" w:hAnsi="Arial" w:cs="Arial"/>
          <w:b/>
          <w:bCs/>
          <w:szCs w:val="20"/>
        </w:rPr>
      </w:pPr>
      <w:r>
        <w:rPr>
          <w:rFonts w:cs="Arial" w:ascii="Arial" w:hAnsi="Arial"/>
          <w:b/>
          <w:bCs/>
          <w:szCs w:val="20"/>
        </w:rPr>
        <w:t>Distribution of Absolute Prediction Errors</w:t>
      </w:r>
    </w:p>
    <w:p>
      <w:pPr>
        <w:pStyle w:val="Normal"/>
        <w:jc w:val="both"/>
        <w:rPr>
          <w:rFonts w:ascii="Arial" w:hAnsi="Arial" w:cs="Arial"/>
          <w:szCs w:val="20"/>
        </w:rPr>
      </w:pPr>
      <w:r>
        <w:rPr>
          <w:rFonts w:cs="Arial" w:ascii="Arial" w:hAnsi="Arial"/>
          <w:szCs w:val="20"/>
        </w:rPr>
        <w:t>Overall regression metrics such as MAE and RMSE summarize model performance with a single value, but they do not show how errors are distributed across individual records.</w:t>
      </w:r>
    </w:p>
    <w:p>
      <w:pPr>
        <w:pStyle w:val="Normal"/>
        <w:jc w:val="both"/>
        <w:rPr>
          <w:rFonts w:ascii="Arial" w:hAnsi="Arial" w:cs="Arial"/>
          <w:szCs w:val="20"/>
        </w:rPr>
      </w:pPr>
      <w:r>
        <w:rPr>
          <w:rFonts w:cs="Arial" w:ascii="Arial" w:hAnsi="Arial"/>
          <w:szCs w:val="20"/>
        </w:rPr>
        <w:t>To better understand the practical accuracy of the final model, the distribution of absolute prediction errors was analyzed on the held-out 2025 temporal test set.</w:t>
      </w:r>
    </w:p>
    <w:p>
      <w:pPr>
        <w:pStyle w:val="Normal"/>
        <w:jc w:val="both"/>
        <w:rPr>
          <w:rFonts w:ascii="Arial" w:hAnsi="Arial" w:cs="Arial"/>
          <w:szCs w:val="20"/>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486400" cy="3272790"/>
            <wp:effectExtent l="0" t="0" r="0" b="0"/>
            <wp:wrapSquare wrapText="largest"/>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12"/>
                    <a:stretch>
                      <a:fillRect/>
                    </a:stretch>
                  </pic:blipFill>
                  <pic:spPr bwMode="auto">
                    <a:xfrm>
                      <a:off x="0" y="0"/>
                      <a:ext cx="5486400" cy="3272790"/>
                    </a:xfrm>
                    <a:prstGeom prst="rect">
                      <a:avLst/>
                    </a:prstGeom>
                    <a:noFill/>
                  </pic:spPr>
                </pic:pic>
              </a:graphicData>
            </a:graphic>
          </wp:anchor>
        </w:drawing>
      </w:r>
      <w:r>
        <w:rPr/>
        <w:t>Records with absolute error ≤ 5 g/km: 76.89%</w:t>
      </w:r>
    </w:p>
    <w:p>
      <w:pPr>
        <w:pStyle w:val="Normal"/>
        <w:jc w:val="both"/>
        <w:rPr>
          <w:rFonts w:ascii="Arial" w:hAnsi="Arial" w:cs="Arial"/>
          <w:szCs w:val="20"/>
        </w:rPr>
      </w:pPr>
      <w:r>
        <w:rPr>
          <w:rFonts w:cs="Arial" w:ascii="Arial" w:hAnsi="Arial"/>
          <w:szCs w:val="20"/>
        </w:rPr>
        <w:t>Records with absolute error ≤ 10 g/km: 87.93%</w:t>
      </w:r>
    </w:p>
    <w:p>
      <w:pPr>
        <w:pStyle w:val="Normal"/>
        <w:jc w:val="both"/>
        <w:rPr>
          <w:rFonts w:ascii="Arial" w:hAnsi="Arial" w:cs="Arial"/>
          <w:szCs w:val="20"/>
        </w:rPr>
      </w:pPr>
      <w:r>
        <w:rPr>
          <w:rFonts w:cs="Arial" w:ascii="Arial" w:hAnsi="Arial"/>
          <w:szCs w:val="20"/>
        </w:rPr>
        <w:t>Records with absolute error ≤ 20 g/km: 94.27%</w:t>
      </w:r>
    </w:p>
    <w:tbl>
      <w:tblPr>
        <w:tblW w:w="5000" w:type="pct"/>
        <w:jc w:val="start"/>
        <w:tblInd w:w="-5" w:type="dxa"/>
        <w:tblLayout w:type="fixed"/>
        <w:tblCellMar>
          <w:top w:w="0" w:type="dxa"/>
          <w:start w:w="108" w:type="dxa"/>
          <w:bottom w:w="0" w:type="dxa"/>
          <w:end w:w="108" w:type="dxa"/>
        </w:tblCellMar>
      </w:tblPr>
      <w:tblGrid>
        <w:gridCol w:w="4319"/>
        <w:gridCol w:w="4321"/>
      </w:tblGrid>
      <w:tr>
        <w:trPr/>
        <w:tc>
          <w:tcPr>
            <w:tcW w:w="4319"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Percentile</w:t>
            </w:r>
          </w:p>
        </w:tc>
        <w:tc>
          <w:tcPr>
            <w:tcW w:w="4321"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r>
          </w:p>
          <w:p>
            <w:pPr>
              <w:pStyle w:val="Normal"/>
              <w:suppressAutoHyphens w:val="true"/>
              <w:spacing w:lineRule="auto" w:line="240" w:before="0" w:after="0"/>
              <w:jc w:val="center"/>
              <w:rPr>
                <w:rFonts w:eastAsia="ＭＳ 明朝"/>
                <w:b/>
              </w:rPr>
            </w:pPr>
            <w:r>
              <w:rPr>
                <w:rFonts w:eastAsia="ＭＳ 明朝"/>
                <w:b/>
              </w:rPr>
              <w:t>Absolute error (g/km)</w:t>
            </w:r>
          </w:p>
          <w:p>
            <w:pPr>
              <w:pStyle w:val="Normal"/>
              <w:suppressAutoHyphens w:val="true"/>
              <w:spacing w:lineRule="auto" w:line="240" w:before="0" w:after="0"/>
              <w:jc w:val="center"/>
              <w:rPr>
                <w:rFonts w:eastAsia="ＭＳ 明朝"/>
                <w:b/>
              </w:rPr>
            </w:pPr>
            <w:r>
              <w:rPr>
                <w:rFonts w:eastAsia="ＭＳ 明朝"/>
                <w:b/>
              </w:rPr>
            </w:r>
          </w:p>
        </w:tc>
      </w:tr>
      <w:tr>
        <w:trPr/>
        <w:tc>
          <w:tcPr>
            <w:tcW w:w="4319" w:type="dxa"/>
            <w:tcBorders>
              <w:start w:val="single" w:sz="4" w:space="0" w:color="000000"/>
              <w:bottom w:val="single" w:sz="4" w:space="0" w:color="000000"/>
            </w:tcBorders>
            <w:tcMar>
              <w:top w:w="55" w:type="dxa"/>
              <w:start w:w="55" w:type="dxa"/>
              <w:bottom w:w="55" w:type="dxa"/>
              <w:end w:w="55" w:type="dxa"/>
            </w:tcMar>
          </w:tcPr>
          <w:p>
            <w:pPr>
              <w:pStyle w:val="Normal"/>
              <w:spacing w:before="0" w:after="200"/>
              <w:jc w:val="center"/>
              <w:rPr>
                <w:rFonts w:ascii="Arial" w:hAnsi="Arial" w:cs="Arial"/>
                <w:szCs w:val="20"/>
              </w:rPr>
            </w:pPr>
            <w:r>
              <w:rPr>
                <w:rFonts w:cs="Arial" w:ascii="Arial" w:hAnsi="Arial"/>
                <w:szCs w:val="20"/>
              </w:rPr>
              <w:t>50th percentile (Median)</w:t>
            </w:r>
          </w:p>
        </w:tc>
        <w:tc>
          <w:tcPr>
            <w:tcW w:w="432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pacing w:before="0" w:after="200"/>
              <w:jc w:val="center"/>
              <w:rPr>
                <w:rFonts w:ascii="Arial" w:hAnsi="Arial" w:cs="Arial"/>
                <w:szCs w:val="20"/>
              </w:rPr>
            </w:pPr>
            <w:r>
              <w:rPr>
                <w:rFonts w:cs="Arial" w:ascii="Arial" w:hAnsi="Arial"/>
                <w:szCs w:val="20"/>
              </w:rPr>
              <w:t>1.9700</w:t>
            </w:r>
          </w:p>
        </w:tc>
      </w:tr>
      <w:tr>
        <w:trPr/>
        <w:tc>
          <w:tcPr>
            <w:tcW w:w="4319" w:type="dxa"/>
            <w:tcBorders>
              <w:start w:val="single" w:sz="4" w:space="0" w:color="000000"/>
              <w:bottom w:val="single" w:sz="4" w:space="0" w:color="000000"/>
            </w:tcBorders>
            <w:tcMar>
              <w:top w:w="55" w:type="dxa"/>
              <w:start w:w="55" w:type="dxa"/>
              <w:bottom w:w="55" w:type="dxa"/>
              <w:end w:w="55" w:type="dxa"/>
            </w:tcMar>
          </w:tcPr>
          <w:p>
            <w:pPr>
              <w:pStyle w:val="Normal"/>
              <w:spacing w:before="0" w:after="200"/>
              <w:jc w:val="center"/>
              <w:rPr>
                <w:rFonts w:ascii="Arial" w:hAnsi="Arial" w:cs="Arial"/>
                <w:szCs w:val="20"/>
              </w:rPr>
            </w:pPr>
            <w:r>
              <w:rPr>
                <w:rFonts w:cs="Arial" w:ascii="Arial" w:hAnsi="Arial"/>
                <w:szCs w:val="20"/>
              </w:rPr>
              <w:t>75th percentile</w:t>
            </w:r>
          </w:p>
        </w:tc>
        <w:tc>
          <w:tcPr>
            <w:tcW w:w="432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pacing w:before="0" w:after="200"/>
              <w:jc w:val="center"/>
              <w:rPr>
                <w:rFonts w:ascii="Arial" w:hAnsi="Arial" w:cs="Arial"/>
                <w:szCs w:val="20"/>
              </w:rPr>
            </w:pPr>
            <w:r>
              <w:rPr>
                <w:rFonts w:cs="Arial" w:ascii="Arial" w:hAnsi="Arial"/>
                <w:szCs w:val="20"/>
              </w:rPr>
              <w:t>4.6000</w:t>
            </w:r>
          </w:p>
        </w:tc>
      </w:tr>
      <w:tr>
        <w:trPr/>
        <w:tc>
          <w:tcPr>
            <w:tcW w:w="4319" w:type="dxa"/>
            <w:tcBorders>
              <w:start w:val="single" w:sz="4" w:space="0" w:color="000000"/>
              <w:bottom w:val="single" w:sz="4" w:space="0" w:color="000000"/>
            </w:tcBorders>
            <w:tcMar>
              <w:top w:w="55" w:type="dxa"/>
              <w:start w:w="55" w:type="dxa"/>
              <w:bottom w:w="55" w:type="dxa"/>
              <w:end w:w="55" w:type="dxa"/>
            </w:tcMar>
          </w:tcPr>
          <w:p>
            <w:pPr>
              <w:pStyle w:val="Normal"/>
              <w:spacing w:before="0" w:after="200"/>
              <w:jc w:val="center"/>
              <w:rPr>
                <w:rFonts w:ascii="Arial" w:hAnsi="Arial" w:cs="Arial"/>
                <w:szCs w:val="20"/>
              </w:rPr>
            </w:pPr>
            <w:r>
              <w:rPr>
                <w:rFonts w:cs="Arial" w:ascii="Arial" w:hAnsi="Arial"/>
                <w:szCs w:val="20"/>
              </w:rPr>
              <w:t>90th percentile</w:t>
            </w:r>
          </w:p>
        </w:tc>
        <w:tc>
          <w:tcPr>
            <w:tcW w:w="432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pacing w:before="0" w:after="200"/>
              <w:jc w:val="center"/>
              <w:rPr>
                <w:rFonts w:ascii="Arial" w:hAnsi="Arial" w:cs="Arial"/>
                <w:szCs w:val="20"/>
              </w:rPr>
            </w:pPr>
            <w:r>
              <w:rPr>
                <w:rFonts w:cs="Arial" w:ascii="Arial" w:hAnsi="Arial"/>
                <w:szCs w:val="20"/>
              </w:rPr>
              <w:t>12.2200</w:t>
            </w:r>
          </w:p>
        </w:tc>
      </w:tr>
      <w:tr>
        <w:trPr/>
        <w:tc>
          <w:tcPr>
            <w:tcW w:w="4319" w:type="dxa"/>
            <w:tcBorders>
              <w:start w:val="single" w:sz="4" w:space="0" w:color="000000"/>
              <w:bottom w:val="single" w:sz="4" w:space="0" w:color="000000"/>
            </w:tcBorders>
            <w:tcMar>
              <w:top w:w="55" w:type="dxa"/>
              <w:start w:w="55" w:type="dxa"/>
              <w:bottom w:w="55" w:type="dxa"/>
              <w:end w:w="55" w:type="dxa"/>
            </w:tcMar>
          </w:tcPr>
          <w:p>
            <w:pPr>
              <w:pStyle w:val="Normal"/>
              <w:spacing w:before="0" w:after="200"/>
              <w:jc w:val="center"/>
              <w:rPr>
                <w:rFonts w:ascii="Arial" w:hAnsi="Arial" w:cs="Arial"/>
                <w:szCs w:val="20"/>
              </w:rPr>
            </w:pPr>
            <w:r>
              <w:rPr>
                <w:rFonts w:cs="Arial" w:ascii="Arial" w:hAnsi="Arial"/>
                <w:szCs w:val="20"/>
              </w:rPr>
              <w:t>95th percentile</w:t>
            </w:r>
          </w:p>
        </w:tc>
        <w:tc>
          <w:tcPr>
            <w:tcW w:w="432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pacing w:before="0" w:after="200"/>
              <w:jc w:val="center"/>
              <w:rPr>
                <w:rFonts w:ascii="Arial" w:hAnsi="Arial" w:cs="Arial"/>
                <w:szCs w:val="20"/>
              </w:rPr>
            </w:pPr>
            <w:r>
              <w:rPr>
                <w:rFonts w:cs="Arial" w:ascii="Arial" w:hAnsi="Arial"/>
                <w:szCs w:val="20"/>
              </w:rPr>
              <w:t>22.8700</w:t>
            </w:r>
          </w:p>
        </w:tc>
      </w:tr>
      <w:tr>
        <w:trPr/>
        <w:tc>
          <w:tcPr>
            <w:tcW w:w="4319" w:type="dxa"/>
            <w:tcBorders>
              <w:start w:val="single" w:sz="4" w:space="0" w:color="000000"/>
              <w:bottom w:val="single" w:sz="4" w:space="0" w:color="000000"/>
            </w:tcBorders>
            <w:tcMar>
              <w:top w:w="55" w:type="dxa"/>
              <w:start w:w="55" w:type="dxa"/>
              <w:bottom w:w="55" w:type="dxa"/>
              <w:end w:w="55" w:type="dxa"/>
            </w:tcMar>
          </w:tcPr>
          <w:p>
            <w:pPr>
              <w:pStyle w:val="Normal"/>
              <w:spacing w:before="0" w:after="200"/>
              <w:jc w:val="center"/>
              <w:rPr>
                <w:rFonts w:ascii="Arial" w:hAnsi="Arial" w:cs="Arial"/>
                <w:szCs w:val="20"/>
              </w:rPr>
            </w:pPr>
            <w:r>
              <w:rPr>
                <w:rFonts w:cs="Arial" w:ascii="Arial" w:hAnsi="Arial"/>
                <w:szCs w:val="20"/>
              </w:rPr>
              <w:t>99th percentile</w:t>
            </w:r>
          </w:p>
        </w:tc>
        <w:tc>
          <w:tcPr>
            <w:tcW w:w="432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pacing w:before="0" w:after="200"/>
              <w:jc w:val="center"/>
              <w:rPr>
                <w:rFonts w:ascii="Arial" w:hAnsi="Arial" w:cs="Arial"/>
                <w:szCs w:val="20"/>
              </w:rPr>
            </w:pPr>
            <w:r>
              <w:rPr>
                <w:rFonts w:cs="Arial" w:ascii="Arial" w:hAnsi="Arial"/>
                <w:szCs w:val="20"/>
              </w:rPr>
              <w:t>48.9100</w:t>
            </w:r>
          </w:p>
        </w:tc>
      </w:tr>
      <w:tr>
        <w:trPr/>
        <w:tc>
          <w:tcPr>
            <w:tcW w:w="4319" w:type="dxa"/>
            <w:tcBorders>
              <w:start w:val="single" w:sz="4" w:space="0" w:color="000000"/>
              <w:bottom w:val="single" w:sz="4" w:space="0" w:color="000000"/>
            </w:tcBorders>
            <w:tcMar>
              <w:top w:w="55" w:type="dxa"/>
              <w:start w:w="55" w:type="dxa"/>
              <w:bottom w:w="55" w:type="dxa"/>
              <w:end w:w="55" w:type="dxa"/>
            </w:tcMar>
          </w:tcPr>
          <w:p>
            <w:pPr>
              <w:pStyle w:val="Normal"/>
              <w:spacing w:before="0" w:after="200"/>
              <w:jc w:val="center"/>
              <w:rPr>
                <w:rFonts w:ascii="Arial" w:hAnsi="Arial" w:cs="Arial"/>
                <w:szCs w:val="20"/>
              </w:rPr>
            </w:pPr>
            <w:r>
              <w:rPr>
                <w:rFonts w:cs="Arial" w:ascii="Arial" w:hAnsi="Arial"/>
                <w:szCs w:val="20"/>
              </w:rPr>
              <w:t>Maximum</w:t>
            </w:r>
          </w:p>
        </w:tc>
        <w:tc>
          <w:tcPr>
            <w:tcW w:w="432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pacing w:before="0" w:after="200"/>
              <w:jc w:val="center"/>
              <w:rPr>
                <w:rFonts w:ascii="Arial" w:hAnsi="Arial" w:cs="Arial"/>
                <w:szCs w:val="20"/>
              </w:rPr>
            </w:pPr>
            <w:r>
              <w:rPr>
                <w:rFonts w:cs="Arial" w:ascii="Arial" w:hAnsi="Arial"/>
                <w:szCs w:val="20"/>
              </w:rPr>
              <w:t>141.1200</w:t>
            </w:r>
          </w:p>
        </w:tc>
      </w:tr>
    </w:tbl>
    <w:p>
      <w:pPr>
        <w:pStyle w:val="Normal"/>
        <w:jc w:val="both"/>
        <w:rPr>
          <w:rFonts w:ascii="Arial" w:hAnsi="Arial" w:cs="Arial"/>
          <w:b/>
          <w:bCs/>
          <w:szCs w:val="20"/>
        </w:rPr>
      </w:pPr>
      <w:r>
        <w:rPr>
          <w:rFonts w:cs="Arial" w:ascii="Arial" w:hAnsi="Arial"/>
          <w:b/>
          <w:bCs/>
          <w:szCs w:val="20"/>
        </w:rPr>
      </w:r>
    </w:p>
    <w:p>
      <w:pPr>
        <w:pStyle w:val="Normal"/>
        <w:jc w:val="both"/>
        <w:rPr>
          <w:rFonts w:ascii="Arial" w:hAnsi="Arial" w:cs="Arial"/>
          <w:b/>
          <w:bCs/>
          <w:szCs w:val="20"/>
        </w:rPr>
      </w:pPr>
      <w:r>
        <w:rPr>
          <w:rFonts w:cs="Arial" w:ascii="Arial" w:hAnsi="Arial"/>
          <w:b/>
          <w:bCs/>
          <w:szCs w:val="20"/>
        </w:rPr>
        <w:t>Error Analysis for Seen/Unseen Vs. Fuel Type/Fuel Mode</w:t>
      </w:r>
    </w:p>
    <w:p>
      <w:pPr>
        <w:pStyle w:val="Normal"/>
        <w:jc w:val="both"/>
        <w:rPr>
          <w:rFonts w:ascii="Arial" w:hAnsi="Arial" w:cs="Arial"/>
          <w:szCs w:val="20"/>
        </w:rPr>
      </w:pPr>
      <w:r>
        <w:rPr>
          <w:rFonts w:cs="Arial" w:ascii="Arial" w:hAnsi="Arial"/>
          <w:szCs w:val="20"/>
        </w:rPr>
        <w:t>The final 2025 test results were analyzed jointly by configuration novelty and powertrain segment.</w:t>
      </w:r>
    </w:p>
    <w:p>
      <w:pPr>
        <w:pStyle w:val="Normal"/>
        <w:jc w:val="both"/>
        <w:rPr>
          <w:rFonts w:ascii="Arial" w:hAnsi="Arial" w:cs="Arial"/>
          <w:szCs w:val="20"/>
        </w:rPr>
      </w:pPr>
      <w:r>
        <w:rPr>
          <w:rFonts w:cs="Arial" w:ascii="Arial" w:hAnsi="Arial"/>
          <w:szCs w:val="20"/>
        </w:rPr>
        <w:t>A record was labelled as **</w:t>
      </w:r>
      <w:r>
        <w:rPr>
          <w:rFonts w:cs="Arial" w:ascii="Arial" w:hAnsi="Arial"/>
          <w:b/>
          <w:bCs/>
          <w:szCs w:val="20"/>
        </w:rPr>
        <w:t>seen</w:t>
      </w:r>
      <w:r>
        <w:rPr>
          <w:rFonts w:cs="Arial" w:ascii="Arial" w:hAnsi="Arial"/>
          <w:szCs w:val="20"/>
        </w:rPr>
        <w:t>** when its core technical configuration; defined by vehicle mass, engine capacity, engine power, fuel type, and fuel mode; had already occurred in the combined 2024 training data. Otherwise, it was labelled as **</w:t>
      </w:r>
      <w:r>
        <w:rPr>
          <w:rFonts w:cs="Arial" w:ascii="Arial" w:hAnsi="Arial"/>
          <w:b/>
          <w:bCs/>
          <w:szCs w:val="20"/>
        </w:rPr>
        <w:t>unseen</w:t>
      </w:r>
      <w:r>
        <w:rPr>
          <w:rFonts w:cs="Arial" w:ascii="Arial" w:hAnsi="Arial"/>
          <w:szCs w:val="20"/>
        </w:rPr>
        <w:t>**.</w:t>
      </w:r>
    </w:p>
    <w:tbl>
      <w:tblPr>
        <w:tblW w:w="5000" w:type="pct"/>
        <w:jc w:val="start"/>
        <w:tblInd w:w="-5" w:type="dxa"/>
        <w:tblLayout w:type="fixed"/>
        <w:tblCellMar>
          <w:top w:w="0" w:type="dxa"/>
          <w:start w:w="108" w:type="dxa"/>
          <w:bottom w:w="0" w:type="dxa"/>
          <w:end w:w="108" w:type="dxa"/>
        </w:tblCellMar>
      </w:tblPr>
      <w:tblGrid>
        <w:gridCol w:w="786"/>
        <w:gridCol w:w="784"/>
        <w:gridCol w:w="786"/>
        <w:gridCol w:w="785"/>
        <w:gridCol w:w="785"/>
        <w:gridCol w:w="786"/>
        <w:gridCol w:w="785"/>
        <w:gridCol w:w="785"/>
        <w:gridCol w:w="786"/>
        <w:gridCol w:w="785"/>
        <w:gridCol w:w="787"/>
      </w:tblGrid>
      <w:tr>
        <w:trPr/>
        <w:tc>
          <w:tcPr>
            <w:tcW w:w="786"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Configuration status</w:t>
            </w:r>
          </w:p>
        </w:tc>
        <w:tc>
          <w:tcPr>
            <w:tcW w:w="784"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Fuel type</w:t>
            </w:r>
          </w:p>
        </w:tc>
        <w:tc>
          <w:tcPr>
            <w:tcW w:w="786"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Fuel mode</w:t>
            </w:r>
          </w:p>
        </w:tc>
        <w:tc>
          <w:tcPr>
            <w:tcW w:w="785"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records</w:t>
            </w:r>
          </w:p>
        </w:tc>
        <w:tc>
          <w:tcPr>
            <w:tcW w:w="785"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Actual mean</w:t>
            </w:r>
          </w:p>
        </w:tc>
        <w:tc>
          <w:tcPr>
            <w:tcW w:w="786"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Predicted mean</w:t>
            </w:r>
          </w:p>
        </w:tc>
        <w:tc>
          <w:tcPr>
            <w:tcW w:w="785"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Mean residual</w:t>
            </w:r>
          </w:p>
        </w:tc>
        <w:tc>
          <w:tcPr>
            <w:tcW w:w="785"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mae</w:t>
            </w:r>
          </w:p>
        </w:tc>
        <w:tc>
          <w:tcPr>
            <w:tcW w:w="786"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rmse</w:t>
            </w:r>
          </w:p>
        </w:tc>
        <w:tc>
          <w:tcPr>
            <w:tcW w:w="785"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Median absolute error</w:t>
            </w:r>
          </w:p>
        </w:tc>
        <w:tc>
          <w:tcPr>
            <w:tcW w:w="787"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Pct error over 20</w:t>
            </w:r>
          </w:p>
        </w:tc>
      </w:tr>
      <w:tr>
        <w:trPr/>
        <w:tc>
          <w:tcPr>
            <w:tcW w:w="786" w:type="dxa"/>
            <w:tcBorders>
              <w:top w:val="single" w:sz="4" w:space="0" w:color="000000"/>
              <w:start w:val="single" w:sz="4" w:space="0" w:color="000000"/>
              <w:bottom w:val="single" w:sz="4" w:space="0" w:color="000000"/>
              <w:end w:val="single" w:sz="4" w:space="0" w:color="000000"/>
            </w:tcBorders>
            <w:shd w:fill="FFFFFF" w:val="clear"/>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unseen</w:t>
            </w:r>
          </w:p>
        </w:tc>
        <w:tc>
          <w:tcPr>
            <w:tcW w:w="784" w:type="dxa"/>
            <w:tcBorders>
              <w:top w:val="single" w:sz="4" w:space="0" w:color="000000"/>
              <w:start w:val="single" w:sz="4" w:space="0" w:color="000000"/>
              <w:bottom w:val="single" w:sz="4" w:space="0" w:color="000000"/>
              <w:end w:val="single" w:sz="4" w:space="0" w:color="000000"/>
            </w:tcBorders>
            <w:shd w:fill="FFFFFF" w:val="clear"/>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petrol/electric</w:t>
            </w:r>
          </w:p>
        </w:tc>
        <w:tc>
          <w:tcPr>
            <w:tcW w:w="786" w:type="dxa"/>
            <w:tcBorders>
              <w:top w:val="single" w:sz="4" w:space="0" w:color="000000"/>
              <w:start w:val="single" w:sz="4" w:space="0" w:color="000000"/>
              <w:bottom w:val="single" w:sz="4" w:space="0" w:color="000000"/>
              <w:end w:val="single" w:sz="4" w:space="0" w:color="000000"/>
            </w:tcBorders>
            <w:shd w:fill="FFFFFF" w:val="clear"/>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P</w:t>
            </w:r>
          </w:p>
        </w:tc>
        <w:tc>
          <w:tcPr>
            <w:tcW w:w="785" w:type="dxa"/>
            <w:tcBorders>
              <w:top w:val="single" w:sz="4" w:space="0" w:color="000000"/>
              <w:start w:val="single" w:sz="4" w:space="0" w:color="000000"/>
              <w:bottom w:val="single" w:sz="4" w:space="0" w:color="000000"/>
              <w:end w:val="single" w:sz="4" w:space="0" w:color="000000"/>
            </w:tcBorders>
            <w:shd w:fill="FFFFFF" w:val="clear"/>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404</w:t>
            </w:r>
          </w:p>
        </w:tc>
        <w:tc>
          <w:tcPr>
            <w:tcW w:w="785" w:type="dxa"/>
            <w:tcBorders>
              <w:top w:val="single" w:sz="4" w:space="0" w:color="000000"/>
              <w:start w:val="single" w:sz="4" w:space="0" w:color="000000"/>
              <w:bottom w:val="single" w:sz="4" w:space="0" w:color="000000"/>
              <w:end w:val="single" w:sz="4" w:space="0" w:color="000000"/>
            </w:tcBorders>
            <w:shd w:fill="FFFFFF" w:val="clear"/>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44.8005</w:t>
            </w:r>
          </w:p>
        </w:tc>
        <w:tc>
          <w:tcPr>
            <w:tcW w:w="786" w:type="dxa"/>
            <w:tcBorders>
              <w:top w:val="single" w:sz="4" w:space="0" w:color="000000"/>
              <w:start w:val="single" w:sz="4" w:space="0" w:color="000000"/>
              <w:bottom w:val="single" w:sz="4" w:space="0" w:color="000000"/>
              <w:end w:val="single" w:sz="4" w:space="0" w:color="000000"/>
            </w:tcBorders>
            <w:shd w:fill="FFFFFF" w:val="clear"/>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19.7275</w:t>
            </w:r>
          </w:p>
        </w:tc>
        <w:tc>
          <w:tcPr>
            <w:tcW w:w="785" w:type="dxa"/>
            <w:tcBorders>
              <w:top w:val="single" w:sz="4" w:space="0" w:color="000000"/>
              <w:start w:val="single" w:sz="4" w:space="0" w:color="000000"/>
              <w:bottom w:val="single" w:sz="4" w:space="0" w:color="000000"/>
              <w:end w:val="single" w:sz="4" w:space="0" w:color="000000"/>
            </w:tcBorders>
            <w:shd w:fill="FFFFFF" w:val="clear"/>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25.0731</w:t>
            </w:r>
          </w:p>
        </w:tc>
        <w:tc>
          <w:tcPr>
            <w:tcW w:w="785" w:type="dxa"/>
            <w:tcBorders>
              <w:top w:val="single" w:sz="4" w:space="0" w:color="000000"/>
              <w:start w:val="single" w:sz="4" w:space="0" w:color="000000"/>
              <w:bottom w:val="single" w:sz="4" w:space="0" w:color="000000"/>
              <w:end w:val="single" w:sz="4" w:space="0" w:color="000000"/>
            </w:tcBorders>
            <w:shd w:fill="FFFFFF" w:val="clear"/>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25.5461</w:t>
            </w:r>
          </w:p>
        </w:tc>
        <w:tc>
          <w:tcPr>
            <w:tcW w:w="786" w:type="dxa"/>
            <w:tcBorders>
              <w:top w:val="single" w:sz="4" w:space="0" w:color="000000"/>
              <w:start w:val="single" w:sz="4" w:space="0" w:color="000000"/>
              <w:bottom w:val="single" w:sz="4" w:space="0" w:color="000000"/>
              <w:end w:val="single" w:sz="4" w:space="0" w:color="000000"/>
            </w:tcBorders>
            <w:shd w:fill="FFFFFF" w:val="clear"/>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33.5587</w:t>
            </w:r>
          </w:p>
        </w:tc>
        <w:tc>
          <w:tcPr>
            <w:tcW w:w="785" w:type="dxa"/>
            <w:tcBorders>
              <w:top w:val="single" w:sz="4" w:space="0" w:color="000000"/>
              <w:start w:val="single" w:sz="4" w:space="0" w:color="000000"/>
              <w:bottom w:val="single" w:sz="4" w:space="0" w:color="000000"/>
              <w:end w:val="single" w:sz="4" w:space="0" w:color="000000"/>
            </w:tcBorders>
            <w:shd w:fill="FFFFFF" w:val="clear"/>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31.3815</w:t>
            </w:r>
          </w:p>
        </w:tc>
        <w:tc>
          <w:tcPr>
            <w:tcW w:w="787" w:type="dxa"/>
            <w:tcBorders>
              <w:top w:val="single" w:sz="4" w:space="0" w:color="000000"/>
              <w:start w:val="single" w:sz="4" w:space="0" w:color="000000"/>
              <w:bottom w:val="single" w:sz="4" w:space="0" w:color="000000"/>
              <w:end w:val="single" w:sz="4" w:space="0" w:color="000000"/>
            </w:tcBorders>
            <w:shd w:fill="FFFFFF" w:val="clear"/>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59.9010</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unseen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jc w:val="center"/>
              <w:rPr>
                <w:rFonts w:ascii="Arial" w:hAnsi="Arial" w:cs="Arial"/>
                <w:szCs w:val="20"/>
              </w:rPr>
            </w:pPr>
            <w:r>
              <w:rPr>
                <w:rFonts w:cs="Arial" w:ascii="Arial" w:hAnsi="Arial"/>
                <w:szCs w:val="20"/>
              </w:rPr>
              <w:t>diesel/electric</w:t>
            </w:r>
          </w:p>
          <w:p>
            <w:pPr>
              <w:pStyle w:val="Normal"/>
              <w:spacing w:before="0" w:after="200"/>
              <w:jc w:val="center"/>
              <w:rPr>
                <w:rFonts w:ascii="Arial" w:hAnsi="Arial" w:cs="Arial"/>
                <w:szCs w:val="20"/>
              </w:rPr>
            </w:pPr>
            <w:r>
              <w:rPr>
                <w:rFonts w:cs="Arial" w:ascii="Arial" w:hAnsi="Arial"/>
                <w:szCs w:val="20"/>
              </w:rPr>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P</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22</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37.9365</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17.0100</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20.9265</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21.1726</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30.7355</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2.2297</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45.4545</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petrol/electric</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P</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2,062</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34.9670</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28.7708</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6.1962</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6.7481</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17.4150</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0.4204</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14.2095</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diesel/electric</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P</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207</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21.0521</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13.2730</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7.7791</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8.0978</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16.1256</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0.3335</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23.6715</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unseen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diesel</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H</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240</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146.5259</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150.8798</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-4.3540</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12.6889</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15.5007</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12.2451</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25.4167</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unseen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diesel</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M</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496</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175.8559</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175.4246</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0.4313</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8.2570</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11.7162</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4.4938</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11.2903</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unseen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petrol</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M</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424</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164.8132</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163.4730</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1.3402</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5.8056</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9.6622</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3.3216</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6.3679</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unseen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petrol</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H</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812</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136.8319</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138.6709</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-1.8390</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7.3638</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9.6365</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6.5544</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2.7094</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diesel</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H</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1,036</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147.4675</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149.9493</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-2.4818</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4.9135</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7.8278</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2.6753</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4.5367</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petrol</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H</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3,095</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129.0048</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129.7805</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-0.7757</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3.3165</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5.1481</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1.9260</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0.3877</w:t>
            </w:r>
          </w:p>
        </w:tc>
      </w:tr>
    </w:tbl>
    <w:p>
      <w:pPr>
        <w:pStyle w:val="Normal"/>
        <w:jc w:val="both"/>
        <w:rPr>
          <w:rFonts w:ascii="Arial" w:hAnsi="Arial" w:cs="Arial"/>
          <w:b/>
          <w:bCs/>
          <w:szCs w:val="20"/>
        </w:rPr>
      </w:pPr>
      <w:r>
        <w:rPr>
          <w:rFonts w:cs="Arial" w:ascii="Arial" w:hAnsi="Arial"/>
          <w:b/>
          <w:bCs/>
          <w:szCs w:val="20"/>
        </w:rPr>
      </w:r>
    </w:p>
    <w:p>
      <w:pPr>
        <w:pStyle w:val="Normal"/>
        <w:jc w:val="both"/>
        <w:rPr>
          <w:rFonts w:ascii="Arial" w:hAnsi="Arial" w:cs="Arial"/>
          <w:b/>
          <w:bCs/>
          <w:szCs w:val="20"/>
        </w:rPr>
      </w:pPr>
      <w:r>
        <w:rPr>
          <w:rFonts w:cs="Arial" w:ascii="Arial" w:hAnsi="Arial"/>
          <w:b/>
          <w:bCs/>
          <w:szCs w:val="20"/>
        </w:rPr>
        <w:t>Key Findings: Unseen Petrol/Electric PHEVs Drive Most Large Errors</w:t>
      </w:r>
    </w:p>
    <w:p>
      <w:pPr>
        <w:pStyle w:val="Normal"/>
        <w:jc w:val="both"/>
        <w:rPr>
          <w:rFonts w:ascii="Arial" w:hAnsi="Arial" w:cs="Arial"/>
          <w:szCs w:val="20"/>
        </w:rPr>
      </w:pPr>
      <w:r>
        <w:rPr>
          <w:rFonts w:cs="Arial" w:ascii="Arial" w:hAnsi="Arial"/>
          <w:szCs w:val="20"/>
        </w:rPr>
        <w:t>The joint analysis shows that the high-error tail in the 2025 temporal test set is concentrated overwhelmingly in previously unseen petrol/electric plug-in hybrid (PHEV) configurations.</w:t>
      </w:r>
    </w:p>
    <w:p>
      <w:pPr>
        <w:pStyle w:val="Normal"/>
        <w:jc w:val="both"/>
        <w:rPr>
          <w:rFonts w:ascii="Arial" w:hAnsi="Arial" w:cs="Arial"/>
          <w:szCs w:val="20"/>
        </w:rPr>
      </w:pPr>
      <w:r>
        <w:rPr>
          <w:rFonts w:cs="Arial" w:ascii="Arial" w:hAnsi="Arial"/>
          <w:szCs w:val="20"/>
        </w:rPr>
        <w:t>For unseen petrol/electric vehicles in fuel mode `P`, the model produced a MAE of 25.55 g/km and an RMSE of 33.56 g/km. These vehicles had an average actual CO₂ value of 44.80 g/km, whereas the average prediction was only 19.73 g/km. This corresponds to a mean residual of +25.07 g/km, indicating systematic underprediction.</w:t>
      </w:r>
    </w:p>
    <w:p>
      <w:pPr>
        <w:pStyle w:val="Normal"/>
        <w:jc w:val="both"/>
        <w:rPr>
          <w:rFonts w:ascii="Arial" w:hAnsi="Arial" w:cs="Arial"/>
          <w:szCs w:val="20"/>
        </w:rPr>
      </w:pPr>
      <w:r>
        <w:rPr>
          <w:rFonts w:cs="Arial" w:ascii="Arial" w:hAnsi="Arial"/>
          <w:szCs w:val="20"/>
        </w:rPr>
        <w:t>More than half of these unseen PHEV records (59.90%) had an absolute prediction error above 20 g/km. Their median absolute error was also high at 31.38 g/km, showing that the issue was not caused only by a small number of extreme outliers.</w:t>
      </w:r>
    </w:p>
    <w:p>
      <w:pPr>
        <w:pStyle w:val="Normal"/>
        <w:jc w:val="both"/>
        <w:rPr>
          <w:rFonts w:ascii="Arial" w:hAnsi="Arial" w:cs="Arial"/>
          <w:szCs w:val="20"/>
        </w:rPr>
      </w:pPr>
      <w:r>
        <w:rPr>
          <w:rFonts w:cs="Arial" w:ascii="Arial" w:hAnsi="Arial"/>
          <w:szCs w:val="20"/>
        </w:rPr>
        <w:t>In contrast, seen petrol/electric PHEV configurations had a much lower MAE of 6.75 g/km. However, they still showed a positive mean residual of 6.20 g/km and an RMSE of 17.42 g/km, indicating that PHEVs remain more difficult to predict than conventional petrol and diesel vehicles even when their technical configurations have appeared in the training data.</w:t>
      </w:r>
    </w:p>
    <w:p>
      <w:pPr>
        <w:pStyle w:val="Normal"/>
        <w:jc w:val="both"/>
        <w:rPr>
          <w:rFonts w:ascii="Arial" w:hAnsi="Arial" w:cs="Arial"/>
          <w:szCs w:val="20"/>
        </w:rPr>
      </w:pPr>
      <w:r>
        <w:rPr>
          <w:rFonts w:cs="Arial" w:ascii="Arial" w:hAnsi="Arial"/>
          <w:szCs w:val="20"/>
        </w:rPr>
        <w:t>For conventional petrol and diesel vehicles, prediction performance was substantially more stable. Seen configurations generally achieved MAE values between 2.70 and 4.91 g/km, while unseen conventional configurations achieved MAE values between 5.81 and 12.69 g/km. The largest non-PHEV error occurred for unseen diesel hybrid vehicles, with an MAE of 12.69 g/km and an RMSE of 15.50 g/km.</w:t>
      </w:r>
    </w:p>
    <w:p>
      <w:pPr>
        <w:pStyle w:val="Normal"/>
        <w:jc w:val="both"/>
        <w:rPr>
          <w:rFonts w:ascii="Arial" w:hAnsi="Arial" w:cs="Arial"/>
          <w:szCs w:val="20"/>
        </w:rPr>
      </w:pPr>
      <w:r>
        <w:rPr>
          <w:rFonts w:cs="Arial" w:ascii="Arial" w:hAnsi="Arial"/>
          <w:szCs w:val="20"/>
        </w:rPr>
        <w:t>Therefore, configuration novelty alone does not explain the observed error distribution. The principal challenge is the interaction between configuration novelty and the petrol/electric PHEV segment. New PHEV configurations appear to have CO</w:t>
      </w:r>
      <w:r>
        <w:rPr>
          <w:rFonts w:cs="Cambria Math" w:ascii="Cambria Math" w:hAnsi="Cambria Math"/>
          <w:szCs w:val="20"/>
        </w:rPr>
        <w:t>₂</w:t>
      </w:r>
      <w:r>
        <w:rPr>
          <w:rFonts w:cs="Arial" w:ascii="Arial" w:hAnsi="Arial"/>
          <w:szCs w:val="20"/>
        </w:rPr>
        <w:t xml:space="preserve"> emission patterns that are not adequately captured by patterns learned from historical data.</w:t>
      </w:r>
    </w:p>
    <w:p>
      <w:pPr>
        <w:pStyle w:val="Heading1"/>
        <w:widowControl/>
        <w:suppressAutoHyphens w:val="true"/>
        <w:bidi w:val="0"/>
        <w:spacing w:lineRule="auto" w:line="276"/>
        <w:ind w:hanging="0" w:start="0"/>
        <w:jc w:val="both"/>
        <w:rPr/>
      </w:pPr>
      <w:r>
        <w:rPr>
          <w:rFonts w:cs="Arial" w:ascii="Arial" w:hAnsi="Arial"/>
          <w:b/>
          <w:szCs w:val="20"/>
        </w:rPr>
        <w:t xml:space="preserve">7. Scientific </w:t>
      </w:r>
      <w:r>
        <w:rPr>
          <w:rFonts w:cs="Arial" w:ascii="Arial" w:hAnsi="Arial"/>
          <w:kern w:val="0"/>
          <w:szCs w:val="20"/>
          <w:lang w:val="en-US" w:eastAsia="en-US" w:bidi="ar-SA"/>
        </w:rPr>
        <w:t>conclusions</w:t>
      </w:r>
    </w:p>
    <w:p>
      <w:pPr>
        <w:pStyle w:val="Normal"/>
        <w:jc w:val="both"/>
        <w:rPr>
          <w:rFonts w:ascii="Arial" w:hAnsi="Arial" w:cs="Arial"/>
          <w:szCs w:val="20"/>
        </w:rPr>
      </w:pPr>
      <w:r>
        <w:rPr>
          <w:rFonts w:cs="Arial" w:ascii="Arial" w:hAnsi="Arial"/>
          <w:szCs w:val="20"/>
        </w:rPr>
        <w:t>1. WLTP CO2 emissions are highly predictable from vehicle specifications in this dataset. The strong performance is consistent with the structured physical and regulatory nature of the data, but it does not mean the model has discovered a causal law.</w:t>
      </w:r>
    </w:p>
    <w:p>
      <w:pPr>
        <w:pStyle w:val="Normal"/>
        <w:jc w:val="both"/>
        <w:rPr>
          <w:rFonts w:ascii="Arial" w:hAnsi="Arial" w:cs="Arial"/>
          <w:szCs w:val="20"/>
        </w:rPr>
      </w:pPr>
      <w:r>
        <w:rPr>
          <w:rFonts w:cs="Arial" w:ascii="Arial" w:hAnsi="Arial"/>
          <w:szCs w:val="20"/>
        </w:rPr>
        <w:t>2. Powertrain regime is central. Electric range, fuel type and fuel mode separate low-emission electrified vehicles from predominantly higher-emission combustion vehicles and explain much of the model’s predictive power.</w:t>
      </w:r>
    </w:p>
    <w:p>
      <w:pPr>
        <w:pStyle w:val="Normal"/>
        <w:jc w:val="both"/>
        <w:rPr>
          <w:rFonts w:ascii="Arial" w:hAnsi="Arial" w:cs="Arial"/>
          <w:szCs w:val="20"/>
        </w:rPr>
      </w:pPr>
      <w:r>
        <w:rPr>
          <w:rFonts w:cs="Arial" w:ascii="Arial" w:hAnsi="Arial"/>
          <w:szCs w:val="20"/>
        </w:rPr>
        <w:t>3. Group-aware validation materially improves scientific credibility. It prevents repeated or near-identical technical configurations from appearing on both sides of evaluation.</w:t>
      </w:r>
    </w:p>
    <w:p>
      <w:pPr>
        <w:pStyle w:val="Normal"/>
        <w:jc w:val="both"/>
        <w:rPr>
          <w:rFonts w:ascii="Arial" w:hAnsi="Arial" w:cs="Arial"/>
          <w:szCs w:val="20"/>
        </w:rPr>
      </w:pPr>
      <w:r>
        <w:rPr>
          <w:rFonts w:cs="Arial" w:ascii="Arial" w:hAnsi="Arial"/>
          <w:szCs w:val="20"/>
        </w:rPr>
        <w:t>4. The temporal test is essential. The final score is still excellent in 2025, but configuration overlap means a second benchmark with stricter unseen-model or unseen-family splits would provide a harder test.</w:t>
      </w:r>
    </w:p>
    <w:p>
      <w:pPr>
        <w:pStyle w:val="Normal"/>
        <w:jc w:val="both"/>
        <w:rPr>
          <w:rFonts w:ascii="Arial" w:hAnsi="Arial" w:cs="Arial"/>
          <w:szCs w:val="20"/>
        </w:rPr>
      </w:pPr>
      <w:r>
        <w:rPr>
          <w:rFonts w:cs="Arial" w:ascii="Arial" w:hAnsi="Arial"/>
          <w:szCs w:val="20"/>
        </w:rPr>
        <w:t>5. The deep-learning result confirms that model-family choice should follow both data structure and evaluation design. The tested MLP and ExtraTrees showed different error trade-offs, so any final head-to-head decision should use the same split, preprocessing, and reporting metrics.</w:t>
      </w:r>
    </w:p>
    <w:p>
      <w:pPr>
        <w:pStyle w:val="Heading1"/>
        <w:widowControl/>
        <w:suppressAutoHyphens w:val="true"/>
        <w:bidi w:val="0"/>
        <w:spacing w:lineRule="auto" w:line="276"/>
        <w:ind w:hanging="0" w:start="0"/>
        <w:jc w:val="both"/>
        <w:rPr/>
      </w:pPr>
      <w:r>
        <w:rPr>
          <w:rFonts w:cs="Arial" w:ascii="Arial" w:hAnsi="Arial"/>
          <w:b/>
          <w:szCs w:val="20"/>
        </w:rPr>
        <w:t xml:space="preserve">8. Business conclusions and </w:t>
      </w:r>
      <w:r>
        <w:rPr>
          <w:rFonts w:cs="Arial" w:ascii="Arial" w:hAnsi="Arial"/>
          <w:kern w:val="0"/>
          <w:szCs w:val="20"/>
          <w:lang w:val="en-US" w:eastAsia="en-US" w:bidi="ar-SA"/>
        </w:rPr>
        <w:t>recommendations</w:t>
      </w:r>
    </w:p>
    <w:p>
      <w:pPr>
        <w:pStyle w:val="Normal"/>
        <w:jc w:val="both"/>
        <w:rPr>
          <w:rFonts w:ascii="Arial" w:hAnsi="Arial" w:cs="Arial"/>
          <w:szCs w:val="20"/>
        </w:rPr>
      </w:pPr>
      <w:r>
        <w:rPr>
          <w:rFonts w:cs="Arial" w:ascii="Arial" w:hAnsi="Arial"/>
          <w:szCs w:val="20"/>
        </w:rPr>
        <w:t>The model can support early CO2 estimation, quality checks and scenario analysis before official WLTP results are available, if input variables are available at prediction time. An MAE around 5.03 g/km on the reported 2025 test is useful for ranking and estimating vehicles, but it should not be treated as a regulatory replacement without subgroup and uncertainty analysis.</w:t>
      </w:r>
    </w:p>
    <w:p>
      <w:pPr>
        <w:pStyle w:val="Normal"/>
        <w:jc w:val="both"/>
        <w:rPr>
          <w:rFonts w:ascii="Arial" w:hAnsi="Arial" w:cs="Arial"/>
          <w:szCs w:val="20"/>
        </w:rPr>
      </w:pPr>
      <w:r>
        <w:rPr>
          <w:rFonts w:cs="Arial" w:ascii="Arial" w:hAnsi="Arial"/>
          <w:b/>
          <w:bCs/>
          <w:szCs w:val="20"/>
        </w:rPr>
        <w:t xml:space="preserve">Recommended deployment position: </w:t>
      </w:r>
      <w:r>
        <w:rPr>
          <w:rFonts w:cs="Arial" w:ascii="Arial" w:hAnsi="Arial"/>
          <w:szCs w:val="20"/>
        </w:rPr>
        <w:t>use tuned ExtraTrees as the primary prediction model; retain Random Forest as a benchmark alternative; keep the strict design-stage model for early product decisions; and use the extended model only when electric-range and IT specifications are genuinely known before prediction.</w:t>
      </w:r>
    </w:p>
    <w:p>
      <w:pPr>
        <w:pStyle w:val="Normal"/>
        <w:jc w:val="both"/>
        <w:rPr>
          <w:rFonts w:ascii="Arial" w:hAnsi="Arial" w:cs="Arial"/>
          <w:szCs w:val="20"/>
        </w:rPr>
      </w:pPr>
      <w:r>
        <w:rPr>
          <w:rFonts w:cs="Arial" w:ascii="Arial" w:hAnsi="Arial"/>
          <w:b/>
          <w:bCs/>
          <w:szCs w:val="20"/>
        </w:rPr>
        <w:t>Recommended safeguards:</w:t>
      </w:r>
      <w:r>
        <w:rPr>
          <w:rFonts w:cs="Arial" w:ascii="Arial" w:hAnsi="Arial"/>
          <w:szCs w:val="20"/>
        </w:rPr>
        <w:t xml:space="preserve"> report prediction intervals; monitor error by fuel mode, manufacturer, emissions range and unseen configuration status; prohibit post-test variables such as direct target proxies; retrain as new model years arrive; and keep a transparent feature dictionary so business users understand required inputs.</w:t>
      </w:r>
    </w:p>
    <w:p>
      <w:pPr>
        <w:pStyle w:val="Normal"/>
        <w:spacing w:before="0" w:after="200"/>
        <w:jc w:val="both"/>
        <w:rPr>
          <w:rFonts w:ascii="Arial" w:hAnsi="Arial" w:cs="Arial"/>
          <w:szCs w:val="20"/>
        </w:rPr>
      </w:pPr>
      <w:r>
        <w:rPr>
          <w:rFonts w:cs="Arial" w:ascii="Arial" w:hAnsi="Arial"/>
          <w:szCs w:val="20"/>
        </w:rPr>
      </w:r>
    </w:p>
    <w:p>
      <w:pPr>
        <w:pStyle w:val="Normal"/>
        <w:spacing w:before="0" w:after="200"/>
        <w:jc w:val="both"/>
        <w:rPr>
          <w:rFonts w:ascii="Arial" w:hAnsi="Arial" w:cs="Arial"/>
          <w:szCs w:val="20"/>
        </w:rPr>
      </w:pPr>
      <w:r>
        <w:rPr>
          <w:rFonts w:cs="Arial" w:ascii="Arial" w:hAnsi="Arial"/>
          <w:szCs w:val="20"/>
        </w:rPr>
      </w:r>
    </w:p>
    <w:p>
      <w:pPr>
        <w:pStyle w:val="Normal"/>
        <w:spacing w:before="0" w:after="200"/>
        <w:jc w:val="both"/>
        <w:rPr>
          <w:rFonts w:ascii="Arial" w:hAnsi="Arial" w:cs="Arial"/>
          <w:szCs w:val="20"/>
        </w:rPr>
      </w:pPr>
      <w:r>
        <w:rPr>
          <w:rFonts w:cs="Arial" w:ascii="Arial" w:hAnsi="Arial"/>
          <w:szCs w:val="20"/>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t xml:space="preserve">MODELING PART II: </w:t>
      </w:r>
    </w:p>
    <w:p>
      <w:pPr>
        <w:pStyle w:val="Heading1"/>
        <w:ind w:hanging="0" w:start="0"/>
        <w:jc w:val="both"/>
        <w:rPr>
          <w:rFonts w:ascii="Arial" w:hAnsi="Arial" w:cs="Arial"/>
          <w:sz w:val="52"/>
          <w:szCs w:val="52"/>
        </w:rPr>
      </w:pPr>
      <w:r>
        <w:rPr>
          <w:rFonts w:cs="Arial" w:ascii="Arial" w:hAnsi="Arial"/>
          <w:sz w:val="52"/>
          <w:szCs w:val="52"/>
        </w:rPr>
        <w:t>Analysis On Segmented Datasets</w:t>
      </w:r>
    </w:p>
    <w:p>
      <w:pPr>
        <w:pStyle w:val="Normal"/>
        <w:jc w:val="both"/>
        <w:rPr>
          <w:rFonts w:ascii="Arial" w:hAnsi="Arial" w:cs="Arial"/>
          <w:sz w:val="52"/>
          <w:szCs w:val="52"/>
        </w:rPr>
      </w:pPr>
      <w:r>
        <w:rPr>
          <w:rFonts w:cs="Arial" w:ascii="Arial" w:hAnsi="Arial"/>
          <w:sz w:val="52"/>
          <w:szCs w:val="52"/>
        </w:rPr>
      </w:r>
    </w:p>
    <w:p>
      <w:pPr>
        <w:pStyle w:val="Normal"/>
        <w:jc w:val="both"/>
        <w:rPr>
          <w:rFonts w:ascii="Arial" w:hAnsi="Arial" w:cs="Arial"/>
          <w:sz w:val="52"/>
          <w:szCs w:val="52"/>
        </w:rPr>
      </w:pPr>
      <w:r>
        <w:rPr>
          <w:rFonts w:cs="Arial" w:ascii="Arial" w:hAnsi="Arial"/>
          <w:sz w:val="52"/>
          <w:szCs w:val="52"/>
        </w:rPr>
      </w:r>
    </w:p>
    <w:p>
      <w:pPr>
        <w:pStyle w:val="Normal"/>
        <w:jc w:val="both"/>
        <w:rPr>
          <w:rFonts w:ascii="Arial" w:hAnsi="Arial" w:cs="Arial"/>
          <w:sz w:val="52"/>
          <w:szCs w:val="52"/>
        </w:rPr>
      </w:pPr>
      <w:r>
        <w:rPr>
          <w:rFonts w:cs="Arial" w:ascii="Arial" w:hAnsi="Arial"/>
          <w:sz w:val="52"/>
          <w:szCs w:val="52"/>
        </w:rPr>
      </w:r>
    </w:p>
    <w:p>
      <w:pPr>
        <w:pStyle w:val="Normal"/>
        <w:jc w:val="both"/>
        <w:rPr>
          <w:rFonts w:ascii="Arial" w:hAnsi="Arial" w:cs="Arial"/>
          <w:sz w:val="52"/>
          <w:szCs w:val="52"/>
        </w:rPr>
      </w:pPr>
      <w:r>
        <w:rPr>
          <w:rFonts w:cs="Arial" w:ascii="Arial" w:hAnsi="Arial"/>
          <w:sz w:val="52"/>
          <w:szCs w:val="52"/>
        </w:rPr>
      </w:r>
    </w:p>
    <w:p>
      <w:pPr>
        <w:pStyle w:val="Normal"/>
        <w:jc w:val="both"/>
        <w:rPr>
          <w:rFonts w:ascii="Arial" w:hAnsi="Arial" w:cs="Arial"/>
          <w:sz w:val="52"/>
          <w:szCs w:val="52"/>
        </w:rPr>
      </w:pPr>
      <w:r>
        <w:rPr>
          <w:rFonts w:cs="Arial" w:ascii="Arial" w:hAnsi="Arial"/>
          <w:sz w:val="52"/>
          <w:szCs w:val="52"/>
        </w:rPr>
      </w:r>
    </w:p>
    <w:p>
      <w:pPr>
        <w:pStyle w:val="Normal"/>
        <w:jc w:val="both"/>
        <w:rPr>
          <w:rFonts w:ascii="Arial" w:hAnsi="Arial" w:cs="Arial"/>
          <w:sz w:val="52"/>
          <w:szCs w:val="52"/>
        </w:rPr>
      </w:pPr>
      <w:r>
        <w:rPr>
          <w:rFonts w:cs="Arial" w:ascii="Arial" w:hAnsi="Arial"/>
          <w:sz w:val="52"/>
          <w:szCs w:val="52"/>
        </w:rPr>
      </w:r>
    </w:p>
    <w:p>
      <w:pPr>
        <w:pStyle w:val="Normal"/>
        <w:jc w:val="both"/>
        <w:rPr>
          <w:rFonts w:ascii="Arial" w:hAnsi="Arial" w:cs="Arial"/>
          <w:sz w:val="52"/>
          <w:szCs w:val="52"/>
        </w:rPr>
      </w:pPr>
      <w:r>
        <w:rPr>
          <w:rFonts w:cs="Arial" w:ascii="Arial" w:hAnsi="Arial"/>
          <w:sz w:val="52"/>
          <w:szCs w:val="52"/>
        </w:rPr>
      </w:r>
    </w:p>
    <w:p>
      <w:pPr>
        <w:pStyle w:val="Heading1"/>
        <w:ind w:hanging="0" w:start="0"/>
        <w:rPr/>
      </w:pPr>
      <w:r>
        <w:rPr/>
        <w:t>1. Data Preparation and Experimental Design</w:t>
      </w:r>
    </w:p>
    <w:p>
      <w:pPr>
        <w:pStyle w:val="Normal"/>
        <w:jc w:val="both"/>
        <w:rPr>
          <w:rFonts w:ascii="Arial" w:hAnsi="Arial" w:cs="Arial"/>
          <w:szCs w:val="20"/>
        </w:rPr>
      </w:pPr>
      <w:r>
        <w:rPr>
          <w:rFonts w:cs="Arial" w:ascii="Arial" w:hAnsi="Arial"/>
          <w:szCs w:val="20"/>
        </w:rPr>
        <w:t>The starting cleaned files contained 113,868 2024 records and 88,963 2025 records. Records were grouped by pre-test specification identifiers and technical attributes, and numeric measurements were replaced by registration-weighted means. This reduced the datasets to 15,957 unique 2024 records and 14,735 unique 2025 records.</w:t>
      </w:r>
    </w:p>
    <w:p>
      <w:pPr>
        <w:pStyle w:val="Normal"/>
        <w:jc w:val="both"/>
        <w:rPr>
          <w:rFonts w:ascii="Arial" w:hAnsi="Arial" w:cs="Arial"/>
          <w:szCs w:val="20"/>
        </w:rPr>
      </w:pPr>
      <w:r>
        <w:rPr>
          <w:rFonts w:cs="Arial" w:ascii="Arial" w:hAnsi="Arial"/>
          <w:szCs w:val="20"/>
        </w:rPr>
        <w:t>The target was Ewltp (g/km). The 2024 data were split with GroupShuffleSplit using mass, engine capacity, engine power, fuel type and fuel mode as the core group definition. Training and validation groups were disjoint, so validation measured performance on unseen core technical combinations. The 2025 dataset was kept untouched until final evaluation.</w:t>
      </w:r>
    </w:p>
    <w:p>
      <w:pPr>
        <w:pStyle w:val="Normal"/>
        <w:jc w:val="both"/>
        <w:rPr>
          <w:rFonts w:ascii="Arial" w:hAnsi="Arial" w:cs="Arial"/>
          <w:szCs w:val="20"/>
        </w:rPr>
      </w:pPr>
      <w:r>
        <w:rPr>
          <w:rFonts w:cs="Arial" w:ascii="Arial" w:hAnsi="Arial"/>
          <w:szCs w:val="20"/>
        </w:rPr>
        <w:t>A central improvement was replacing a simple random-style benchmark with a group-aware split. Groups were defined from core technical characteristics: mass, engine capacity, engine power, fuel type and fuel mode. The final split had zero exact core-configuration overlap between training and validation. The 2025 set was not used for model selection or tuning.</w:t>
      </w:r>
    </w:p>
    <w:p>
      <w:pPr>
        <w:pStyle w:val="Normal"/>
        <w:jc w:val="both"/>
        <w:rPr>
          <w:rFonts w:ascii="Arial" w:hAnsi="Arial" w:cs="Arial"/>
          <w:szCs w:val="20"/>
        </w:rPr>
      </w:pPr>
      <w:r>
        <w:rPr>
          <w:rFonts w:cs="Arial" w:ascii="Arial" w:hAnsi="Arial"/>
          <w:szCs w:val="20"/>
        </w:rPr>
        <w:t>Preprocessing was fitted on training data only and then applied to validation and test data. It included make target encoding, training-derived frequency maps, IT-code extraction, one-hot fuel encoding and scaling of continuous variables.</w:t>
      </w:r>
    </w:p>
    <w:p>
      <w:pPr>
        <w:pStyle w:val="Normal"/>
        <w:jc w:val="both"/>
        <w:rPr>
          <w:rFonts w:ascii="Arial" w:hAnsi="Arial" w:cs="Arial"/>
          <w:szCs w:val="20"/>
        </w:rPr>
      </w:pPr>
      <w:r>
        <w:rPr>
          <w:rFonts w:cs="Arial" w:ascii="Arial" w:hAnsi="Arial"/>
          <w:szCs w:val="20"/>
        </w:rPr>
        <w:t xml:space="preserve">The extension notebook separated the data into </w:t>
      </w:r>
      <w:r>
        <w:rPr>
          <w:rFonts w:cs="Arial" w:ascii="Arial" w:hAnsi="Arial"/>
          <w:b/>
          <w:bCs/>
          <w:szCs w:val="20"/>
        </w:rPr>
        <w:t>Mono-fuel (Fm=M), PHEV (Fm=P)</w:t>
      </w:r>
      <w:r>
        <w:rPr>
          <w:rFonts w:cs="Arial" w:ascii="Arial" w:hAnsi="Arial"/>
          <w:szCs w:val="20"/>
        </w:rPr>
        <w:t xml:space="preserve"> and </w:t>
      </w:r>
      <w:r>
        <w:rPr>
          <w:rFonts w:cs="Arial" w:ascii="Arial" w:hAnsi="Arial"/>
          <w:b/>
          <w:bCs/>
          <w:szCs w:val="20"/>
        </w:rPr>
        <w:t xml:space="preserve">Hybrid (Fm=H). </w:t>
      </w:r>
      <w:r>
        <w:rPr>
          <w:rFonts w:cs="Arial" w:ascii="Arial" w:hAnsi="Arial"/>
          <w:szCs w:val="20"/>
        </w:rPr>
        <w:t>Each subset was independently group-split, encoded and scaled. The fuel-mode column was removed because it was constant within each subset.</w:t>
      </w:r>
    </w:p>
    <w:p>
      <w:pPr>
        <w:pStyle w:val="Normal"/>
        <w:jc w:val="both"/>
        <w:rPr>
          <w:rFonts w:ascii="Arial" w:hAnsi="Arial" w:cs="Arial"/>
          <w:szCs w:val="20"/>
        </w:rPr>
      </w:pPr>
      <w:r>
        <w:rPr>
          <w:rFonts w:cs="Arial" w:ascii="Arial" w:hAnsi="Arial"/>
          <w:szCs w:val="20"/>
        </w:rPr>
        <w:t xml:space="preserve">The 2024/2025 record counts were </w:t>
      </w:r>
      <w:r>
        <w:rPr>
          <w:rFonts w:cs="Arial" w:ascii="Arial" w:hAnsi="Arial"/>
          <w:b/>
          <w:bCs/>
          <w:szCs w:val="20"/>
        </w:rPr>
        <w:t>Mono</w:t>
      </w:r>
      <w:r>
        <w:rPr>
          <w:rFonts w:cs="Arial" w:ascii="Arial" w:hAnsi="Arial"/>
          <w:szCs w:val="20"/>
        </w:rPr>
        <w:t xml:space="preserve"> 8,444/6,857, </w:t>
      </w:r>
      <w:r>
        <w:rPr>
          <w:rFonts w:cs="Arial" w:ascii="Arial" w:hAnsi="Arial"/>
          <w:b/>
          <w:bCs/>
          <w:szCs w:val="20"/>
        </w:rPr>
        <w:t>PHEV</w:t>
      </w:r>
      <w:r>
        <w:rPr>
          <w:rFonts w:cs="Arial" w:ascii="Arial" w:hAnsi="Arial"/>
          <w:szCs w:val="20"/>
        </w:rPr>
        <w:t xml:space="preserve"> 2,817/2,695 and </w:t>
      </w:r>
      <w:r>
        <w:rPr>
          <w:rFonts w:cs="Arial" w:ascii="Arial" w:hAnsi="Arial"/>
          <w:b/>
          <w:bCs/>
          <w:szCs w:val="20"/>
        </w:rPr>
        <w:t>Hybrid</w:t>
      </w:r>
      <w:r>
        <w:rPr>
          <w:rFonts w:cs="Arial" w:ascii="Arial" w:hAnsi="Arial"/>
          <w:szCs w:val="20"/>
        </w:rPr>
        <w:t xml:space="preserve"> 4,696/5,183. Training/validation counts were </w:t>
      </w:r>
      <w:r>
        <w:rPr>
          <w:rFonts w:cs="Arial" w:ascii="Arial" w:hAnsi="Arial"/>
          <w:b/>
          <w:bCs/>
          <w:szCs w:val="20"/>
        </w:rPr>
        <w:t>Mono</w:t>
      </w:r>
      <w:r>
        <w:rPr>
          <w:rFonts w:cs="Arial" w:ascii="Arial" w:hAnsi="Arial"/>
          <w:szCs w:val="20"/>
        </w:rPr>
        <w:t xml:space="preserve"> 6,816/1,628, </w:t>
      </w:r>
      <w:r>
        <w:rPr>
          <w:rFonts w:cs="Arial" w:ascii="Arial" w:hAnsi="Arial"/>
          <w:b/>
          <w:bCs/>
          <w:szCs w:val="20"/>
        </w:rPr>
        <w:t>PHEV</w:t>
      </w:r>
      <w:r>
        <w:rPr>
          <w:rFonts w:cs="Arial" w:ascii="Arial" w:hAnsi="Arial"/>
          <w:szCs w:val="20"/>
        </w:rPr>
        <w:t xml:space="preserve"> 2,246/571 and </w:t>
      </w:r>
      <w:r>
        <w:rPr>
          <w:rFonts w:cs="Arial" w:ascii="Arial" w:hAnsi="Arial"/>
          <w:b/>
          <w:bCs/>
          <w:szCs w:val="20"/>
        </w:rPr>
        <w:t>Hybrid</w:t>
      </w:r>
      <w:r>
        <w:rPr>
          <w:rFonts w:cs="Arial" w:ascii="Arial" w:hAnsi="Arial"/>
          <w:szCs w:val="20"/>
        </w:rPr>
        <w:t xml:space="preserve"> 3,745/951.</w:t>
      </w:r>
    </w:p>
    <w:p>
      <w:pPr>
        <w:pStyle w:val="Normal"/>
        <w:jc w:val="both"/>
        <w:rPr>
          <w:rFonts w:ascii="Arial" w:hAnsi="Arial" w:cs="Arial"/>
          <w:szCs w:val="20"/>
        </w:rPr>
      </w:pPr>
      <w:r>
        <w:rPr>
          <w:rFonts w:cs="Arial" w:ascii="Arial" w:hAnsi="Arial"/>
          <w:szCs w:val="20"/>
        </w:rPr>
        <w:t xml:space="preserve">Each final subset model used </w:t>
      </w:r>
      <w:r>
        <w:rPr>
          <w:rFonts w:cs="Arial" w:ascii="Arial" w:hAnsi="Arial"/>
          <w:b/>
          <w:bCs/>
          <w:szCs w:val="20"/>
        </w:rPr>
        <w:t>ExtraTreesRegressor</w:t>
      </w:r>
      <w:r>
        <w:rPr>
          <w:rFonts w:cs="Arial" w:ascii="Arial" w:hAnsi="Arial"/>
          <w:szCs w:val="20"/>
        </w:rPr>
        <w:t xml:space="preserve"> with n_estimators=388, max_depth=50, max_features=0.6702995511817258, min_samples_leaf=2 and min_samples_split=5, then was retrained on combined 2024 training and validation data.</w:t>
      </w:r>
    </w:p>
    <w:p>
      <w:pPr>
        <w:pStyle w:val="Heading1"/>
        <w:ind w:hanging="0" w:start="0"/>
        <w:rPr/>
      </w:pPr>
      <w:r>
        <w:rPr/>
        <w:t>2. Segmented Temporal Evaluation</w:t>
      </w:r>
    </w:p>
    <w:p>
      <w:pPr>
        <w:pStyle w:val="Normal"/>
        <w:jc w:val="both"/>
        <w:rPr>
          <w:rFonts w:ascii="Arial" w:hAnsi="Arial" w:cs="Arial"/>
          <w:szCs w:val="20"/>
        </w:rPr>
      </w:pPr>
      <w:r>
        <w:rPr>
          <w:rFonts w:cs="Arial" w:ascii="Arial" w:hAnsi="Arial"/>
          <w:szCs w:val="20"/>
        </w:rPr>
        <w:t>The 2025 results show that model performance differs strongly by powertrain segment. Mono and Hybrid predictions were generally stable, whereas PHEV predictions were substantially more difficult, especially for unseen configurations.</w:t>
      </w:r>
    </w:p>
    <w:p>
      <w:pPr>
        <w:pStyle w:val="Normal"/>
        <w:rPr>
          <w:b/>
          <w:bCs/>
        </w:rPr>
      </w:pPr>
      <w:r>
        <w:rPr>
          <w:b/>
          <w:bCs/>
        </w:rPr>
        <w:t>Fuel Mode: MONO</w:t>
      </w:r>
    </w:p>
    <w:tbl>
      <w:tblPr>
        <w:tblW w:w="9939" w:type="dxa"/>
        <w:jc w:val="start"/>
        <w:tblInd w:w="-118" w:type="dxa"/>
        <w:tblLayout w:type="fixed"/>
        <w:tblCellMar>
          <w:top w:w="0" w:type="dxa"/>
          <w:start w:w="108" w:type="dxa"/>
          <w:bottom w:w="0" w:type="dxa"/>
          <w:end w:w="108" w:type="dxa"/>
        </w:tblCellMar>
      </w:tblPr>
      <w:tblGrid>
        <w:gridCol w:w="2813"/>
        <w:gridCol w:w="1157"/>
        <w:gridCol w:w="1991"/>
        <w:gridCol w:w="1987"/>
        <w:gridCol w:w="1991"/>
      </w:tblGrid>
      <w:tr>
        <w:trPr>
          <w:trHeight w:val="376" w:hRule="atLeast"/>
        </w:trPr>
        <w:tc>
          <w:tcPr>
            <w:tcW w:w="2813"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2025 subset</w:t>
            </w:r>
          </w:p>
        </w:tc>
        <w:tc>
          <w:tcPr>
            <w:tcW w:w="1157"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Records</w:t>
            </w:r>
          </w:p>
        </w:tc>
        <w:tc>
          <w:tcPr>
            <w:tcW w:w="1991"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MAE</w:t>
            </w:r>
          </w:p>
        </w:tc>
        <w:tc>
          <w:tcPr>
            <w:tcW w:w="1987"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RMSE</w:t>
            </w:r>
          </w:p>
        </w:tc>
        <w:tc>
          <w:tcPr>
            <w:tcW w:w="1991"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R²</w:t>
            </w:r>
          </w:p>
        </w:tc>
      </w:tr>
      <w:tr>
        <w:trPr>
          <w:trHeight w:val="537" w:hRule="atLeast"/>
        </w:trPr>
        <w:tc>
          <w:tcPr>
            <w:tcW w:w="2813" w:type="dxa"/>
            <w:tcBorders>
              <w:top w:val="single" w:sz="4" w:space="0" w:color="000000"/>
              <w:start w:val="single" w:sz="4" w:space="0" w:color="000000"/>
              <w:bottom w:val="single" w:sz="4" w:space="0" w:color="000000"/>
            </w:tcBorders>
            <w:tcMar>
              <w:top w:w="58" w:type="dxa"/>
              <w:start w:w="58" w:type="dxa"/>
              <w:bottom w:w="58" w:type="dxa"/>
              <w:end w:w="58" w:type="dxa"/>
            </w:tcMar>
          </w:tcPr>
          <w:p>
            <w:pPr>
              <w:pStyle w:val="Normal"/>
              <w:bidi w:val="0"/>
              <w:spacing w:before="0" w:after="200"/>
              <w:jc w:val="center"/>
              <w:rPr>
                <w:rFonts w:ascii="Arial" w:hAnsi="Arial" w:cs="Arial"/>
                <w:szCs w:val="20"/>
              </w:rPr>
            </w:pPr>
            <w:r>
              <w:rPr>
                <w:rFonts w:cs="Arial" w:ascii="Arial" w:hAnsi="Arial"/>
                <w:szCs w:val="20"/>
              </w:rPr>
              <w:t>All 2025 records</w:t>
            </w:r>
          </w:p>
        </w:tc>
        <w:tc>
          <w:tcPr>
            <w:tcW w:w="1157" w:type="dxa"/>
            <w:tcBorders>
              <w:top w:val="single" w:sz="4" w:space="0" w:color="000000"/>
              <w:start w:val="single" w:sz="4" w:space="0" w:color="000000"/>
              <w:bottom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6857</w:t>
            </w:r>
          </w:p>
        </w:tc>
        <w:tc>
          <w:tcPr>
            <w:tcW w:w="1991" w:type="dxa"/>
            <w:tcBorders>
              <w:top w:val="single" w:sz="4" w:space="0" w:color="000000"/>
              <w:start w:val="single" w:sz="4" w:space="0" w:color="000000"/>
              <w:bottom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3.8459</w:t>
            </w:r>
          </w:p>
        </w:tc>
        <w:tc>
          <w:tcPr>
            <w:tcW w:w="1987" w:type="dxa"/>
            <w:tcBorders>
              <w:top w:val="single" w:sz="4" w:space="0" w:color="000000"/>
              <w:start w:val="single" w:sz="4" w:space="0" w:color="000000"/>
              <w:bottom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5.9373</w:t>
            </w:r>
          </w:p>
        </w:tc>
        <w:tc>
          <w:tcPr>
            <w:tcW w:w="199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0.9746</w:t>
            </w:r>
          </w:p>
        </w:tc>
      </w:tr>
      <w:tr>
        <w:trPr>
          <w:trHeight w:val="470" w:hRule="atLeast"/>
        </w:trPr>
        <w:tc>
          <w:tcPr>
            <w:tcW w:w="2813" w:type="dxa"/>
            <w:tcBorders>
              <w:start w:val="single" w:sz="4" w:space="0" w:color="000000"/>
              <w:bottom w:val="single" w:sz="4" w:space="0" w:color="000000"/>
            </w:tcBorders>
            <w:tcMar>
              <w:top w:w="58" w:type="dxa"/>
              <w:start w:w="58" w:type="dxa"/>
              <w:bottom w:w="58" w:type="dxa"/>
              <w:end w:w="58" w:type="dxa"/>
            </w:tcMar>
          </w:tcPr>
          <w:p>
            <w:pPr>
              <w:pStyle w:val="Normal"/>
              <w:bidi w:val="0"/>
              <w:spacing w:before="0" w:after="200"/>
              <w:jc w:val="center"/>
              <w:rPr>
                <w:rFonts w:ascii="Arial" w:hAnsi="Arial" w:cs="Arial"/>
                <w:szCs w:val="20"/>
              </w:rPr>
            </w:pPr>
            <w:r>
              <w:rPr>
                <w:rFonts w:cs="Arial" w:ascii="Arial" w:hAnsi="Arial"/>
                <w:szCs w:val="20"/>
              </w:rPr>
              <w:t>Seen core configurations</w:t>
            </w:r>
          </w:p>
        </w:tc>
        <w:tc>
          <w:tcPr>
            <w:tcW w:w="1157" w:type="dxa"/>
            <w:tcBorders>
              <w:start w:val="single" w:sz="4" w:space="0" w:color="000000"/>
              <w:bottom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5937</w:t>
            </w:r>
          </w:p>
        </w:tc>
        <w:tc>
          <w:tcPr>
            <w:tcW w:w="1991" w:type="dxa"/>
            <w:tcBorders>
              <w:start w:val="single" w:sz="4" w:space="0" w:color="000000"/>
              <w:bottom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3.4254</w:t>
            </w:r>
          </w:p>
        </w:tc>
        <w:tc>
          <w:tcPr>
            <w:tcW w:w="1987" w:type="dxa"/>
            <w:tcBorders>
              <w:start w:val="single" w:sz="4" w:space="0" w:color="000000"/>
              <w:bottom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5.1633</w:t>
            </w:r>
          </w:p>
        </w:tc>
        <w:tc>
          <w:tcPr>
            <w:tcW w:w="1991" w:type="dxa"/>
            <w:tcBorders>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0.9769</w:t>
            </w:r>
          </w:p>
        </w:tc>
      </w:tr>
      <w:tr>
        <w:trPr>
          <w:trHeight w:val="547" w:hRule="atLeast"/>
        </w:trPr>
        <w:tc>
          <w:tcPr>
            <w:tcW w:w="2813" w:type="dxa"/>
            <w:tcBorders>
              <w:start w:val="single" w:sz="4" w:space="0" w:color="000000"/>
              <w:bottom w:val="single" w:sz="4" w:space="0" w:color="000000"/>
            </w:tcBorders>
            <w:tcMar>
              <w:top w:w="58" w:type="dxa"/>
              <w:start w:w="58" w:type="dxa"/>
              <w:bottom w:w="58" w:type="dxa"/>
              <w:end w:w="58" w:type="dxa"/>
            </w:tcMar>
          </w:tcPr>
          <w:p>
            <w:pPr>
              <w:pStyle w:val="Normal"/>
              <w:bidi w:val="0"/>
              <w:spacing w:before="0" w:after="200"/>
              <w:jc w:val="center"/>
              <w:rPr>
                <w:rFonts w:ascii="Arial" w:hAnsi="Arial" w:cs="Arial"/>
                <w:szCs w:val="20"/>
              </w:rPr>
            </w:pPr>
            <w:r>
              <w:rPr>
                <w:rFonts w:cs="Arial" w:ascii="Arial" w:hAnsi="Arial"/>
                <w:szCs w:val="20"/>
              </w:rPr>
              <w:t>Unseen core configurations</w:t>
            </w:r>
          </w:p>
        </w:tc>
        <w:tc>
          <w:tcPr>
            <w:tcW w:w="1157" w:type="dxa"/>
            <w:tcBorders>
              <w:start w:val="single" w:sz="4" w:space="0" w:color="000000"/>
              <w:bottom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920</w:t>
            </w:r>
          </w:p>
        </w:tc>
        <w:tc>
          <w:tcPr>
            <w:tcW w:w="1991" w:type="dxa"/>
            <w:tcBorders>
              <w:start w:val="single" w:sz="4" w:space="0" w:color="000000"/>
              <w:bottom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6.5589</w:t>
            </w:r>
          </w:p>
        </w:tc>
        <w:tc>
          <w:tcPr>
            <w:tcW w:w="1987" w:type="dxa"/>
            <w:tcBorders>
              <w:start w:val="single" w:sz="4" w:space="0" w:color="000000"/>
              <w:bottom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9.5233</w:t>
            </w:r>
          </w:p>
        </w:tc>
        <w:tc>
          <w:tcPr>
            <w:tcW w:w="1991" w:type="dxa"/>
            <w:tcBorders>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szCs w:val="20"/>
              </w:rPr>
            </w:pPr>
            <w:r>
              <w:rPr>
                <w:rFonts w:cs="Arial" w:ascii="Arial" w:hAnsi="Arial"/>
                <w:szCs w:val="20"/>
              </w:rPr>
              <w:t>0.9634</w:t>
            </w:r>
          </w:p>
        </w:tc>
      </w:tr>
    </w:tbl>
    <w:p>
      <w:pPr>
        <w:pStyle w:val="Normal"/>
        <w:bidi w:val="0"/>
        <w:rPr/>
      </w:pPr>
      <w:r>
        <w:rPr/>
        <w:t>Seen configurations: 5,937 / 6,857 (86.58%) Unseen configurations: 920 / 6,857 (13.42%)</w:t>
      </w:r>
    </w:p>
    <w:p>
      <w:pPr>
        <w:pStyle w:val="Normal"/>
        <w:rPr>
          <w:b/>
          <w:bCs/>
        </w:rPr>
      </w:pPr>
      <w:r>
        <w:rPr>
          <w:b/>
          <w:bCs/>
        </w:rPr>
      </w:r>
    </w:p>
    <w:p>
      <w:pPr>
        <w:pStyle w:val="Normal"/>
        <w:rPr>
          <w:b/>
          <w:bCs/>
        </w:rPr>
      </w:pPr>
      <w:r>
        <w:rPr>
          <w:b/>
          <w:bCs/>
        </w:rPr>
        <w:t>Fuel Mode: PHEV</w:t>
      </w:r>
    </w:p>
    <w:tbl>
      <w:tblPr>
        <w:tblW w:w="8936" w:type="dxa"/>
        <w:jc w:val="start"/>
        <w:tblInd w:w="-118" w:type="dxa"/>
        <w:tblLayout w:type="fixed"/>
        <w:tblCellMar>
          <w:top w:w="0" w:type="dxa"/>
          <w:start w:w="108" w:type="dxa"/>
          <w:bottom w:w="0" w:type="dxa"/>
          <w:end w:w="108" w:type="dxa"/>
        </w:tblCellMar>
      </w:tblPr>
      <w:tblGrid>
        <w:gridCol w:w="2813"/>
        <w:gridCol w:w="1158"/>
        <w:gridCol w:w="1990"/>
        <w:gridCol w:w="1986"/>
        <w:gridCol w:w="989"/>
      </w:tblGrid>
      <w:tr>
        <w:trPr>
          <w:trHeight w:val="376" w:hRule="atLeast"/>
        </w:trPr>
        <w:tc>
          <w:tcPr>
            <w:tcW w:w="2813"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2025 subset</w:t>
            </w:r>
          </w:p>
        </w:tc>
        <w:tc>
          <w:tcPr>
            <w:tcW w:w="1158"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Records</w:t>
            </w:r>
          </w:p>
        </w:tc>
        <w:tc>
          <w:tcPr>
            <w:tcW w:w="1990"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MAE</w:t>
            </w:r>
          </w:p>
        </w:tc>
        <w:tc>
          <w:tcPr>
            <w:tcW w:w="1986"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RMSE</w:t>
            </w:r>
          </w:p>
        </w:tc>
        <w:tc>
          <w:tcPr>
            <w:tcW w:w="989"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spacing w:lineRule="auto" w:line="240" w:before="0" w:after="0"/>
              <w:jc w:val="center"/>
              <w:rPr>
                <w:rFonts w:eastAsia="ＭＳ 明朝"/>
                <w:b/>
              </w:rPr>
            </w:pPr>
            <w:r>
              <w:rPr>
                <w:rFonts w:eastAsia="ＭＳ 明朝"/>
                <w:b/>
              </w:rPr>
              <w:t>R²</w:t>
            </w:r>
          </w:p>
        </w:tc>
      </w:tr>
      <w:tr>
        <w:trPr>
          <w:trHeight w:val="537" w:hRule="atLeast"/>
        </w:trPr>
        <w:tc>
          <w:tcPr>
            <w:tcW w:w="2813" w:type="dxa"/>
            <w:tcBorders>
              <w:top w:val="single" w:sz="2" w:space="0" w:color="000000"/>
              <w:start w:val="single" w:sz="2" w:space="0" w:color="000000"/>
              <w:bottom w:val="single" w:sz="2" w:space="0" w:color="000000"/>
            </w:tcBorders>
            <w:vAlign w:val="center"/>
          </w:tcPr>
          <w:p>
            <w:pPr>
              <w:pStyle w:val="Normal"/>
              <w:bidi w:val="0"/>
              <w:spacing w:before="0" w:after="200"/>
              <w:jc w:val="center"/>
              <w:rPr>
                <w:rFonts w:ascii="Arial" w:hAnsi="Arial" w:cs="Arial"/>
                <w:szCs w:val="20"/>
              </w:rPr>
            </w:pPr>
            <w:r>
              <w:rPr>
                <w:rFonts w:cs="Arial" w:ascii="Arial" w:hAnsi="Arial"/>
                <w:szCs w:val="20"/>
              </w:rPr>
              <w:t>All 2025 records</w:t>
            </w:r>
          </w:p>
        </w:tc>
        <w:tc>
          <w:tcPr>
            <w:tcW w:w="1158" w:type="dxa"/>
            <w:tcBorders>
              <w:top w:val="single" w:sz="2" w:space="0" w:color="000000"/>
              <w:start w:val="single" w:sz="2" w:space="0" w:color="000000"/>
              <w:bottom w:val="single" w:sz="2" w:space="0" w:color="000000"/>
            </w:tcBorders>
            <w:vAlign w:val="center"/>
          </w:tcPr>
          <w:p>
            <w:pPr>
              <w:pStyle w:val="Normal"/>
              <w:spacing w:before="0" w:after="200"/>
              <w:jc w:val="center"/>
              <w:rPr>
                <w:rFonts w:ascii="Arial" w:hAnsi="Arial" w:cs="Arial"/>
                <w:szCs w:val="20"/>
              </w:rPr>
            </w:pPr>
            <w:r>
              <w:rPr>
                <w:rFonts w:cs="Arial" w:ascii="Arial" w:hAnsi="Arial"/>
                <w:szCs w:val="20"/>
              </w:rPr>
              <w:t>2695</w:t>
            </w:r>
          </w:p>
        </w:tc>
        <w:tc>
          <w:tcPr>
            <w:tcW w:w="1990" w:type="dxa"/>
            <w:tcBorders>
              <w:top w:val="single" w:sz="2" w:space="0" w:color="000000"/>
              <w:start w:val="single" w:sz="2" w:space="0" w:color="000000"/>
              <w:bottom w:val="single" w:sz="2" w:space="0" w:color="000000"/>
            </w:tcBorders>
            <w:vAlign w:val="center"/>
          </w:tcPr>
          <w:p>
            <w:pPr>
              <w:pStyle w:val="Normal"/>
              <w:spacing w:before="0" w:after="200"/>
              <w:jc w:val="center"/>
              <w:rPr>
                <w:rFonts w:ascii="Arial" w:hAnsi="Arial" w:cs="Arial"/>
                <w:szCs w:val="20"/>
              </w:rPr>
            </w:pPr>
            <w:r>
              <w:rPr>
                <w:rFonts w:cs="Arial" w:ascii="Arial" w:hAnsi="Arial"/>
                <w:szCs w:val="20"/>
              </w:rPr>
              <w:t>9.6732</w:t>
            </w:r>
          </w:p>
        </w:tc>
        <w:tc>
          <w:tcPr>
            <w:tcW w:w="1986" w:type="dxa"/>
            <w:tcBorders>
              <w:top w:val="single" w:sz="2" w:space="0" w:color="000000"/>
              <w:start w:val="single" w:sz="2" w:space="0" w:color="000000"/>
              <w:bottom w:val="single" w:sz="2" w:space="0" w:color="000000"/>
            </w:tcBorders>
            <w:vAlign w:val="center"/>
          </w:tcPr>
          <w:p>
            <w:pPr>
              <w:pStyle w:val="Normal"/>
              <w:spacing w:before="0" w:after="200"/>
              <w:jc w:val="center"/>
              <w:rPr>
                <w:rFonts w:ascii="Arial" w:hAnsi="Arial" w:cs="Arial"/>
                <w:szCs w:val="20"/>
              </w:rPr>
            </w:pPr>
            <w:r>
              <w:rPr>
                <w:rFonts w:cs="Arial" w:ascii="Arial" w:hAnsi="Arial"/>
                <w:szCs w:val="20"/>
              </w:rPr>
              <w:t>20.4547</w:t>
            </w:r>
          </w:p>
        </w:tc>
        <w:tc>
          <w:tcPr>
            <w:tcW w:w="989"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200"/>
              <w:jc w:val="center"/>
              <w:rPr>
                <w:rFonts w:ascii="Arial" w:hAnsi="Arial" w:cs="Arial"/>
                <w:szCs w:val="20"/>
              </w:rPr>
            </w:pPr>
            <w:r>
              <w:rPr>
                <w:rFonts w:cs="Arial" w:ascii="Arial" w:hAnsi="Arial"/>
                <w:szCs w:val="20"/>
              </w:rPr>
              <w:t>0.5044</w:t>
            </w:r>
          </w:p>
        </w:tc>
      </w:tr>
      <w:tr>
        <w:trPr>
          <w:trHeight w:val="470" w:hRule="atLeast"/>
        </w:trPr>
        <w:tc>
          <w:tcPr>
            <w:tcW w:w="2813" w:type="dxa"/>
            <w:tcBorders>
              <w:start w:val="single" w:sz="2" w:space="0" w:color="000000"/>
              <w:bottom w:val="single" w:sz="2" w:space="0" w:color="000000"/>
            </w:tcBorders>
            <w:vAlign w:val="center"/>
          </w:tcPr>
          <w:p>
            <w:pPr>
              <w:pStyle w:val="Normal"/>
              <w:bidi w:val="0"/>
              <w:spacing w:before="0" w:after="200"/>
              <w:jc w:val="center"/>
              <w:rPr>
                <w:rFonts w:ascii="Arial" w:hAnsi="Arial" w:cs="Arial"/>
                <w:szCs w:val="20"/>
              </w:rPr>
            </w:pPr>
            <w:r>
              <w:rPr>
                <w:rFonts w:cs="Arial" w:ascii="Arial" w:hAnsi="Arial"/>
                <w:szCs w:val="20"/>
              </w:rPr>
              <w:t>Seen core configurations</w:t>
            </w:r>
          </w:p>
        </w:tc>
        <w:tc>
          <w:tcPr>
            <w:tcW w:w="1158" w:type="dxa"/>
            <w:tcBorders>
              <w:start w:val="single" w:sz="2" w:space="0" w:color="000000"/>
              <w:bottom w:val="single" w:sz="2" w:space="0" w:color="000000"/>
            </w:tcBorders>
            <w:vAlign w:val="center"/>
          </w:tcPr>
          <w:p>
            <w:pPr>
              <w:pStyle w:val="Normal"/>
              <w:spacing w:before="0" w:after="200"/>
              <w:jc w:val="center"/>
              <w:rPr>
                <w:rFonts w:ascii="Arial" w:hAnsi="Arial" w:cs="Arial"/>
                <w:szCs w:val="20"/>
              </w:rPr>
            </w:pPr>
            <w:r>
              <w:rPr>
                <w:rFonts w:cs="Arial" w:ascii="Arial" w:hAnsi="Arial"/>
                <w:szCs w:val="20"/>
              </w:rPr>
              <w:t>2269</w:t>
            </w:r>
          </w:p>
        </w:tc>
        <w:tc>
          <w:tcPr>
            <w:tcW w:w="1990" w:type="dxa"/>
            <w:tcBorders>
              <w:start w:val="single" w:sz="2" w:space="0" w:color="000000"/>
              <w:bottom w:val="single" w:sz="2" w:space="0" w:color="000000"/>
            </w:tcBorders>
            <w:vAlign w:val="center"/>
          </w:tcPr>
          <w:p>
            <w:pPr>
              <w:pStyle w:val="Normal"/>
              <w:spacing w:before="0" w:after="200"/>
              <w:jc w:val="center"/>
              <w:rPr>
                <w:rFonts w:ascii="Arial" w:hAnsi="Arial" w:cs="Arial"/>
                <w:szCs w:val="20"/>
              </w:rPr>
            </w:pPr>
            <w:r>
              <w:rPr>
                <w:rFonts w:cs="Arial" w:ascii="Arial" w:hAnsi="Arial"/>
                <w:szCs w:val="20"/>
              </w:rPr>
              <w:t>6.7831</w:t>
            </w:r>
          </w:p>
        </w:tc>
        <w:tc>
          <w:tcPr>
            <w:tcW w:w="1986" w:type="dxa"/>
            <w:tcBorders>
              <w:start w:val="single" w:sz="2" w:space="0" w:color="000000"/>
              <w:bottom w:val="single" w:sz="2" w:space="0" w:color="000000"/>
            </w:tcBorders>
            <w:vAlign w:val="center"/>
          </w:tcPr>
          <w:p>
            <w:pPr>
              <w:pStyle w:val="Normal"/>
              <w:spacing w:before="0" w:after="200"/>
              <w:jc w:val="center"/>
              <w:rPr>
                <w:rFonts w:ascii="Arial" w:hAnsi="Arial" w:cs="Arial"/>
                <w:szCs w:val="20"/>
              </w:rPr>
            </w:pPr>
            <w:r>
              <w:rPr>
                <w:rFonts w:cs="Arial" w:ascii="Arial" w:hAnsi="Arial"/>
                <w:szCs w:val="20"/>
              </w:rPr>
              <w:t>17.1844</w:t>
            </w:r>
          </w:p>
        </w:tc>
        <w:tc>
          <w:tcPr>
            <w:tcW w:w="989" w:type="dxa"/>
            <w:tcBorders>
              <w:start w:val="single" w:sz="2" w:space="0" w:color="000000"/>
              <w:bottom w:val="single" w:sz="2" w:space="0" w:color="000000"/>
              <w:end w:val="single" w:sz="2" w:space="0" w:color="000000"/>
            </w:tcBorders>
            <w:vAlign w:val="center"/>
          </w:tcPr>
          <w:p>
            <w:pPr>
              <w:pStyle w:val="Normal"/>
              <w:spacing w:before="0" w:after="200"/>
              <w:jc w:val="center"/>
              <w:rPr>
                <w:rFonts w:ascii="Arial" w:hAnsi="Arial" w:cs="Arial"/>
                <w:szCs w:val="20"/>
              </w:rPr>
            </w:pPr>
            <w:r>
              <w:rPr>
                <w:rFonts w:cs="Arial" w:ascii="Arial" w:hAnsi="Arial"/>
                <w:szCs w:val="20"/>
              </w:rPr>
              <w:t>0.6289</w:t>
            </w:r>
          </w:p>
        </w:tc>
      </w:tr>
      <w:tr>
        <w:trPr>
          <w:trHeight w:val="547" w:hRule="atLeast"/>
        </w:trPr>
        <w:tc>
          <w:tcPr>
            <w:tcW w:w="2813" w:type="dxa"/>
            <w:tcBorders>
              <w:start w:val="single" w:sz="2" w:space="0" w:color="000000"/>
              <w:bottom w:val="single" w:sz="2" w:space="0" w:color="000000"/>
            </w:tcBorders>
            <w:vAlign w:val="center"/>
          </w:tcPr>
          <w:p>
            <w:pPr>
              <w:pStyle w:val="Normal"/>
              <w:bidi w:val="0"/>
              <w:spacing w:before="0" w:after="200"/>
              <w:jc w:val="center"/>
              <w:rPr>
                <w:rFonts w:ascii="Arial" w:hAnsi="Arial" w:cs="Arial"/>
                <w:szCs w:val="20"/>
              </w:rPr>
            </w:pPr>
            <w:r>
              <w:rPr>
                <w:rFonts w:cs="Arial" w:ascii="Arial" w:hAnsi="Arial"/>
                <w:szCs w:val="20"/>
              </w:rPr>
              <w:t>Unseen core configurations</w:t>
            </w:r>
          </w:p>
        </w:tc>
        <w:tc>
          <w:tcPr>
            <w:tcW w:w="1158" w:type="dxa"/>
            <w:tcBorders>
              <w:start w:val="single" w:sz="2" w:space="0" w:color="000000"/>
              <w:bottom w:val="single" w:sz="2" w:space="0" w:color="000000"/>
            </w:tcBorders>
            <w:vAlign w:val="center"/>
          </w:tcPr>
          <w:p>
            <w:pPr>
              <w:pStyle w:val="Normal"/>
              <w:spacing w:before="0" w:after="200"/>
              <w:jc w:val="center"/>
              <w:rPr>
                <w:rFonts w:ascii="Arial" w:hAnsi="Arial" w:cs="Arial"/>
                <w:szCs w:val="20"/>
              </w:rPr>
            </w:pPr>
            <w:r>
              <w:rPr>
                <w:rFonts w:cs="Arial" w:ascii="Arial" w:hAnsi="Arial"/>
                <w:szCs w:val="20"/>
              </w:rPr>
              <w:t>426</w:t>
            </w:r>
          </w:p>
        </w:tc>
        <w:tc>
          <w:tcPr>
            <w:tcW w:w="1990" w:type="dxa"/>
            <w:tcBorders>
              <w:start w:val="single" w:sz="2" w:space="0" w:color="000000"/>
              <w:bottom w:val="single" w:sz="2" w:space="0" w:color="000000"/>
            </w:tcBorders>
            <w:vAlign w:val="center"/>
          </w:tcPr>
          <w:p>
            <w:pPr>
              <w:pStyle w:val="Normal"/>
              <w:spacing w:before="0" w:after="200"/>
              <w:jc w:val="center"/>
              <w:rPr>
                <w:rFonts w:ascii="Arial" w:hAnsi="Arial" w:cs="Arial"/>
                <w:szCs w:val="20"/>
              </w:rPr>
            </w:pPr>
            <w:r>
              <w:rPr>
                <w:rFonts w:cs="Arial" w:ascii="Arial" w:hAnsi="Arial"/>
                <w:szCs w:val="20"/>
              </w:rPr>
              <w:t>25.0665</w:t>
            </w:r>
          </w:p>
        </w:tc>
        <w:tc>
          <w:tcPr>
            <w:tcW w:w="1986" w:type="dxa"/>
            <w:tcBorders>
              <w:start w:val="single" w:sz="2" w:space="0" w:color="000000"/>
              <w:bottom w:val="single" w:sz="2" w:space="0" w:color="000000"/>
            </w:tcBorders>
            <w:vAlign w:val="center"/>
          </w:tcPr>
          <w:p>
            <w:pPr>
              <w:pStyle w:val="Normal"/>
              <w:spacing w:before="0" w:after="200"/>
              <w:jc w:val="center"/>
              <w:rPr>
                <w:rFonts w:ascii="Arial" w:hAnsi="Arial" w:cs="Arial"/>
                <w:szCs w:val="20"/>
              </w:rPr>
            </w:pPr>
            <w:r>
              <w:rPr>
                <w:rFonts w:cs="Arial" w:ascii="Arial" w:hAnsi="Arial"/>
                <w:szCs w:val="20"/>
              </w:rPr>
              <w:t>32.7719</w:t>
            </w:r>
          </w:p>
        </w:tc>
        <w:tc>
          <w:tcPr>
            <w:tcW w:w="989" w:type="dxa"/>
            <w:tcBorders>
              <w:start w:val="single" w:sz="2" w:space="0" w:color="000000"/>
              <w:bottom w:val="single" w:sz="2" w:space="0" w:color="000000"/>
              <w:end w:val="single" w:sz="2" w:space="0" w:color="000000"/>
            </w:tcBorders>
            <w:vAlign w:val="center"/>
          </w:tcPr>
          <w:p>
            <w:pPr>
              <w:pStyle w:val="Normal"/>
              <w:spacing w:before="0" w:after="200"/>
              <w:jc w:val="center"/>
              <w:rPr>
                <w:rFonts w:ascii="Arial" w:hAnsi="Arial" w:cs="Arial"/>
                <w:szCs w:val="20"/>
              </w:rPr>
            </w:pPr>
            <w:r>
              <w:rPr>
                <w:rFonts w:cs="Arial" w:ascii="Arial" w:hAnsi="Arial"/>
                <w:szCs w:val="20"/>
              </w:rPr>
              <w:t>-0.0684</w:t>
            </w:r>
          </w:p>
        </w:tc>
      </w:tr>
    </w:tbl>
    <w:p>
      <w:pPr>
        <w:pStyle w:val="Normal"/>
        <w:rPr/>
      </w:pPr>
      <w:r>
        <w:rPr/>
        <w:t>Seen configurations: 2,269 / 2,695 (84.19%) Unseen configurations: 426 / 2,695 (15.81%)</w:t>
      </w:r>
    </w:p>
    <w:p>
      <w:pPr>
        <w:pStyle w:val="Normal"/>
        <w:rPr>
          <w:b/>
          <w:bCs/>
        </w:rPr>
      </w:pPr>
      <w:r>
        <w:rPr>
          <w:b/>
          <w:bCs/>
        </w:rPr>
        <w:t>Fuel Mode: HYBRID</w:t>
      </w:r>
    </w:p>
    <w:tbl>
      <w:tblPr>
        <w:tblW w:w="8936" w:type="dxa"/>
        <w:jc w:val="start"/>
        <w:tblInd w:w="-113" w:type="dxa"/>
        <w:tblLayout w:type="fixed"/>
        <w:tblCellMar>
          <w:top w:w="0" w:type="dxa"/>
          <w:start w:w="108" w:type="dxa"/>
          <w:bottom w:w="0" w:type="dxa"/>
          <w:end w:w="108" w:type="dxa"/>
        </w:tblCellMar>
      </w:tblPr>
      <w:tblGrid>
        <w:gridCol w:w="2813"/>
        <w:gridCol w:w="1158"/>
        <w:gridCol w:w="1990"/>
        <w:gridCol w:w="1986"/>
        <w:gridCol w:w="989"/>
      </w:tblGrid>
      <w:tr>
        <w:trPr>
          <w:trHeight w:val="376" w:hRule="atLeast"/>
        </w:trPr>
        <w:tc>
          <w:tcPr>
            <w:tcW w:w="2813" w:type="dxa"/>
            <w:tcBorders>
              <w:top w:val="single" w:sz="2" w:space="0" w:color="000000"/>
              <w:start w:val="single" w:sz="2" w:space="0" w:color="000000"/>
              <w:bottom w:val="single" w:sz="2" w:space="0" w:color="000000"/>
            </w:tcBorders>
            <w:shd w:fill="D9EAF7"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kern w:val="0"/>
                <w:szCs w:val="22"/>
                <w:lang w:val="en-US" w:eastAsia="en-US" w:bidi="ar-SA"/>
              </w:rPr>
              <w:t>2025 subset</w:t>
            </w:r>
          </w:p>
        </w:tc>
        <w:tc>
          <w:tcPr>
            <w:tcW w:w="1158" w:type="dxa"/>
            <w:tcBorders>
              <w:top w:val="single" w:sz="2" w:space="0" w:color="000000"/>
              <w:start w:val="single" w:sz="2" w:space="0" w:color="000000"/>
              <w:bottom w:val="single" w:sz="2" w:space="0" w:color="000000"/>
            </w:tcBorders>
            <w:shd w:fill="D9EAF7"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kern w:val="0"/>
                <w:szCs w:val="22"/>
                <w:lang w:val="en-US" w:eastAsia="en-US" w:bidi="ar-SA"/>
              </w:rPr>
              <w:t>Records</w:t>
            </w:r>
          </w:p>
        </w:tc>
        <w:tc>
          <w:tcPr>
            <w:tcW w:w="1990" w:type="dxa"/>
            <w:tcBorders>
              <w:top w:val="single" w:sz="2" w:space="0" w:color="000000"/>
              <w:start w:val="single" w:sz="2" w:space="0" w:color="000000"/>
              <w:bottom w:val="single" w:sz="2" w:space="0" w:color="000000"/>
            </w:tcBorders>
            <w:shd w:fill="D9EAF7"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kern w:val="0"/>
                <w:szCs w:val="22"/>
                <w:lang w:val="en-US" w:eastAsia="en-US" w:bidi="ar-SA"/>
              </w:rPr>
              <w:t>MAE</w:t>
            </w:r>
          </w:p>
        </w:tc>
        <w:tc>
          <w:tcPr>
            <w:tcW w:w="1986" w:type="dxa"/>
            <w:tcBorders>
              <w:top w:val="single" w:sz="2" w:space="0" w:color="000000"/>
              <w:start w:val="single" w:sz="2" w:space="0" w:color="000000"/>
              <w:bottom w:val="single" w:sz="2" w:space="0" w:color="000000"/>
            </w:tcBorders>
            <w:shd w:fill="D9EAF7"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kern w:val="0"/>
                <w:szCs w:val="22"/>
                <w:lang w:val="en-US" w:eastAsia="en-US" w:bidi="ar-SA"/>
              </w:rPr>
              <w:t>RMSE</w:t>
            </w:r>
          </w:p>
        </w:tc>
        <w:tc>
          <w:tcPr>
            <w:tcW w:w="989" w:type="dxa"/>
            <w:tcBorders>
              <w:top w:val="single" w:sz="2" w:space="0" w:color="000000"/>
              <w:start w:val="single" w:sz="2" w:space="0" w:color="000000"/>
              <w:bottom w:val="single" w:sz="2" w:space="0" w:color="000000"/>
              <w:end w:val="single" w:sz="2" w:space="0" w:color="000000"/>
            </w:tcBorders>
            <w:shd w:fill="D9EAF7"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kern w:val="0"/>
                <w:szCs w:val="22"/>
                <w:lang w:val="en-US" w:eastAsia="en-US" w:bidi="ar-SA"/>
              </w:rPr>
              <w:t>R²</w:t>
            </w:r>
          </w:p>
        </w:tc>
      </w:tr>
      <w:tr>
        <w:trPr>
          <w:trHeight w:val="537" w:hRule="atLeast"/>
        </w:trPr>
        <w:tc>
          <w:tcPr>
            <w:tcW w:w="2813" w:type="dxa"/>
            <w:tcBorders>
              <w:start w:val="single" w:sz="2" w:space="0" w:color="000000"/>
              <w:bottom w:val="single" w:sz="2" w:space="0" w:color="000000"/>
            </w:tcBorders>
            <w:vAlign w:val="center"/>
          </w:tcPr>
          <w:p>
            <w:pPr>
              <w:pStyle w:val="Normal"/>
              <w:widowControl/>
              <w:suppressAutoHyphens w:val="true"/>
              <w:bidi w:val="0"/>
              <w:spacing w:lineRule="auto" w:line="240" w:before="0" w:after="0"/>
              <w:jc w:val="center"/>
              <w:rPr>
                <w:rFonts w:eastAsia="ＭＳ 明朝"/>
                <w:kern w:val="0"/>
                <w:szCs w:val="22"/>
                <w:lang w:val="en-US" w:eastAsia="en-US" w:bidi="ar-SA"/>
              </w:rPr>
            </w:pPr>
            <w:r>
              <w:rPr>
                <w:rFonts w:eastAsia="ＭＳ 明朝"/>
                <w:kern w:val="0"/>
                <w:szCs w:val="22"/>
                <w:lang w:val="en-US" w:eastAsia="en-US" w:bidi="ar-SA"/>
              </w:rPr>
              <w:t>All 2025 records</w:t>
            </w:r>
          </w:p>
        </w:tc>
        <w:tc>
          <w:tcPr>
            <w:tcW w:w="1158" w:type="dxa"/>
            <w:tcBorders>
              <w:start w:val="single" w:sz="2" w:space="0" w:color="000000"/>
              <w:bottom w:val="single" w:sz="2" w:space="0" w:color="000000"/>
            </w:tcBorders>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kern w:val="0"/>
                <w:szCs w:val="22"/>
                <w:lang w:val="en-US" w:eastAsia="en-US" w:bidi="ar-SA"/>
              </w:rPr>
              <w:t>5183</w:t>
            </w:r>
          </w:p>
        </w:tc>
        <w:tc>
          <w:tcPr>
            <w:tcW w:w="1990" w:type="dxa"/>
            <w:tcBorders>
              <w:start w:val="single" w:sz="2" w:space="0" w:color="000000"/>
              <w:bottom w:val="single" w:sz="2" w:space="0" w:color="000000"/>
            </w:tcBorders>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kern w:val="0"/>
                <w:szCs w:val="22"/>
                <w:lang w:val="en-US" w:eastAsia="en-US" w:bidi="ar-SA"/>
              </w:rPr>
              <w:t>4.9229</w:t>
            </w:r>
          </w:p>
        </w:tc>
        <w:tc>
          <w:tcPr>
            <w:tcW w:w="1986" w:type="dxa"/>
            <w:tcBorders>
              <w:start w:val="single" w:sz="2" w:space="0" w:color="000000"/>
              <w:bottom w:val="single" w:sz="2" w:space="0" w:color="000000"/>
            </w:tcBorders>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kern w:val="0"/>
                <w:szCs w:val="22"/>
                <w:lang w:val="en-US" w:eastAsia="en-US" w:bidi="ar-SA"/>
              </w:rPr>
              <w:t>7.4179</w:t>
            </w:r>
          </w:p>
        </w:tc>
        <w:tc>
          <w:tcPr>
            <w:tcW w:w="989" w:type="dxa"/>
            <w:tcBorders>
              <w:start w:val="single" w:sz="2" w:space="0" w:color="000000"/>
              <w:bottom w:val="single" w:sz="2" w:space="0" w:color="000000"/>
              <w:end w:val="single" w:sz="2" w:space="0" w:color="000000"/>
            </w:tcBorders>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kern w:val="0"/>
                <w:szCs w:val="22"/>
                <w:lang w:val="en-US" w:eastAsia="en-US" w:bidi="ar-SA"/>
              </w:rPr>
              <w:t>0.9430</w:t>
            </w:r>
          </w:p>
        </w:tc>
      </w:tr>
      <w:tr>
        <w:trPr>
          <w:trHeight w:val="470" w:hRule="atLeast"/>
        </w:trPr>
        <w:tc>
          <w:tcPr>
            <w:tcW w:w="2813" w:type="dxa"/>
            <w:tcBorders>
              <w:start w:val="single" w:sz="2" w:space="0" w:color="000000"/>
              <w:bottom w:val="single" w:sz="2" w:space="0" w:color="000000"/>
            </w:tcBorders>
            <w:vAlign w:val="center"/>
          </w:tcPr>
          <w:p>
            <w:pPr>
              <w:pStyle w:val="Normal"/>
              <w:widowControl/>
              <w:suppressAutoHyphens w:val="true"/>
              <w:bidi w:val="0"/>
              <w:spacing w:lineRule="auto" w:line="240" w:before="0" w:after="0"/>
              <w:jc w:val="center"/>
              <w:rPr>
                <w:rFonts w:eastAsia="ＭＳ 明朝"/>
                <w:kern w:val="0"/>
                <w:szCs w:val="22"/>
                <w:lang w:val="en-US" w:eastAsia="en-US" w:bidi="ar-SA"/>
              </w:rPr>
            </w:pPr>
            <w:r>
              <w:rPr>
                <w:rFonts w:eastAsia="ＭＳ 明朝"/>
                <w:kern w:val="0"/>
                <w:szCs w:val="22"/>
                <w:lang w:val="en-US" w:eastAsia="en-US" w:bidi="ar-SA"/>
              </w:rPr>
              <w:t>Seen core configurations</w:t>
            </w:r>
          </w:p>
        </w:tc>
        <w:tc>
          <w:tcPr>
            <w:tcW w:w="1158" w:type="dxa"/>
            <w:tcBorders>
              <w:start w:val="single" w:sz="2" w:space="0" w:color="000000"/>
              <w:bottom w:val="single" w:sz="2" w:space="0" w:color="000000"/>
            </w:tcBorders>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kern w:val="0"/>
                <w:szCs w:val="22"/>
                <w:lang w:val="en-US" w:eastAsia="en-US" w:bidi="ar-SA"/>
              </w:rPr>
              <w:t>4131</w:t>
            </w:r>
          </w:p>
        </w:tc>
        <w:tc>
          <w:tcPr>
            <w:tcW w:w="1990" w:type="dxa"/>
            <w:tcBorders>
              <w:start w:val="single" w:sz="2" w:space="0" w:color="000000"/>
              <w:bottom w:val="single" w:sz="2" w:space="0" w:color="000000"/>
            </w:tcBorders>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kern w:val="0"/>
                <w:szCs w:val="22"/>
                <w:lang w:val="en-US" w:eastAsia="en-US" w:bidi="ar-SA"/>
              </w:rPr>
              <w:t>4.0925</w:t>
            </w:r>
          </w:p>
        </w:tc>
        <w:tc>
          <w:tcPr>
            <w:tcW w:w="1986" w:type="dxa"/>
            <w:tcBorders>
              <w:start w:val="single" w:sz="2" w:space="0" w:color="000000"/>
              <w:bottom w:val="single" w:sz="2" w:space="0" w:color="000000"/>
            </w:tcBorders>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kern w:val="0"/>
                <w:szCs w:val="22"/>
                <w:lang w:val="en-US" w:eastAsia="en-US" w:bidi="ar-SA"/>
              </w:rPr>
              <w:t>6.3299</w:t>
            </w:r>
          </w:p>
        </w:tc>
        <w:tc>
          <w:tcPr>
            <w:tcW w:w="989" w:type="dxa"/>
            <w:tcBorders>
              <w:start w:val="single" w:sz="2" w:space="0" w:color="000000"/>
              <w:bottom w:val="single" w:sz="2" w:space="0" w:color="000000"/>
              <w:end w:val="single" w:sz="2" w:space="0" w:color="000000"/>
            </w:tcBorders>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kern w:val="0"/>
                <w:szCs w:val="22"/>
                <w:lang w:val="en-US" w:eastAsia="en-US" w:bidi="ar-SA"/>
              </w:rPr>
              <w:t>0.9541</w:t>
            </w:r>
          </w:p>
        </w:tc>
      </w:tr>
      <w:tr>
        <w:trPr>
          <w:trHeight w:val="547" w:hRule="atLeast"/>
        </w:trPr>
        <w:tc>
          <w:tcPr>
            <w:tcW w:w="2813" w:type="dxa"/>
            <w:tcBorders>
              <w:start w:val="single" w:sz="2" w:space="0" w:color="000000"/>
              <w:bottom w:val="single" w:sz="2" w:space="0" w:color="000000"/>
            </w:tcBorders>
            <w:vAlign w:val="center"/>
          </w:tcPr>
          <w:p>
            <w:pPr>
              <w:pStyle w:val="Normal"/>
              <w:widowControl/>
              <w:suppressAutoHyphens w:val="true"/>
              <w:bidi w:val="0"/>
              <w:spacing w:lineRule="auto" w:line="240" w:before="0" w:after="0"/>
              <w:jc w:val="center"/>
              <w:rPr>
                <w:rFonts w:eastAsia="ＭＳ 明朝"/>
                <w:kern w:val="0"/>
                <w:szCs w:val="22"/>
                <w:lang w:val="en-US" w:eastAsia="en-US" w:bidi="ar-SA"/>
              </w:rPr>
            </w:pPr>
            <w:r>
              <w:rPr>
                <w:rFonts w:eastAsia="ＭＳ 明朝"/>
                <w:kern w:val="0"/>
                <w:szCs w:val="22"/>
                <w:lang w:val="en-US" w:eastAsia="en-US" w:bidi="ar-SA"/>
              </w:rPr>
              <w:t>Unseen core configurations</w:t>
            </w:r>
          </w:p>
        </w:tc>
        <w:tc>
          <w:tcPr>
            <w:tcW w:w="1158" w:type="dxa"/>
            <w:tcBorders>
              <w:start w:val="single" w:sz="2" w:space="0" w:color="000000"/>
              <w:bottom w:val="single" w:sz="2" w:space="0" w:color="000000"/>
            </w:tcBorders>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kern w:val="0"/>
                <w:szCs w:val="22"/>
                <w:lang w:val="en-US" w:eastAsia="en-US" w:bidi="ar-SA"/>
              </w:rPr>
              <w:t>1052</w:t>
            </w:r>
          </w:p>
        </w:tc>
        <w:tc>
          <w:tcPr>
            <w:tcW w:w="1990" w:type="dxa"/>
            <w:tcBorders>
              <w:start w:val="single" w:sz="2" w:space="0" w:color="000000"/>
              <w:bottom w:val="single" w:sz="2" w:space="0" w:color="000000"/>
            </w:tcBorders>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kern w:val="0"/>
                <w:szCs w:val="22"/>
                <w:lang w:val="en-US" w:eastAsia="en-US" w:bidi="ar-SA"/>
              </w:rPr>
              <w:t>8.1839</w:t>
            </w:r>
          </w:p>
        </w:tc>
        <w:tc>
          <w:tcPr>
            <w:tcW w:w="1986" w:type="dxa"/>
            <w:tcBorders>
              <w:start w:val="single" w:sz="2" w:space="0" w:color="000000"/>
              <w:bottom w:val="single" w:sz="2" w:space="0" w:color="000000"/>
            </w:tcBorders>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kern w:val="0"/>
                <w:szCs w:val="22"/>
                <w:lang w:val="en-US" w:eastAsia="en-US" w:bidi="ar-SA"/>
              </w:rPr>
              <w:t>10.6659</w:t>
            </w:r>
          </w:p>
        </w:tc>
        <w:tc>
          <w:tcPr>
            <w:tcW w:w="989" w:type="dxa"/>
            <w:tcBorders>
              <w:start w:val="single" w:sz="2" w:space="0" w:color="000000"/>
              <w:bottom w:val="single" w:sz="2" w:space="0" w:color="000000"/>
              <w:end w:val="single" w:sz="2" w:space="0" w:color="000000"/>
            </w:tcBorders>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kern w:val="0"/>
                <w:szCs w:val="22"/>
                <w:lang w:val="en-US" w:eastAsia="en-US" w:bidi="ar-SA"/>
              </w:rPr>
              <w:t>0.9125</w:t>
            </w:r>
          </w:p>
        </w:tc>
      </w:tr>
    </w:tbl>
    <w:p>
      <w:pPr>
        <w:pStyle w:val="Normal"/>
        <w:bidi w:val="0"/>
        <w:rPr>
          <w:b w:val="false"/>
          <w:bCs w:val="false"/>
        </w:rPr>
      </w:pPr>
      <w:r>
        <w:rPr>
          <w:b w:val="false"/>
          <w:bCs w:val="false"/>
        </w:rPr>
        <w:t>Seen configurations: 4,131 / 5,183 (79.70%) Unseen configurations: 1,052 / 5,183 (20.30%)</w:t>
      </w:r>
    </w:p>
    <w:p>
      <w:pPr>
        <w:pStyle w:val="Normal"/>
        <w:jc w:val="both"/>
        <w:rPr>
          <w:rFonts w:ascii="Arial" w:hAnsi="Arial" w:cs="Arial"/>
          <w:szCs w:val="20"/>
        </w:rPr>
      </w:pPr>
      <w:r>
        <w:rPr>
          <w:rFonts w:cs="Arial" w:ascii="Arial" w:hAnsi="Arial"/>
          <w:szCs w:val="20"/>
        </w:rPr>
        <w:t>Seen configurations were core technical configurations present in the corresponding 2024 training data. Coverage was 86.58% for Mono, 84.19% for PHEV and 79.70% for Hybrid. The negative R² for unseen PHEVs indicates poor generalisation to that subset.</w:t>
      </w:r>
    </w:p>
    <w:p>
      <w:pPr>
        <w:pStyle w:val="Heading1"/>
        <w:ind w:hanging="0" w:start="0"/>
        <w:rPr/>
      </w:pPr>
      <w:r>
        <w:rPr/>
        <w:t>3. Interpretation and Feature Importance</w:t>
      </w:r>
    </w:p>
    <w:p>
      <w:pPr>
        <w:pStyle w:val="Normal"/>
        <w:jc w:val="both"/>
        <w:rPr>
          <w:rFonts w:ascii="Arial" w:hAnsi="Arial" w:cs="Arial"/>
          <w:szCs w:val="20"/>
        </w:rPr>
      </w:pPr>
      <w:r>
        <w:rPr>
          <w:rFonts w:cs="Arial" w:ascii="Arial" w:hAnsi="Arial"/>
          <w:szCs w:val="20"/>
        </w:rPr>
        <w:t>Permutation importance was computed on the 2025 test subsets by repeatedly permuting each feature and measuring the RMSE increase. The dominant features differed by segment.</w:t>
      </w:r>
    </w:p>
    <w:tbl>
      <w:tblPr>
        <w:tblW w:w="8936" w:type="dxa"/>
        <w:jc w:val="start"/>
        <w:tblInd w:w="-113" w:type="dxa"/>
        <w:tblLayout w:type="fixed"/>
        <w:tblCellMar>
          <w:top w:w="0" w:type="dxa"/>
          <w:start w:w="108" w:type="dxa"/>
          <w:bottom w:w="0" w:type="dxa"/>
          <w:end w:w="108" w:type="dxa"/>
        </w:tblCellMar>
      </w:tblPr>
      <w:tblGrid>
        <w:gridCol w:w="2006"/>
        <w:gridCol w:w="3514"/>
        <w:gridCol w:w="3416"/>
      </w:tblGrid>
      <w:tr>
        <w:trPr/>
        <w:tc>
          <w:tcPr>
            <w:tcW w:w="2006" w:type="dxa"/>
            <w:tcBorders>
              <w:top w:val="single" w:sz="2" w:space="0" w:color="000000"/>
              <w:start w:val="single" w:sz="2" w:space="0" w:color="000000"/>
              <w:bottom w:val="single" w:sz="2" w:space="0" w:color="000000"/>
            </w:tcBorders>
            <w:shd w:fill="D9EAF7" w:val="clea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Cs w:val="22"/>
                <w:lang w:val="en-US" w:eastAsia="en-US" w:bidi="ar-SA"/>
              </w:rPr>
              <w:t>Segment</w:t>
            </w:r>
          </w:p>
        </w:tc>
        <w:tc>
          <w:tcPr>
            <w:tcW w:w="3514" w:type="dxa"/>
            <w:tcBorders>
              <w:top w:val="single" w:sz="2" w:space="0" w:color="000000"/>
              <w:start w:val="single" w:sz="2" w:space="0" w:color="000000"/>
              <w:bottom w:val="single" w:sz="2" w:space="0" w:color="000000"/>
            </w:tcBorders>
            <w:shd w:fill="D9EAF7" w:val="clea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Cs w:val="22"/>
                <w:lang w:val="en-US" w:eastAsia="en-US" w:bidi="ar-SA"/>
              </w:rPr>
              <w:t>Most influential features</w:t>
            </w:r>
          </w:p>
        </w:tc>
        <w:tc>
          <w:tcPr>
            <w:tcW w:w="3416" w:type="dxa"/>
            <w:tcBorders>
              <w:top w:val="single" w:sz="2" w:space="0" w:color="000000"/>
              <w:start w:val="single" w:sz="2" w:space="0" w:color="000000"/>
              <w:bottom w:val="single" w:sz="2" w:space="0" w:color="000000"/>
              <w:end w:val="single" w:sz="2" w:space="0" w:color="000000"/>
            </w:tcBorders>
            <w:shd w:fill="D9EAF7" w:val="clea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Cs w:val="22"/>
                <w:lang w:val="en-US" w:eastAsia="en-US" w:bidi="ar-SA"/>
              </w:rPr>
              <w:t>RMSE increases (g/km)</w:t>
            </w:r>
          </w:p>
        </w:tc>
      </w:tr>
      <w:tr>
        <w:trPr>
          <w:trHeight w:val="496" w:hRule="atLeast"/>
        </w:trPr>
        <w:tc>
          <w:tcPr>
            <w:tcW w:w="2006" w:type="dxa"/>
            <w:tcBorders>
              <w:start w:val="single" w:sz="2" w:space="0" w:color="000000"/>
              <w:bottom w:val="single" w:sz="2"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Mono</w:t>
            </w:r>
          </w:p>
        </w:tc>
        <w:tc>
          <w:tcPr>
            <w:tcW w:w="3514" w:type="dxa"/>
            <w:tcBorders>
              <w:start w:val="single" w:sz="2" w:space="0" w:color="000000"/>
              <w:bottom w:val="single" w:sz="2"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Mt, ep (KW), ec (cm3)</w:t>
            </w:r>
          </w:p>
        </w:tc>
        <w:tc>
          <w:tcPr>
            <w:tcW w:w="3416" w:type="dxa"/>
            <w:tcBorders>
              <w:start w:val="single" w:sz="2" w:space="0" w:color="000000"/>
              <w:bottom w:val="single" w:sz="2" w:space="0" w:color="000000"/>
              <w:end w:val="single" w:sz="2"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26.3757, 14.6895, 11.7005</w:t>
            </w:r>
          </w:p>
        </w:tc>
      </w:tr>
      <w:tr>
        <w:trPr>
          <w:trHeight w:val="444" w:hRule="atLeast"/>
        </w:trPr>
        <w:tc>
          <w:tcPr>
            <w:tcW w:w="2006" w:type="dxa"/>
            <w:tcBorders>
              <w:start w:val="single" w:sz="2" w:space="0" w:color="000000"/>
              <w:bottom w:val="single" w:sz="2"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PHEV</w:t>
            </w:r>
          </w:p>
        </w:tc>
        <w:tc>
          <w:tcPr>
            <w:tcW w:w="3514" w:type="dxa"/>
            <w:tcBorders>
              <w:start w:val="single" w:sz="2" w:space="0" w:color="000000"/>
              <w:bottom w:val="single" w:sz="2"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Electric range, ep (KW), Mt</w:t>
            </w:r>
          </w:p>
        </w:tc>
        <w:tc>
          <w:tcPr>
            <w:tcW w:w="3416" w:type="dxa"/>
            <w:tcBorders>
              <w:start w:val="single" w:sz="2" w:space="0" w:color="000000"/>
              <w:bottom w:val="single" w:sz="2" w:space="0" w:color="000000"/>
              <w:end w:val="single" w:sz="2"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10.4589, 1.8985, 0.3319</w:t>
            </w:r>
          </w:p>
        </w:tc>
      </w:tr>
      <w:tr>
        <w:trPr>
          <w:trHeight w:val="360" w:hRule="atLeast"/>
        </w:trPr>
        <w:tc>
          <w:tcPr>
            <w:tcW w:w="2006" w:type="dxa"/>
            <w:tcBorders>
              <w:start w:val="single" w:sz="2" w:space="0" w:color="000000"/>
              <w:bottom w:val="single" w:sz="2"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Hybrid</w:t>
            </w:r>
          </w:p>
        </w:tc>
        <w:tc>
          <w:tcPr>
            <w:tcW w:w="3514" w:type="dxa"/>
            <w:tcBorders>
              <w:start w:val="single" w:sz="2" w:space="0" w:color="000000"/>
              <w:bottom w:val="single" w:sz="2"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ep (KW), Mt, ec (cm3)</w:t>
            </w:r>
          </w:p>
        </w:tc>
        <w:tc>
          <w:tcPr>
            <w:tcW w:w="3416" w:type="dxa"/>
            <w:tcBorders>
              <w:start w:val="single" w:sz="2" w:space="0" w:color="000000"/>
              <w:bottom w:val="single" w:sz="2" w:space="0" w:color="000000"/>
              <w:end w:val="single" w:sz="2"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14.6276, 10.9463, 7.5671</w:t>
            </w:r>
          </w:p>
        </w:tc>
      </w:tr>
    </w:tbl>
    <w:p>
      <w:pPr>
        <w:pStyle w:val="Normal"/>
        <w:rPr/>
      </w:pPr>
      <w:r>
        <w:rPr/>
      </w:r>
    </w:p>
    <w:p>
      <w:pPr>
        <w:pStyle w:val="Normal"/>
        <w:jc w:val="both"/>
        <w:rPr>
          <w:rFonts w:ascii="Arial" w:hAnsi="Arial" w:cs="Arial"/>
          <w:szCs w:val="20"/>
        </w:rPr>
      </w:pPr>
      <w:r>
        <w:rPr>
          <w:rFonts w:cs="Arial" w:ascii="Arial" w:hAnsi="Arial"/>
          <w:szCs w:val="20"/>
        </w:rPr>
        <w:t>These are predictive importance measures rather than causal effects. Electric range is strongly associated with PHEV operating and homologation behaviour, but it does not fully describe high-performance PHEVs.</w:t>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Heading1"/>
        <w:ind w:hanging="0" w:start="0"/>
        <w:rPr/>
      </w:pPr>
      <w:r>
        <w:rPr/>
        <w:t>4. Error Analysis</w:t>
      </w:r>
    </w:p>
    <w:p>
      <w:pPr>
        <w:pStyle w:val="Normal"/>
        <w:jc w:val="both"/>
        <w:rPr>
          <w:rFonts w:ascii="Arial" w:hAnsi="Arial" w:cs="Arial"/>
          <w:b/>
          <w:bCs/>
          <w:szCs w:val="20"/>
        </w:rPr>
      </w:pPr>
      <w:r>
        <w:rPr>
          <w:rFonts w:cs="Arial" w:ascii="Arial" w:hAnsi="Arial"/>
          <w:b/>
          <w:bCs/>
          <w:szCs w:val="20"/>
        </w:rPr>
        <w:t>Residual Analysis:</w:t>
      </w:r>
    </w:p>
    <w:p>
      <w:pPr>
        <w:pStyle w:val="Normal"/>
        <w:jc w:val="both"/>
        <w:rPr>
          <w:rFonts w:ascii="Arial" w:hAnsi="Arial" w:cs="Arial"/>
          <w:szCs w:val="20"/>
        </w:rPr>
      </w:pPr>
      <w:r>
        <w:rPr>
          <w:rFonts w:cs="Arial" w:ascii="Arial" w:hAnsi="Arial"/>
          <w:szCs w:val="20"/>
        </w:rPr>
        <w:t>Residuals were defined as actual CO₂ minus predicted CO₂. Positive residuals indicate under-prediction and negative residuals indicate over- prediction. Mono and Hybrid residuals were mostly concentrated around zero, while PHEV residuals showed a wider spread and many large positive values.</w:t>
      </w:r>
    </w:p>
    <w:p>
      <w:pPr>
        <w:pStyle w:val="Normal"/>
        <w:jc w:val="both"/>
        <w:rPr>
          <w:rFonts w:ascii="Arial" w:hAnsi="Arial" w:cs="Arial"/>
          <w:szCs w:val="20"/>
        </w:rPr>
      </w:pPr>
      <w:r>
        <w:rPr>
          <w:rFonts w:cs="Arial" w:ascii="Arial" w:hAnsi="Arial"/>
          <w:szCs w:val="20"/>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486400" cy="2588895"/>
            <wp:effectExtent l="0" t="0" r="0" b="0"/>
            <wp:wrapSquare wrapText="largest"/>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3"/>
                    <a:stretch>
                      <a:fillRect/>
                    </a:stretch>
                  </pic:blipFill>
                  <pic:spPr bwMode="auto">
                    <a:xfrm>
                      <a:off x="0" y="0"/>
                      <a:ext cx="5486400" cy="2588895"/>
                    </a:xfrm>
                    <a:prstGeom prst="rect">
                      <a:avLst/>
                    </a:prstGeom>
                    <a:noFill/>
                  </pic:spPr>
                </pic:pic>
              </a:graphicData>
            </a:graphic>
          </wp:anchor>
        </w:drawing>
      </w:r>
    </w:p>
    <w:p>
      <w:pPr>
        <w:pStyle w:val="Normal"/>
        <w:jc w:val="both"/>
        <w:rPr>
          <w:rFonts w:ascii="Arial" w:hAnsi="Arial" w:cs="Arial"/>
          <w:b/>
          <w:bCs/>
          <w:szCs w:val="20"/>
        </w:rPr>
      </w:pPr>
      <w:r>
        <w:rPr>
          <w:rFonts w:cs="Arial" w:ascii="Arial" w:hAnsi="Arial"/>
          <w:b/>
          <w:bCs/>
          <w:szCs w:val="20"/>
        </w:rPr>
        <w:t>Largest Prediction Errors:</w:t>
      </w:r>
    </w:p>
    <w:p>
      <w:pPr>
        <w:pStyle w:val="Normal"/>
        <w:jc w:val="both"/>
        <w:rPr>
          <w:rFonts w:ascii="Arial" w:hAnsi="Arial" w:cs="Arial"/>
          <w:szCs w:val="20"/>
        </w:rPr>
      </w:pPr>
      <w:r>
        <w:rPr>
          <w:rFonts w:cs="Arial" w:ascii="Arial" w:hAnsi="Arial"/>
          <w:szCs w:val="20"/>
        </w:rPr>
        <w:t>The largest Mono error was 74.16 g/km: actual emissions were 369.0 g/km and the prediction was 443.16 g/km for a seen configuration. The largest PHEV error was 87.44 g/km for an unseen configuration with actual emissions of 140.0 g/km and a prediction of 52.56 g/km. The largest Hybrid error was 41.95 g/km for a seen configuration with actual emissions of 219.0 g/km and a prediction of 177.05 g/km.</w:t>
      </w:r>
    </w:p>
    <w:p>
      <w:pPr>
        <w:pStyle w:val="Normal"/>
        <w:jc w:val="both"/>
        <w:rPr>
          <w:rFonts w:ascii="Arial" w:hAnsi="Arial" w:cs="Arial"/>
          <w:szCs w:val="20"/>
        </w:rPr>
      </w:pPr>
      <w:r>
        <w:rPr>
          <w:rFonts w:cs="Arial" w:ascii="Arial" w:hAnsi="Arial"/>
          <w:szCs w:val="20"/>
        </w:rPr>
        <w:t xml:space="preserve">PHEV fuel-type analysis confirmed systematic </w:t>
      </w:r>
      <w:r>
        <w:rPr>
          <w:rFonts w:cs="Arial" w:ascii="Arial" w:hAnsi="Arial"/>
          <w:b/>
          <w:bCs/>
          <w:szCs w:val="20"/>
        </w:rPr>
        <w:t>underprediction</w:t>
      </w:r>
      <w:r>
        <w:rPr>
          <w:rFonts w:cs="Arial" w:ascii="Arial" w:hAnsi="Arial"/>
          <w:szCs w:val="20"/>
        </w:rPr>
        <w:t>. Petrol/electric PHEVs had mean actual emissions of 36.5780 g/km, mean predictions of 27.3795 g/km, mean residual +9.1985 g/km and RMSE 20.6618 g/km. Diesel/electric PHEVs had mean residual +9.0703 g/km and RMSE 18.0744 g/km.</w:t>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szCs w:val="20"/>
        </w:rPr>
      </w:r>
    </w:p>
    <w:p>
      <w:pPr>
        <w:pStyle w:val="Normal"/>
        <w:jc w:val="both"/>
        <w:rPr>
          <w:rFonts w:ascii="Arial" w:hAnsi="Arial" w:cs="Arial"/>
          <w:szCs w:val="20"/>
        </w:rPr>
      </w:pPr>
      <w:r>
        <w:rPr>
          <w:rFonts w:cs="Arial" w:ascii="Arial" w:hAnsi="Arial"/>
          <w:b/>
          <w:bCs/>
          <w:szCs w:val="20"/>
        </w:rPr>
        <w:t>Actual vs. predicted CO2 Emissions:</w:t>
      </w:r>
    </w:p>
    <w:p>
      <w:pPr>
        <w:pStyle w:val="Normal"/>
        <w:jc w:val="both"/>
        <w:rPr>
          <w:rFonts w:ascii="Arial" w:hAnsi="Arial" w:cs="Arial"/>
          <w:szCs w:val="20"/>
        </w:rPr>
      </w:pPr>
      <w:r>
        <w:rPr>
          <w:rFonts w:cs="Arial" w:ascii="Arial" w:hAnsi="Arial"/>
          <w:szCs w:val="20"/>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486400" cy="2633980"/>
            <wp:effectExtent l="0" t="0" r="0" b="0"/>
            <wp:wrapSquare wrapText="largest"/>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14"/>
                    <a:stretch>
                      <a:fillRect/>
                    </a:stretch>
                  </pic:blipFill>
                  <pic:spPr bwMode="auto">
                    <a:xfrm>
                      <a:off x="0" y="0"/>
                      <a:ext cx="5486400" cy="2633980"/>
                    </a:xfrm>
                    <a:prstGeom prst="rect">
                      <a:avLst/>
                    </a:prstGeom>
                    <a:noFill/>
                  </pic:spPr>
                </pic:pic>
              </a:graphicData>
            </a:graphic>
          </wp:anchor>
        </w:drawing>
      </w:r>
    </w:p>
    <w:p>
      <w:pPr>
        <w:pStyle w:val="Normal"/>
        <w:bidi w:val="0"/>
        <w:jc w:val="both"/>
        <w:rPr>
          <w:rFonts w:ascii="Arial" w:hAnsi="Arial" w:cs="Arial"/>
          <w:szCs w:val="20"/>
        </w:rPr>
      </w:pPr>
      <w:r>
        <w:rPr>
          <w:rFonts w:cs="Arial" w:ascii="Arial" w:hAnsi="Arial"/>
          <w:szCs w:val="20"/>
        </w:rPr>
        <w:t>The scatter plot compares the actual and predicted WLTP CO₂ emissions for the 2025 temporal test set. The red dashed line represents perfect predictions, where the predicted value is equal to the actual value.</w:t>
      </w:r>
    </w:p>
    <w:p>
      <w:pPr>
        <w:pStyle w:val="Normal"/>
        <w:bidi w:val="0"/>
        <w:jc w:val="both"/>
        <w:rPr>
          <w:rFonts w:ascii="Arial" w:hAnsi="Arial" w:cs="Arial"/>
          <w:szCs w:val="20"/>
        </w:rPr>
      </w:pPr>
      <w:r>
        <w:rPr>
          <w:rFonts w:cs="Arial" w:ascii="Arial" w:hAnsi="Arial"/>
          <w:szCs w:val="20"/>
        </w:rPr>
        <w:t>The Mono and Hybrid models showed strong agreement between actual and predicted WLTP CO₂ emissions, with most observations concentrated close to the perfect-prediction line. Prediction errors increased slightly for high-emission vehicles, where relatively few observations were available.</w:t>
      </w:r>
    </w:p>
    <w:p>
      <w:pPr>
        <w:pStyle w:val="Normal"/>
        <w:bidi w:val="0"/>
        <w:jc w:val="both"/>
        <w:rPr>
          <w:rFonts w:ascii="Arial" w:hAnsi="Arial" w:cs="Arial"/>
          <w:szCs w:val="20"/>
        </w:rPr>
      </w:pPr>
      <w:r>
        <w:rPr>
          <w:rFonts w:cs="Arial" w:ascii="Arial" w:hAnsi="Arial"/>
          <w:szCs w:val="20"/>
        </w:rPr>
        <w:t>The PHEV model showed a wider error distribution and a clear tendency to underpredict CO₂ emissions for some vehicles. Several observations with moderate or high actual emissions were predicted substantially below the perfect-prediction line. This result is consistent with the segment-level error analysis, which identified unseen and high-performance petrol/electric PHEV configurations as the main source of large prediction errors.</w:t>
      </w:r>
    </w:p>
    <w:p>
      <w:pPr>
        <w:pStyle w:val="Normal"/>
        <w:jc w:val="both"/>
        <w:rPr>
          <w:rFonts w:ascii="Arial" w:hAnsi="Arial" w:cs="Arial"/>
          <w:b/>
          <w:bCs/>
          <w:szCs w:val="20"/>
        </w:rPr>
      </w:pPr>
      <w:r>
        <w:rPr>
          <w:rFonts w:cs="Arial" w:ascii="Arial" w:hAnsi="Arial"/>
          <w:b/>
          <w:bCs/>
          <w:szCs w:val="20"/>
        </w:rPr>
        <w:t xml:space="preserve">Distribution of Absolute Prediction </w:t>
      </w:r>
      <w:r>
        <w:rPr>
          <w:rFonts w:cs="Arial" w:ascii="Arial" w:hAnsi="Arial"/>
          <w:b/>
          <w:bCs/>
          <w:szCs w:val="20"/>
        </w:rPr>
        <w:t>Errors</w:t>
      </w:r>
      <w:r>
        <w:rPr>
          <w:rFonts w:cs="Arial" w:ascii="Arial" w:hAnsi="Arial"/>
          <w:b/>
          <w:bCs/>
          <w:szCs w:val="20"/>
        </w:rPr>
        <w:t>:</w:t>
      </w:r>
    </w:p>
    <w:p>
      <w:pPr>
        <w:pStyle w:val="Normal"/>
        <w:jc w:val="both"/>
        <w:rPr>
          <w:rFonts w:ascii="Arial" w:hAnsi="Arial" w:cs="Arial"/>
          <w:b/>
          <w:bCs/>
          <w:szCs w:val="20"/>
        </w:rPr>
      </w:pPr>
      <w:r>
        <w:rPr>
          <w:rFonts w:cs="Arial" w:ascii="Arial" w:hAnsi="Arial"/>
          <w:b/>
          <w:bCs/>
          <w:szCs w:val="20"/>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486400" cy="2151380"/>
            <wp:effectExtent l="0" t="0" r="0" b="0"/>
            <wp:wrapTopAndBottom/>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15"/>
                    <a:stretch>
                      <a:fillRect/>
                    </a:stretch>
                  </pic:blipFill>
                  <pic:spPr bwMode="auto">
                    <a:xfrm>
                      <a:off x="0" y="0"/>
                      <a:ext cx="5486400" cy="2151380"/>
                    </a:xfrm>
                    <a:prstGeom prst="rect">
                      <a:avLst/>
                    </a:prstGeom>
                    <a:noFill/>
                  </pic:spPr>
                </pic:pic>
              </a:graphicData>
            </a:graphic>
          </wp:anchor>
        </w:drawing>
      </w:r>
    </w:p>
    <w:tbl>
      <w:tblPr>
        <w:tblW w:w="5000" w:type="pct"/>
        <w:jc w:val="start"/>
        <w:tblInd w:w="-5" w:type="dxa"/>
        <w:tblLayout w:type="fixed"/>
        <w:tblCellMar>
          <w:top w:w="0" w:type="dxa"/>
          <w:start w:w="108" w:type="dxa"/>
          <w:bottom w:w="0" w:type="dxa"/>
          <w:end w:w="108" w:type="dxa"/>
        </w:tblCellMar>
      </w:tblPr>
      <w:tblGrid>
        <w:gridCol w:w="2159"/>
        <w:gridCol w:w="2160"/>
        <w:gridCol w:w="2160"/>
        <w:gridCol w:w="2161"/>
      </w:tblGrid>
      <w:tr>
        <w:trPr/>
        <w:tc>
          <w:tcPr>
            <w:tcW w:w="2159" w:type="dxa"/>
            <w:tcBorders>
              <w:top w:val="single" w:sz="4" w:space="0" w:color="000000"/>
              <w:start w:val="single" w:sz="4" w:space="0" w:color="000000"/>
              <w:bottom w:val="single" w:sz="4" w:space="0" w:color="000000"/>
            </w:tcBorders>
            <w:shd w:fill="D9EAF7" w:val="clear"/>
          </w:tcPr>
          <w:p>
            <w:pPr>
              <w:pStyle w:val="Normal"/>
              <w:suppressAutoHyphens w:val="true"/>
              <w:spacing w:lineRule="auto" w:line="240" w:before="0" w:after="0"/>
              <w:rPr>
                <w:rFonts w:eastAsia="ＭＳ 明朝"/>
                <w:b/>
              </w:rPr>
            </w:pPr>
            <w:r>
              <w:rPr>
                <w:rFonts w:eastAsia="ＭＳ 明朝"/>
                <w:b/>
              </w:rPr>
              <w:t>Model</w:t>
            </w:r>
          </w:p>
        </w:tc>
        <w:tc>
          <w:tcPr>
            <w:tcW w:w="2160" w:type="dxa"/>
            <w:tcBorders>
              <w:top w:val="single" w:sz="4" w:space="0" w:color="000000"/>
              <w:start w:val="single" w:sz="4" w:space="0" w:color="000000"/>
              <w:bottom w:val="single" w:sz="4" w:space="0" w:color="000000"/>
            </w:tcBorders>
            <w:shd w:fill="D9EAF7" w:val="clear"/>
          </w:tcPr>
          <w:p>
            <w:pPr>
              <w:pStyle w:val="Normal"/>
              <w:suppressAutoHyphens w:val="true"/>
              <w:spacing w:lineRule="auto" w:line="240" w:before="0" w:after="0"/>
              <w:rPr>
                <w:rFonts w:eastAsia="ＭＳ 明朝"/>
                <w:b/>
              </w:rPr>
            </w:pPr>
            <w:r>
              <w:rPr>
                <w:rFonts w:eastAsia="ＭＳ 明朝"/>
                <w:b/>
              </w:rPr>
              <w:t>Metric</w:t>
            </w:r>
          </w:p>
        </w:tc>
        <w:tc>
          <w:tcPr>
            <w:tcW w:w="2160" w:type="dxa"/>
            <w:tcBorders>
              <w:top w:val="single" w:sz="4" w:space="0" w:color="000000"/>
              <w:start w:val="single" w:sz="4" w:space="0" w:color="000000"/>
              <w:bottom w:val="single" w:sz="4" w:space="0" w:color="000000"/>
            </w:tcBorders>
            <w:shd w:fill="D9EAF7" w:val="clear"/>
          </w:tcPr>
          <w:p>
            <w:pPr>
              <w:pStyle w:val="Normal"/>
              <w:suppressAutoHyphens w:val="true"/>
              <w:spacing w:lineRule="auto" w:line="240" w:before="0" w:after="0"/>
              <w:rPr>
                <w:rFonts w:eastAsia="ＭＳ 明朝"/>
                <w:b/>
              </w:rPr>
            </w:pPr>
            <w:r>
              <w:rPr>
                <w:rFonts w:eastAsia="ＭＳ 明朝"/>
                <w:b/>
              </w:rPr>
              <w:t>Value</w:t>
            </w:r>
          </w:p>
        </w:tc>
        <w:tc>
          <w:tcPr>
            <w:tcW w:w="2161" w:type="dxa"/>
            <w:tcBorders>
              <w:top w:val="single" w:sz="4" w:space="0" w:color="000000"/>
              <w:start w:val="single" w:sz="4" w:space="0" w:color="000000"/>
              <w:bottom w:val="single" w:sz="4" w:space="0" w:color="000000"/>
              <w:end w:val="single" w:sz="4" w:space="0" w:color="000000"/>
            </w:tcBorders>
            <w:shd w:fill="D9EAF7" w:val="clear"/>
          </w:tcPr>
          <w:p>
            <w:pPr>
              <w:pStyle w:val="Normal"/>
              <w:suppressAutoHyphens w:val="true"/>
              <w:spacing w:lineRule="auto" w:line="240" w:before="0" w:after="0"/>
              <w:rPr>
                <w:rFonts w:eastAsia="ＭＳ 明朝"/>
                <w:b/>
              </w:rPr>
            </w:pPr>
            <w:r>
              <w:rPr>
                <w:rFonts w:eastAsia="ＭＳ 明朝"/>
                <w:b/>
              </w:rPr>
              <w:t>Unit</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50th percentile (Median)</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2.4300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75th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5.1300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90th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8.9400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95th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12.4400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99th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20.8900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Maximum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74.1600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Error ≤ 5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74.2700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Error ≤ 10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92.2100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Error ≤ 20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98.7200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50th percentile (Median)</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0.5300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75th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2.1200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90th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40.7400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95th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49.4900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99th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65.4000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Maximum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87.4400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Error ≤ 5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77.0300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Error ≤ 10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77.5100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Error ≤ 20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78.0000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50th percentile (Median)</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2.7200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75th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6.7700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90th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13.0900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95th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16.2400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99th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23.8700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Maximum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41.9500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g/km</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Error ≤ 5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67.5700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Error ≤ 10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83.8300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w:t>
            </w:r>
          </w:p>
        </w:tc>
      </w:tr>
      <w:tr>
        <w:trPr/>
        <w:tc>
          <w:tcPr>
            <w:tcW w:w="2159"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Error ≤ 20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97.7600</w:t>
            </w:r>
          </w:p>
        </w:tc>
        <w:tc>
          <w:tcPr>
            <w:tcW w:w="2161"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rPr>
            </w:pPr>
            <w:r>
              <w:rPr>
                <w:rFonts w:eastAsia="ＭＳ 明朝"/>
              </w:rPr>
              <w:t>%</w:t>
            </w:r>
          </w:p>
        </w:tc>
      </w:tr>
    </w:tbl>
    <w:p>
      <w:pPr>
        <w:pStyle w:val="Normal"/>
        <w:rPr/>
      </w:pPr>
      <w:r>
        <w:rPr/>
      </w:r>
    </w:p>
    <w:p>
      <w:pPr>
        <w:pStyle w:val="Heading1"/>
        <w:ind w:hanging="0" w:start="0"/>
        <w:rPr/>
      </w:pPr>
      <w:r>
        <w:rPr/>
        <w:t>8. Final Conclusions and Recommendations</w:t>
      </w:r>
    </w:p>
    <w:p>
      <w:pPr>
        <w:pStyle w:val="Normal"/>
        <w:numPr>
          <w:ilvl w:val="0"/>
          <w:numId w:val="7"/>
        </w:numPr>
        <w:jc w:val="both"/>
        <w:rPr>
          <w:rFonts w:ascii="Arial" w:hAnsi="Arial" w:cs="Arial"/>
          <w:szCs w:val="20"/>
        </w:rPr>
      </w:pPr>
      <w:r>
        <w:rPr>
          <w:rFonts w:cs="Arial" w:ascii="Arial" w:hAnsi="Arial"/>
          <w:szCs w:val="20"/>
        </w:rPr>
        <w:t>WLTP emissions are strongly predictable from vehicle specifications, but performance depends on powertrain regime and configuration novelty.</w:t>
      </w:r>
    </w:p>
    <w:p>
      <w:pPr>
        <w:pStyle w:val="Normal"/>
        <w:numPr>
          <w:ilvl w:val="0"/>
          <w:numId w:val="7"/>
        </w:numPr>
        <w:jc w:val="both"/>
        <w:rPr>
          <w:rFonts w:ascii="Arial" w:hAnsi="Arial" w:cs="Arial"/>
          <w:szCs w:val="20"/>
        </w:rPr>
      </w:pPr>
      <w:r>
        <w:rPr>
          <w:rFonts w:cs="Arial" w:ascii="Arial" w:hAnsi="Arial"/>
          <w:szCs w:val="20"/>
        </w:rPr>
        <w:t>Use the extended specification set when electric range and IT indicators are available; retain the strict design-stage set for earlier estimates.</w:t>
      </w:r>
    </w:p>
    <w:p>
      <w:pPr>
        <w:pStyle w:val="Normal"/>
        <w:numPr>
          <w:ilvl w:val="0"/>
          <w:numId w:val="7"/>
        </w:numPr>
        <w:jc w:val="both"/>
        <w:rPr>
          <w:rFonts w:ascii="Arial" w:hAnsi="Arial" w:cs="Arial"/>
          <w:szCs w:val="20"/>
        </w:rPr>
      </w:pPr>
      <w:r>
        <w:rPr>
          <w:rFonts w:cs="Arial" w:ascii="Arial" w:hAnsi="Arial"/>
          <w:szCs w:val="20"/>
        </w:rPr>
        <w:t>Mono and Hybrid models generalised well, while unseen PHEV configurations remained the principal weakness.</w:t>
      </w:r>
    </w:p>
    <w:p>
      <w:pPr>
        <w:pStyle w:val="Normal"/>
        <w:numPr>
          <w:ilvl w:val="0"/>
          <w:numId w:val="7"/>
        </w:numPr>
        <w:jc w:val="both"/>
        <w:rPr>
          <w:rFonts w:ascii="Arial" w:hAnsi="Arial" w:cs="Arial"/>
          <w:szCs w:val="20"/>
        </w:rPr>
      </w:pPr>
      <w:r>
        <w:rPr>
          <w:rFonts w:cs="Arial" w:ascii="Arial" w:hAnsi="Arial"/>
          <w:szCs w:val="20"/>
        </w:rPr>
        <w:t>PHEV errors indicate that battery capacity, drivetrain architecture, vehicle version, aerodynamics and other homologation-relevant variables may be needed.</w:t>
      </w:r>
    </w:p>
    <w:p>
      <w:pPr>
        <w:pStyle w:val="Normal"/>
        <w:numPr>
          <w:ilvl w:val="0"/>
          <w:numId w:val="7"/>
        </w:numPr>
        <w:jc w:val="both"/>
        <w:rPr>
          <w:rFonts w:ascii="Arial" w:hAnsi="Arial" w:cs="Arial"/>
          <w:szCs w:val="20"/>
        </w:rPr>
      </w:pPr>
      <w:r>
        <w:rPr>
          <w:rFonts w:cs="Arial" w:ascii="Arial" w:hAnsi="Arial"/>
          <w:szCs w:val="20"/>
        </w:rPr>
        <w:t>ExtraTrees is the recommended primary model. The MLP is a documented complementary benchmark, not the accuracy leader.</w:t>
      </w:r>
    </w:p>
    <w:p>
      <w:pPr>
        <w:pStyle w:val="Normal"/>
        <w:numPr>
          <w:ilvl w:val="0"/>
          <w:numId w:val="7"/>
        </w:numPr>
        <w:jc w:val="both"/>
        <w:rPr>
          <w:rFonts w:ascii="Arial" w:hAnsi="Arial" w:cs="Arial"/>
          <w:szCs w:val="20"/>
        </w:rPr>
      </w:pPr>
      <w:r>
        <w:rPr>
          <w:rFonts w:cs="Arial" w:ascii="Arial" w:hAnsi="Arial"/>
          <w:szCs w:val="20"/>
        </w:rPr>
        <w:t>Always report results by configuration novelty, fuel type, fuel mode and error tail rather than relying only on aggregate metrics.</w:t>
      </w:r>
    </w:p>
    <w:p>
      <w:pPr>
        <w:pStyle w:val="Normal"/>
        <w:bidi w:val="0"/>
        <w:spacing w:before="0" w:after="200"/>
        <w:jc w:val="both"/>
        <w:rPr>
          <w:rFonts w:ascii="Arial" w:hAnsi="Arial" w:cs="Arial"/>
          <w:szCs w:val="20"/>
        </w:rPr>
      </w:pPr>
      <w:r>
        <w:rPr>
          <w:rFonts w:cs="Arial" w:ascii="Arial" w:hAnsi="Arial"/>
          <w:szCs w:val="20"/>
        </w:rPr>
        <w:t>Recommended safeguards include prediction intervals, monitoring by powertrain and novelty status, periodic retraining with new model years, explicit feature-availability documentation and a stricter future benchmark based on unseen vehicle families or manufacturers.</w:t>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Normal"/>
        <w:bidi w:val="0"/>
        <w:spacing w:before="0" w:after="200"/>
        <w:jc w:val="both"/>
        <w:rPr>
          <w:rFonts w:ascii="Arial" w:hAnsi="Arial" w:cs="Arial"/>
          <w:szCs w:val="20"/>
        </w:rPr>
      </w:pPr>
      <w:r>
        <w:rPr>
          <w:rFonts w:cs="Arial" w:ascii="Arial" w:hAnsi="Arial"/>
          <w:szCs w:val="20"/>
        </w:rPr>
      </w:r>
    </w:p>
    <w:p>
      <w:pPr>
        <w:pStyle w:val="Heading1"/>
        <w:ind w:hanging="0" w:start="0"/>
        <w:jc w:val="both"/>
        <w:rPr>
          <w:rFonts w:ascii="Arial" w:hAnsi="Arial" w:cs="Arial"/>
          <w:sz w:val="52"/>
          <w:szCs w:val="52"/>
        </w:rPr>
      </w:pPr>
      <w:r>
        <w:rPr>
          <w:rFonts w:cs="Arial" w:ascii="Arial" w:hAnsi="Arial"/>
          <w:sz w:val="52"/>
          <w:szCs w:val="52"/>
        </w:rPr>
        <w:t>REFERENCES</w:t>
      </w:r>
    </w:p>
    <w:p>
      <w:pPr>
        <w:pStyle w:val="Normal"/>
        <w:jc w:val="both"/>
        <w:rPr>
          <w:rFonts w:ascii="Arial" w:hAnsi="Arial" w:cs="Arial"/>
          <w:sz w:val="52"/>
          <w:szCs w:val="52"/>
        </w:rPr>
      </w:pPr>
      <w:r>
        <w:rPr>
          <w:rFonts w:cs="Arial" w:ascii="Arial" w:hAnsi="Arial"/>
          <w:sz w:val="52"/>
          <w:szCs w:val="52"/>
        </w:rPr>
      </w:r>
    </w:p>
    <w:p>
      <w:pPr>
        <w:pStyle w:val="BodyText"/>
        <w:bidi w:val="0"/>
        <w:spacing w:lineRule="auto" w:line="230" w:before="0" w:after="0"/>
        <w:ind w:hanging="0" w:start="0" w:end="0"/>
        <w:jc w:val="both"/>
        <w:rPr>
          <w:rFonts w:ascii="Arial;sans-serif" w:hAnsi="Arial;sans-serif" w:cs="Arial"/>
          <w:sz w:val="35"/>
          <w:szCs w:val="52"/>
        </w:rPr>
      </w:pPr>
      <w:r>
        <w:rPr>
          <w:rFonts w:cs="Arial" w:ascii="Arial;sans-serif" w:hAnsi="Arial;sans-serif"/>
          <w:b w:val="false"/>
          <w:i w:val="false"/>
          <w:caps w:val="false"/>
          <w:smallCaps w:val="false"/>
          <w:strike w:val="false"/>
          <w:dstrike w:val="false"/>
          <w:color w:val="000000"/>
          <w:sz w:val="32"/>
          <w:szCs w:val="52"/>
          <w:u w:val="none"/>
          <w:effect w:val="none"/>
          <w:shd w:fill="auto" w:val="clear"/>
        </w:rPr>
        <w:t>Project Repository:</w:t>
      </w:r>
    </w:p>
    <w:p>
      <w:pPr>
        <w:pStyle w:val="BodyText"/>
        <w:jc w:val="both"/>
        <w:rPr>
          <w:rFonts w:ascii="Arial" w:hAnsi="Arial" w:cs="Arial"/>
          <w:sz w:val="52"/>
          <w:szCs w:val="52"/>
        </w:rPr>
      </w:pPr>
      <w:hyperlink r:id="rId16">
        <w:bookmarkStart w:id="0" w:name="docs-internal-guid-e5704aaa-7fff-c848-3e"/>
        <w:bookmarkEnd w:id="0"/>
        <w:r>
          <w:rPr>
            <w:rStyle w:val="Hyperlink"/>
            <w:rFonts w:cs="Arial" w:ascii="Arial;sans-serif" w:hAnsi="Arial;sans-serif"/>
            <w:b w:val="false"/>
            <w:i w:val="false"/>
            <w:caps w:val="false"/>
            <w:smallCaps w:val="false"/>
            <w:strike w:val="false"/>
            <w:dstrike w:val="false"/>
            <w:color w:val="0097A7"/>
            <w:sz w:val="32"/>
            <w:szCs w:val="52"/>
            <w:u w:val="single"/>
            <w:effect w:val="none"/>
            <w:shd w:fill="auto" w:val="clear"/>
          </w:rPr>
          <w:t>https://github.com/DataScientest-Studio/jul26_bds_int_co2</w:t>
        </w:r>
      </w:hyperlink>
    </w:p>
    <w:p>
      <w:pPr>
        <w:pStyle w:val="BodyText"/>
        <w:bidi w:val="0"/>
        <w:spacing w:lineRule="auto" w:line="230" w:before="0" w:after="0"/>
        <w:ind w:hanging="0" w:start="0" w:end="0"/>
        <w:jc w:val="both"/>
        <w:rPr/>
      </w:pPr>
      <w:r>
        <w:rPr/>
      </w:r>
    </w:p>
    <w:p>
      <w:pPr>
        <w:pStyle w:val="BodyText"/>
        <w:bidi w:val="0"/>
        <w:spacing w:lineRule="auto" w:line="230" w:before="0" w:after="0"/>
        <w:ind w:hanging="0" w:start="0" w:end="0"/>
        <w:jc w:val="both"/>
        <w:rPr>
          <w:rFonts w:ascii="Arial;sans-serif" w:hAnsi="Arial;sans-serif" w:cs="Arial"/>
          <w:sz w:val="35"/>
          <w:szCs w:val="52"/>
        </w:rPr>
      </w:pPr>
      <w:r>
        <w:rPr>
          <w:rFonts w:cs="Arial" w:ascii="Arial;sans-serif" w:hAnsi="Arial;sans-serif"/>
          <w:b w:val="false"/>
          <w:i w:val="false"/>
          <w:caps w:val="false"/>
          <w:smallCaps w:val="false"/>
          <w:strike w:val="false"/>
          <w:dstrike w:val="false"/>
          <w:color w:val="000000"/>
          <w:sz w:val="32"/>
          <w:szCs w:val="52"/>
          <w:u w:val="none"/>
          <w:effect w:val="none"/>
          <w:shd w:fill="auto" w:val="clear"/>
        </w:rPr>
        <w:t>Data Audit Excel Sheet:</w:t>
      </w:r>
    </w:p>
    <w:p>
      <w:pPr>
        <w:pStyle w:val="BodyText"/>
        <w:bidi w:val="0"/>
        <w:spacing w:lineRule="auto" w:line="230" w:before="0" w:after="0"/>
        <w:ind w:hanging="0" w:start="0" w:end="0"/>
        <w:jc w:val="both"/>
        <w:rPr>
          <w:rFonts w:ascii="Arial" w:hAnsi="Arial" w:cs="Arial"/>
          <w:sz w:val="52"/>
          <w:szCs w:val="52"/>
        </w:rPr>
      </w:pPr>
      <w:r>
        <w:fldChar w:fldCharType="begin"/>
      </w:r>
      <w:r>
        <w:rPr>
          <w:rStyle w:val="Hyperlink"/>
          <w:rFonts w:cs="Arial" w:ascii="Arial;sans-serif" w:hAnsi="Arial;sans-serif"/>
          <w:b w:val="false"/>
          <w:i w:val="false"/>
          <w:caps w:val="false"/>
          <w:smallCaps w:val="false"/>
          <w:strike w:val="false"/>
          <w:dstrike w:val="false"/>
          <w:color w:val="0097A7"/>
          <w:sz w:val="27"/>
          <w:szCs w:val="52"/>
          <w:u w:val="single"/>
          <w:effect w:val="none"/>
          <w:shd w:fill="auto" w:val="clear"/>
        </w:rPr>
        <w:instrText xml:space="preserve"> HYPERLINK "https://docs.google.com/spreadsheets/d/1S3JfUM0V92_DJwGlTElIjGGM74XOtH8o4Jk3Wcb3r3o/edit?gid=0" \l "gid=0"</w:instrText>
      </w:r>
      <w:r>
        <w:rPr>
          <w:rStyle w:val="Hyperlink"/>
          <w:rFonts w:cs="Arial" w:ascii="Arial;sans-serif" w:hAnsi="Arial;sans-serif"/>
          <w:b w:val="false"/>
          <w:i w:val="false"/>
          <w:caps w:val="false"/>
          <w:smallCaps w:val="false"/>
          <w:strike w:val="false"/>
          <w:dstrike w:val="false"/>
          <w:color w:val="0097A7"/>
          <w:sz w:val="27"/>
          <w:szCs w:val="52"/>
          <w:u w:val="single"/>
          <w:effect w:val="none"/>
          <w:shd w:fill="auto" w:val="clear"/>
        </w:rPr>
        <w:fldChar w:fldCharType="separate"/>
      </w:r>
      <w:r>
        <w:rPr>
          <w:rStyle w:val="Hyperlink"/>
          <w:rFonts w:cs="Arial" w:ascii="Arial;sans-serif" w:hAnsi="Arial;sans-serif"/>
          <w:b w:val="false"/>
          <w:i w:val="false"/>
          <w:caps w:val="false"/>
          <w:smallCaps w:val="false"/>
          <w:strike w:val="false"/>
          <w:dstrike w:val="false"/>
          <w:color w:val="0097A7"/>
          <w:sz w:val="27"/>
          <w:szCs w:val="52"/>
          <w:u w:val="single"/>
          <w:effect w:val="none"/>
          <w:shd w:fill="auto" w:val="clear"/>
        </w:rPr>
        <w:t>EU(EEA) 2024 Data Audit Excel Sheet</w:t>
      </w:r>
      <w:r>
        <w:rPr>
          <w:rStyle w:val="Hyperlink"/>
          <w:rFonts w:cs="Arial" w:ascii="Arial;sans-serif" w:hAnsi="Arial;sans-serif"/>
          <w:b w:val="false"/>
          <w:i w:val="false"/>
          <w:caps w:val="false"/>
          <w:smallCaps w:val="false"/>
          <w:strike w:val="false"/>
          <w:dstrike w:val="false"/>
          <w:color w:val="0097A7"/>
          <w:sz w:val="27"/>
          <w:szCs w:val="52"/>
          <w:u w:val="single"/>
          <w:effect w:val="none"/>
          <w:shd w:fill="auto" w:val="clear"/>
        </w:rPr>
        <w:fldChar w:fldCharType="end"/>
      </w:r>
    </w:p>
    <w:p>
      <w:pPr>
        <w:pStyle w:val="BodyText"/>
        <w:spacing w:before="0" w:after="200"/>
        <w:jc w:val="both"/>
        <w:rPr>
          <w:rFonts w:ascii="Arial" w:hAnsi="Arial" w:cs="Arial"/>
          <w:sz w:val="52"/>
          <w:szCs w:val="52"/>
        </w:rPr>
      </w:pPr>
      <w:r>
        <w:rPr>
          <w:rFonts w:cs="Arial" w:ascii="Arial" w:hAnsi="Arial"/>
          <w:sz w:val="52"/>
          <w:szCs w:val="52"/>
        </w:rPr>
      </w:r>
    </w:p>
    <w:p>
      <w:pPr>
        <w:pStyle w:val="BodyText"/>
        <w:bidi w:val="0"/>
        <w:spacing w:lineRule="auto" w:line="230" w:before="0" w:after="0"/>
        <w:ind w:hanging="0" w:start="0" w:end="0"/>
        <w:jc w:val="both"/>
        <w:rPr>
          <w:rFonts w:ascii="Arial;sans-serif" w:hAnsi="Arial;sans-serif" w:cs="Arial"/>
          <w:sz w:val="35"/>
          <w:szCs w:val="52"/>
        </w:rPr>
      </w:pPr>
      <w:r>
        <w:rPr>
          <w:rFonts w:cs="Arial" w:ascii="Arial;sans-serif" w:hAnsi="Arial;sans-serif"/>
          <w:b w:val="false"/>
          <w:i w:val="false"/>
          <w:caps w:val="false"/>
          <w:smallCaps w:val="false"/>
          <w:strike w:val="false"/>
          <w:dstrike w:val="false"/>
          <w:color w:val="000000"/>
          <w:sz w:val="35"/>
          <w:szCs w:val="52"/>
          <w:u w:val="none"/>
          <w:effect w:val="none"/>
          <w:shd w:fill="auto" w:val="clear"/>
        </w:rPr>
        <w:t>Original Data Sources:</w:t>
      </w:r>
    </w:p>
    <w:p>
      <w:pPr>
        <w:pStyle w:val="BodyText"/>
        <w:bidi w:val="0"/>
        <w:spacing w:lineRule="auto" w:line="230" w:before="0" w:after="0"/>
        <w:ind w:hanging="0" w:start="0" w:end="0"/>
        <w:jc w:val="both"/>
        <w:rPr>
          <w:rFonts w:ascii="Arial" w:hAnsi="Arial" w:cs="Arial"/>
          <w:sz w:val="52"/>
          <w:szCs w:val="52"/>
        </w:rPr>
      </w:pPr>
      <w:hyperlink r:id="rId17">
        <w:r>
          <w:rPr>
            <w:rStyle w:val="Hyperlink"/>
            <w:rFonts w:cs="Arial" w:ascii="Arial;sans-serif" w:hAnsi="Arial;sans-serif"/>
            <w:b w:val="false"/>
            <w:i w:val="false"/>
            <w:caps w:val="false"/>
            <w:smallCaps w:val="false"/>
            <w:strike w:val="false"/>
            <w:dstrike w:val="false"/>
            <w:color w:val="0097A7"/>
            <w:sz w:val="27"/>
            <w:szCs w:val="52"/>
            <w:u w:val="single"/>
            <w:effect w:val="none"/>
            <w:shd w:fill="auto" w:val="clear"/>
          </w:rPr>
          <w:t>EU (EEA) Monitoring of CO2 emissions from passenger cars Regulation (EU) 2019/631</w:t>
        </w:r>
      </w:hyperlink>
    </w:p>
    <w:p>
      <w:pPr>
        <w:pStyle w:val="BodyText"/>
        <w:bidi w:val="0"/>
        <w:spacing w:lineRule="auto" w:line="230" w:before="0" w:after="0"/>
        <w:ind w:hanging="0" w:start="0" w:end="0"/>
        <w:jc w:val="both"/>
        <w:rPr>
          <w:rFonts w:ascii="Arial;sans-serif" w:hAnsi="Arial;sans-serif" w:cs="Arial"/>
          <w:b w:val="false"/>
          <w:i w:val="false"/>
          <w:caps w:val="false"/>
          <w:smallCaps w:val="false"/>
          <w:strike w:val="false"/>
          <w:dstrike w:val="false"/>
          <w:color w:val="0097A7"/>
          <w:sz w:val="27"/>
          <w:szCs w:val="52"/>
          <w:u w:val="single"/>
          <w:effect w:val="none"/>
          <w:shd w:fill="auto" w:val="clear"/>
        </w:rPr>
      </w:pPr>
      <w:r>
        <w:rPr>
          <w:rFonts w:cs="Arial" w:ascii="Arial;sans-serif" w:hAnsi="Arial;sans-serif"/>
          <w:b w:val="false"/>
          <w:i w:val="false"/>
          <w:caps w:val="false"/>
          <w:smallCaps w:val="false"/>
          <w:strike w:val="false"/>
          <w:dstrike w:val="false"/>
          <w:color w:val="0097A7"/>
          <w:sz w:val="27"/>
          <w:szCs w:val="52"/>
          <w:u w:val="single"/>
          <w:effect w:val="none"/>
          <w:shd w:fill="auto" w:val="clear"/>
        </w:rPr>
      </w:r>
    </w:p>
    <w:p>
      <w:pPr>
        <w:pStyle w:val="BodyText"/>
        <w:bidi w:val="0"/>
        <w:spacing w:lineRule="auto" w:line="331" w:before="0" w:after="0"/>
        <w:ind w:hanging="0" w:start="0" w:end="0"/>
        <w:jc w:val="both"/>
        <w:rPr>
          <w:rFonts w:ascii="Arial" w:hAnsi="Arial" w:cs="Arial"/>
          <w:sz w:val="52"/>
          <w:szCs w:val="52"/>
        </w:rPr>
      </w:pPr>
      <w:r>
        <w:fldChar w:fldCharType="begin"/>
      </w:r>
      <w:r>
        <w:rPr>
          <w:rStyle w:val="Hyperlink"/>
          <w:rFonts w:cs="Arial" w:ascii="Arial;sans-serif" w:hAnsi="Arial;sans-serif"/>
          <w:b w:val="false"/>
          <w:i w:val="false"/>
          <w:caps w:val="false"/>
          <w:smallCaps w:val="false"/>
          <w:strike w:val="false"/>
          <w:dstrike w:val="false"/>
          <w:color w:val="0097A7"/>
          <w:sz w:val="27"/>
          <w:szCs w:val="52"/>
          <w:u w:val="single"/>
          <w:effect w:val="none"/>
          <w:shd w:fill="auto" w:val="clear"/>
        </w:rPr>
        <w:instrText xml:space="preserve"> HYPERLINK "https://www.data.gouv.fr/fr/datasets/emissions-de-co2-et-de-polluants-des-vehicules-commercialises-en-france/" \l "_"</w:instrText>
      </w:r>
      <w:r>
        <w:rPr>
          <w:rStyle w:val="Hyperlink"/>
          <w:rFonts w:cs="Arial" w:ascii="Arial;sans-serif" w:hAnsi="Arial;sans-serif"/>
          <w:b w:val="false"/>
          <w:i w:val="false"/>
          <w:caps w:val="false"/>
          <w:smallCaps w:val="false"/>
          <w:strike w:val="false"/>
          <w:dstrike w:val="false"/>
          <w:color w:val="0097A7"/>
          <w:sz w:val="27"/>
          <w:szCs w:val="52"/>
          <w:u w:val="single"/>
          <w:effect w:val="none"/>
          <w:shd w:fill="auto" w:val="clear"/>
        </w:rPr>
        <w:fldChar w:fldCharType="separate"/>
      </w:r>
      <w:r>
        <w:rPr>
          <w:rStyle w:val="Hyperlink"/>
          <w:rFonts w:cs="Arial" w:ascii="Arial;sans-serif" w:hAnsi="Arial;sans-serif"/>
          <w:b w:val="false"/>
          <w:i w:val="false"/>
          <w:caps w:val="false"/>
          <w:smallCaps w:val="false"/>
          <w:strike w:val="false"/>
          <w:dstrike w:val="false"/>
          <w:color w:val="0097A7"/>
          <w:sz w:val="27"/>
          <w:szCs w:val="52"/>
          <w:u w:val="single"/>
          <w:effect w:val="none"/>
          <w:shd w:fill="auto" w:val="clear"/>
        </w:rPr>
        <w:t>CO2 and pollutant emissions of vehicles marketed in France - data.gouv.fr</w:t>
      </w:r>
      <w:r>
        <w:rPr>
          <w:rStyle w:val="Hyperlink"/>
          <w:rFonts w:cs="Arial" w:ascii="Arial;sans-serif" w:hAnsi="Arial;sans-serif"/>
          <w:b w:val="false"/>
          <w:i w:val="false"/>
          <w:caps w:val="false"/>
          <w:smallCaps w:val="false"/>
          <w:strike w:val="false"/>
          <w:dstrike w:val="false"/>
          <w:color w:val="0097A7"/>
          <w:sz w:val="27"/>
          <w:szCs w:val="52"/>
          <w:u w:val="single"/>
          <w:effect w:val="none"/>
          <w:shd w:fill="auto" w:val="clear"/>
        </w:rPr>
        <w:fldChar w:fldCharType="end"/>
      </w:r>
    </w:p>
    <w:p>
      <w:pPr>
        <w:pStyle w:val="Normal"/>
        <w:jc w:val="both"/>
        <w:rPr>
          <w:rFonts w:ascii="Arial" w:hAnsi="Arial" w:cs="Arial"/>
          <w:sz w:val="52"/>
          <w:szCs w:val="52"/>
        </w:rPr>
      </w:pPr>
      <w:r>
        <w:rPr>
          <w:rFonts w:cs="Arial" w:ascii="Arial" w:hAnsi="Arial"/>
          <w:sz w:val="52"/>
          <w:szCs w:val="52"/>
        </w:rPr>
      </w:r>
    </w:p>
    <w:p>
      <w:pPr>
        <w:pStyle w:val="Heading1"/>
        <w:ind w:hanging="0" w:start="0"/>
        <w:jc w:val="both"/>
        <w:rPr>
          <w:rFonts w:ascii="Arial" w:hAnsi="Arial" w:cs="Arial"/>
          <w:sz w:val="52"/>
          <w:szCs w:val="52"/>
        </w:rPr>
      </w:pPr>
      <w:r>
        <w:rPr>
          <w:rFonts w:cs="Arial" w:ascii="Arial" w:hAnsi="Arial"/>
          <w:sz w:val="52"/>
          <w:szCs w:val="52"/>
        </w:rPr>
      </w:r>
    </w:p>
    <w:sectPr>
      <w:footerReference w:type="even" r:id="rId18"/>
      <w:footerReference w:type="default" r:id="rId19"/>
      <w:footerReference w:type="first" r:id="rId20"/>
      <w:type w:val="nextPage"/>
      <w:pgSz w:w="12240" w:h="15840"/>
      <w:pgMar w:left="1800" w:right="1800" w:gutter="0" w:header="0" w:top="1440" w:footer="0"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swiss"/>
    <w:pitch w:val="variable"/>
  </w:font>
  <w:font w:name="Courier">
    <w:altName w:val="Courier New"/>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Times New Roman">
    <w:charset w:val="01"/>
    <w:family w:val="roman"/>
    <w:pitch w:val="variable"/>
  </w:font>
  <w:font w:name="Liberation Mono">
    <w:altName w:val="Courier New"/>
    <w:charset w:val="01"/>
    <w:family w:val="swiss"/>
    <w:pitch w:val="variable"/>
  </w:font>
  <w:font w:name="Arial">
    <w:charset w:val="01"/>
    <w:family w:val="swiss"/>
    <w:pitch w:val="variable"/>
  </w:font>
  <w:font w:name="Arial">
    <w:altName w:val="sans-serif"/>
    <w:charset w:val="01"/>
    <w:family w:val="swiss"/>
    <w:pitch w:val="variable"/>
  </w:font>
  <w:font w:name="Cambria Math">
    <w:charset w:val="01"/>
    <w:family w:val="roman"/>
    <w:pitch w:val="variable"/>
  </w:font>
  <w:font w:name="Symbol">
    <w:charset w:val="01"/>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42</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MS Mincho" w:cs="Tahoma"/>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start"/>
    </w:pPr>
    <w:rPr>
      <w:rFonts w:ascii="Calibri" w:hAnsi="Calibri" w:eastAsia="MS Mincho" w:cs="Tahoma"/>
      <w:color w:val="auto"/>
      <w:kern w:val="0"/>
      <w:sz w:val="20"/>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eastAsia="MS Gothic"/>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eastAsia="MS Gothic"/>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eastAsia="MS Gothic"/>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eastAsia="MS Gothic"/>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eastAsia="MS Gothic"/>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eastAsia="MS Gothic"/>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eastAsia="MS Gothic"/>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eastAsia="MS Gothic"/>
      <w:color w:themeColor="accent1" w:val="4F81BD"/>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eastAsia="MS Gothic"/>
      <w:i/>
      <w:iCs/>
      <w:color w:themeColor="dark1" w:themeTint="bf" w:val="404040"/>
      <w:szCs w:val="20"/>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Heading1Char">
    <w:name w:val="Heading 1 Char"/>
    <w:basedOn w:val="DefaultParagraphFont"/>
    <w:link w:val="Heading1"/>
    <w:qFormat/>
    <w:rPr>
      <w:rFonts w:ascii="Calibri" w:hAnsi="Calibri" w:eastAsia="MS Gothic" w:cs="Tahoma"/>
      <w:b/>
      <w:bCs/>
      <w:color w:themeColor="accent1" w:themeShade="bf" w:val="365F91"/>
      <w:sz w:val="28"/>
      <w:szCs w:val="28"/>
    </w:rPr>
  </w:style>
  <w:style w:type="character" w:styleId="Heading2Char">
    <w:name w:val="Heading 2 Char"/>
    <w:basedOn w:val="DefaultParagraphFont"/>
    <w:link w:val="Heading2"/>
    <w:qFormat/>
    <w:rPr>
      <w:rFonts w:ascii="Calibri" w:hAnsi="Calibri" w:eastAsia="MS Gothic" w:cs="Tahoma"/>
      <w:b/>
      <w:bCs/>
      <w:color w:themeColor="accent1" w:val="4F81BD"/>
      <w:sz w:val="26"/>
      <w:szCs w:val="26"/>
    </w:rPr>
  </w:style>
  <w:style w:type="character" w:styleId="Heading3Char">
    <w:name w:val="Heading 3 Char"/>
    <w:basedOn w:val="DefaultParagraphFont"/>
    <w:link w:val="Heading3"/>
    <w:qFormat/>
    <w:rPr>
      <w:rFonts w:ascii="Calibri" w:hAnsi="Calibri" w:eastAsia="MS Gothic" w:cs="Tahoma"/>
      <w:b/>
      <w:bCs/>
      <w:color w:themeColor="accent1" w:val="4F81BD"/>
    </w:rPr>
  </w:style>
  <w:style w:type="character" w:styleId="TitleChar">
    <w:name w:val="Title Char"/>
    <w:basedOn w:val="DefaultParagraphFont"/>
    <w:link w:val="Title"/>
    <w:qFormat/>
    <w:rPr>
      <w:rFonts w:ascii="Calibri" w:hAnsi="Calibri" w:eastAsia="MS Gothic" w:cs="Tahoma"/>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MS Gothic"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MS Gothic" w:cs="Tahoma"/>
      <w:b/>
      <w:bCs/>
      <w:i/>
      <w:iCs/>
      <w:color w:themeColor="accent1" w:val="4F81BD"/>
    </w:rPr>
  </w:style>
  <w:style w:type="character" w:styleId="Heading5Char">
    <w:name w:val="Heading 5 Char"/>
    <w:basedOn w:val="DefaultParagraphFont"/>
    <w:link w:val="Heading5"/>
    <w:qFormat/>
    <w:rPr>
      <w:rFonts w:ascii="Calibri" w:hAnsi="Calibri" w:eastAsia="MS Gothic" w:cs="Tahoma"/>
      <w:color w:themeColor="accent1" w:themeShade="7f" w:val="243F60"/>
    </w:rPr>
  </w:style>
  <w:style w:type="character" w:styleId="Heading6Char">
    <w:name w:val="Heading 6 Char"/>
    <w:basedOn w:val="DefaultParagraphFont"/>
    <w:link w:val="Heading6"/>
    <w:qFormat/>
    <w:rPr>
      <w:rFonts w:ascii="Calibri" w:hAnsi="Calibri" w:eastAsia="MS Gothic" w:cs="Tahoma"/>
      <w:i/>
      <w:iCs/>
      <w:color w:themeColor="accent1" w:themeShade="7f" w:val="243F60"/>
    </w:rPr>
  </w:style>
  <w:style w:type="character" w:styleId="Heading7Char">
    <w:name w:val="Heading 7 Char"/>
    <w:basedOn w:val="DefaultParagraphFont"/>
    <w:link w:val="Heading7"/>
    <w:qFormat/>
    <w:rPr>
      <w:rFonts w:ascii="Calibri" w:hAnsi="Calibri" w:eastAsia="MS Gothic" w:cs="Tahoma"/>
      <w:i/>
      <w:iCs/>
      <w:color w:themeColor="dark1" w:themeTint="bf" w:val="404040"/>
    </w:rPr>
  </w:style>
  <w:style w:type="character" w:styleId="Heading8Char">
    <w:name w:val="Heading 8 Char"/>
    <w:basedOn w:val="DefaultParagraphFont"/>
    <w:link w:val="Heading8"/>
    <w:qFormat/>
    <w:rPr>
      <w:rFonts w:ascii="Calibri" w:hAnsi="Calibri" w:eastAsia="MS Gothic" w:cs="Tahoma"/>
      <w:color w:themeColor="accent1" w:val="4F81BD"/>
      <w:sz w:val="20"/>
      <w:szCs w:val="20"/>
    </w:rPr>
  </w:style>
  <w:style w:type="character" w:styleId="Heading9Char">
    <w:name w:val="Heading 9 Char"/>
    <w:basedOn w:val="DefaultParagraphFont"/>
    <w:link w:val="Heading9"/>
    <w:qFormat/>
    <w:rPr>
      <w:rFonts w:ascii="Calibri" w:hAnsi="Calibri" w:eastAsia="MS Gothic" w:cs="Tahoma"/>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NoSpacingChar">
    <w:name w:val="No Spacing Char"/>
    <w:basedOn w:val="DefaultParagraphFont"/>
    <w:link w:val="NoSpacing"/>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link w:val="NoSpacingChar"/>
    <w:qFormat/>
    <w:pPr>
      <w:widowControl/>
      <w:suppressAutoHyphens w:val="true"/>
      <w:overflowPunct w:val="false"/>
      <w:bidi w:val="0"/>
      <w:spacing w:before="0" w:after="0"/>
      <w:jc w:val="start"/>
    </w:pPr>
    <w:rPr>
      <w:rFonts w:ascii="Cambria" w:hAnsi="Cambria" w:eastAsia="MS Mincho" w:cs="Tahoma"/>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eastAsia="MS Gothic"/>
      <w:color w:themeColor="dark2" w:themeShade="bf" w:val="17365D"/>
      <w:spacing w:val="5"/>
      <w:kern w:val="2"/>
      <w:sz w:val="52"/>
      <w:szCs w:val="52"/>
    </w:rPr>
  </w:style>
  <w:style w:type="paragraph" w:styleId="Subtitle">
    <w:name w:val="Subtitle"/>
    <w:basedOn w:val="Normal"/>
    <w:next w:val="Normal"/>
    <w:link w:val="SubtitleChar"/>
    <w:qFormat/>
    <w:pPr/>
    <w:rPr>
      <w:rFonts w:eastAsia="MS Gothic"/>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3">
    <w:name w:val="List Number 3"/>
    <w:basedOn w:val="Normal"/>
    <w:pPr>
      <w:numPr>
        <w:ilvl w:val="0"/>
        <w:numId w:val="6"/>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false"/>
      <w:bidi w:val="0"/>
      <w:spacing w:lineRule="auto" w:line="276" w:before="0" w:after="200"/>
      <w:jc w:val="start"/>
    </w:pPr>
    <w:rPr>
      <w:rFonts w:ascii="Courier" w:hAnsi="Courier" w:eastAsia="MS Mincho" w:cs="Tahoma"/>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jc w:val="center"/>
    </w:pPr>
    <w:rPr>
      <w:b/>
      <w:bCs/>
    </w:rPr>
  </w:style>
  <w:style w:type="paragraph" w:styleId="NormalWeb">
    <w:name w:val="Normal (Web)"/>
    <w:basedOn w:val="Normal"/>
    <w:qFormat/>
    <w:pPr/>
    <w:rPr>
      <w:rFonts w:ascii="Times New Roman" w:hAnsi="Times New Roman" w:cs="Times New Roman"/>
      <w:sz w:val="24"/>
      <w:szCs w:val="24"/>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yperlink" Target="https://github.com/DataScientest-Studio/jul26_bds_int_co2" TargetMode="External"/><Relationship Id="rId17" Type="http://schemas.openxmlformats.org/officeDocument/2006/relationships/hyperlink" Target="https://www.eea.europa.eu/en/datahub/datahubitem-view/fa8b1229-3db6-495d-b18e-9c9b3267c02b" TargetMode="Externa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520</TotalTime>
  <Application>LibreOffice/26.8.0.3$MacOSX_AARCH64 LibreOffice_project/bce0998afefdbc355585ca324285661a2170ba77</Application>
  <AppVersion>15.0000</AppVersion>
  <Pages>43</Pages>
  <Words>8093</Words>
  <Characters>49885</Characters>
  <CharactersWithSpaces>56887</CharactersWithSpaces>
  <Paragraphs>917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en-US</dc:language>
  <cp:lastModifiedBy/>
  <dcterms:modified xsi:type="dcterms:W3CDTF">2026-10-07T12:50:39Z</dcterms:modified>
  <cp:revision>114</cp:revision>
  <dc:subject>Ana M. Valencia,</dc:subject>
  <dc:title>Report on Step 3: Advanced Modeling, Interpretation and Conclusions</dc:title>
</cp:coreProperties>
</file>

<file path=docProps/custom.xml><?xml version="1.0" encoding="utf-8"?>
<Properties xmlns="http://schemas.openxmlformats.org/officeDocument/2006/custom-properties" xmlns:vt="http://schemas.openxmlformats.org/officeDocument/2006/docPropsVTypes"/>
</file>