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id w:val="20050140"/>
        <w:docPartObj>
          <w:docPartGallery w:val="Cover Pages"/>
          <w:docPartUnique w:val="true"/>
        </w:docPartObj>
      </w:sdtPr>
      <w:sdtContent>
        <w:p>
          <w:pPr>
            <w:pStyle w:val="Normal"/>
            <w:rPr/>
          </w:pPr>
          <w:r>
            <w:rPr/>
          </w:r>
        </w:p>
        <w:p>
          <w:pPr>
            <w:pStyle w:val="Normal"/>
            <w:spacing w:lineRule="auto" w:line="240" w:before="0" w:after="0"/>
            <w:rPr>
              <w:rFonts w:ascii="Arial" w:hAnsi="Arial" w:cs="Arial" w:asciiTheme="majorHAnsi" w:cstheme="majorHAnsi" w:hAnsiTheme="majorHAnsi"/>
              <w:szCs w:val="20"/>
            </w:rPr>
          </w:pPr>
          <w:r>
            <w:rPr>
              <w:rFonts w:cs="Arial" w:cstheme="majorHAnsi" w:ascii="Arial" w:hAnsi="Arial"/>
              <w:szCs w:val="20"/>
            </w:rPr>
            <mc:AlternateContent>
              <mc:Choice Requires="wps">
                <w:drawing>
                  <wp:anchor distT="0" distB="13335" distL="182880" distR="189230" simplePos="0" relativeHeight="4" behindDoc="0" locked="0" layoutInCell="0" allowOverlap="1" wp14:anchorId="5DD4B27D">
                    <wp:simplePos x="0" y="0"/>
                    <wp:positionH relativeFrom="margin">
                      <wp:posOffset>-234950</wp:posOffset>
                    </wp:positionH>
                    <wp:positionV relativeFrom="page">
                      <wp:posOffset>2825750</wp:posOffset>
                    </wp:positionV>
                    <wp:extent cx="6718300" cy="2005330"/>
                    <wp:effectExtent l="0" t="0" r="0" b="0"/>
                    <wp:wrapSquare wrapText="bothSides"/>
                    <wp:docPr id="1" name="Textfeld 131"/>
                    <a:graphic xmlns:a="http://schemas.openxmlformats.org/drawingml/2006/main">
                      <a:graphicData uri="http://schemas.microsoft.com/office/word/2010/wordprocessingShape">
                        <wps:wsp>
                          <wps:cNvSpPr/>
                          <wps:spPr>
                            <a:xfrm>
                              <a:off x="0" y="0"/>
                              <a:ext cx="6718320" cy="20052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NoSpacing"/>
                                  <w:spacing w:lineRule="auto" w:line="216" w:before="40" w:after="560"/>
                                  <w:rPr>
                                    <w:color w:themeColor="accent1" w:val="4F81BD"/>
                                    <w:sz w:val="72"/>
                                    <w:szCs w:val="72"/>
                                    <w:lang w:val="en-GB"/>
                                  </w:rPr>
                                </w:pPr>
                                <w:sdt>
                                  <w:sdtPr>
                                    <w:alias w:val="Titel"/>
                                    <w:id w:val="151731938"/>
                                    <w:dataBinding w:prefixMappings="xmlns:ns0='http://purl.org/dc/elements/1.1/' xmlns:ns1='http://schemas.openxmlformats.org/package/2006/metadata/core-properties' " w:xpath="/ns1:coreProperties[1]/ns0:title[1]" w:storeItemID="{6C3C8BC8-F283-45AE-878A-BAB7291924A1}"/>
                                    <w:text/>
                                  </w:sdtPr>
                                  <w:sdtContent>
                                    <w:r>
                                      <w:rPr>
                                        <w:color w:themeColor="accent1" w:val="4F81BD"/>
                                        <w:sz w:val="72"/>
                                        <w:szCs w:val="72"/>
                                      </w:rPr>
                                    </w:r>
                                    <w:r>
                                      <w:rPr>
                                        <w:color w:themeColor="accent1" w:val="4F81BD"/>
                                        <w:sz w:val="72"/>
                                        <w:szCs w:val="72"/>
                                      </w:rPr>
                                      <w:t>Report on Step 3: Advanced Modeling, Interpretation and Conclusions</w:t>
                                    </w:r>
                                  </w:sdtContent>
                                </w:sdt>
                              </w:p>
                              <w:p>
                                <w:pPr>
                                  <w:pStyle w:val="NoSpacing"/>
                                  <w:spacing w:before="80" w:after="40"/>
                                  <w:rPr>
                                    <w:caps/>
                                    <w:color w:themeColor="accent5" w:val="4BACC6"/>
                                    <w:sz w:val="24"/>
                                    <w:szCs w:val="24"/>
                                    <w:lang w:val="de-DE"/>
                                  </w:rPr>
                                </w:pPr>
                                <w:sdt>
                                  <w:sdtPr>
                                    <w:alias w:val="Autor"/>
                                    <w:id w:val="-1536112409"/>
                                    <w:showingPlcHdr/>
                                    <w:dataBinding w:prefixMappings="xmlns:ns0='http://purl.org/dc/elements/1.1/' xmlns:ns1='http://schemas.openxmlformats.org/package/2006/metadata/core-properties' " w:xpath="/ns1:coreProperties[1]/ns0:creator[1]" w:storeItemID="{6C3C8BC8-F283-45AE-878A-BAB7291924A1}"/>
                                    <w:text/>
                                  </w:sdtPr>
                                  <w:sdtContent>
                                    <w:r>
                                      <w:rPr>
                                        <w:caps/>
                                        <w:color w:themeColor="accent5" w:val="4BACC6"/>
                                        <w:sz w:val="24"/>
                                        <w:szCs w:val="24"/>
                                        <w:lang w:val="de-DE"/>
                                      </w:rPr>
                                    </w:r>
                                    <w:r>
                                      <w:rPr>
                                        <w:caps/>
                                        <w:color w:themeColor="accent5" w:val="4BACC6"/>
                                        <w:sz w:val="24"/>
                                        <w:szCs w:val="24"/>
                                        <w:lang w:val="de-DE"/>
                                      </w:rPr>
                                      <w:t xml:space="preserve">     </w:t>
                                    </w:r>
                                  </w:sdtContent>
                                </w:sdt>
                              </w:p>
                            </w:txbxContent>
                          </wps:txbx>
                          <wps:bodyPr lIns="0" tIns="0" rIns="0" bIns="0" anchor="t">
                            <a:prstTxWarp prst="textNoShape"/>
                            <a:spAutoFit/>
                          </wps:bodyPr>
                        </wps:wsp>
                      </a:graphicData>
                    </a:graphic>
                    <wp14:sizeRelV relativeFrom="page">
                      <wp14:pctHeight>35000</wp14:pctHeight>
                    </wp14:sizeRelV>
                  </wp:anchor>
                </w:drawing>
              </mc:Choice>
              <mc:Fallback>
                <w:pict>
                  <v:rect id="shape_0" stroked="f" o:allowincell="f" style="position:absolute;margin-left:-18.5pt;margin-top:222.5pt;width:528.95pt;height:157.85pt;mso-wrap-style:square;v-text-anchor:top;mso-position-horizontal-relative:margin;mso-position-vertical-relative:page" wp14:anchorId="5DD4B27D">
                    <v:fill o:detectmouseclick="t" on="false"/>
                    <v:stroke color="#3465a4" weight="6480" joinstyle="round" endcap="flat"/>
                    <v:textbox>
                      <w:txbxContent>
                        <w:p>
                          <w:pPr>
                            <w:pStyle w:val="NoSpacing"/>
                            <w:spacing w:lineRule="auto" w:line="216" w:before="40" w:after="560"/>
                            <w:rPr>
                              <w:color w:themeColor="accent1" w:val="4F81BD"/>
                              <w:sz w:val="72"/>
                              <w:szCs w:val="72"/>
                              <w:lang w:val="en-GB"/>
                            </w:rPr>
                          </w:pPr>
                          <w:sdt>
                            <w:sdtPr>
                              <w:alias w:val="Titel"/>
                              <w:id w:val="151731938"/>
                              <w:dataBinding w:prefixMappings="xmlns:ns0='http://purl.org/dc/elements/1.1/' xmlns:ns1='http://schemas.openxmlformats.org/package/2006/metadata/core-properties' " w:xpath="/ns1:coreProperties[1]/ns0:title[1]" w:storeItemID="{6C3C8BC8-F283-45AE-878A-BAB7291924A1}"/>
                              <w:text/>
                            </w:sdtPr>
                            <w:sdtContent>
                              <w:r>
                                <w:rPr>
                                  <w:color w:themeColor="accent1" w:val="4F81BD"/>
                                  <w:sz w:val="72"/>
                                  <w:szCs w:val="72"/>
                                </w:rPr>
                              </w:r>
                              <w:r>
                                <w:rPr>
                                  <w:color w:themeColor="accent1" w:val="4F81BD"/>
                                  <w:sz w:val="72"/>
                                  <w:szCs w:val="72"/>
                                </w:rPr>
                                <w:t>Report on Step 3: Advanced Modeling, Interpretation and Conclusions</w:t>
                              </w:r>
                            </w:sdtContent>
                          </w:sdt>
                        </w:p>
                        <w:p>
                          <w:pPr>
                            <w:pStyle w:val="NoSpacing"/>
                            <w:spacing w:before="80" w:after="40"/>
                            <w:rPr>
                              <w:caps/>
                              <w:color w:themeColor="accent5" w:val="4BACC6"/>
                              <w:sz w:val="24"/>
                              <w:szCs w:val="24"/>
                              <w:lang w:val="de-DE"/>
                            </w:rPr>
                          </w:pPr>
                          <w:sdt>
                            <w:sdtPr>
                              <w:alias w:val="Autor"/>
                              <w:id w:val="-1536112409"/>
                              <w:showingPlcHdr/>
                              <w:dataBinding w:prefixMappings="xmlns:ns0='http://purl.org/dc/elements/1.1/' xmlns:ns1='http://schemas.openxmlformats.org/package/2006/metadata/core-properties' " w:xpath="/ns1:coreProperties[1]/ns0:creator[1]" w:storeItemID="{6C3C8BC8-F283-45AE-878A-BAB7291924A1}"/>
                              <w:text/>
                            </w:sdtPr>
                            <w:sdtContent>
                              <w:r>
                                <w:rPr>
                                  <w:caps/>
                                  <w:color w:themeColor="accent5" w:val="4BACC6"/>
                                  <w:sz w:val="24"/>
                                  <w:szCs w:val="24"/>
                                  <w:lang w:val="de-DE"/>
                                </w:rPr>
                              </w:r>
                              <w:r>
                                <w:rPr>
                                  <w:caps/>
                                  <w:color w:themeColor="accent5" w:val="4BACC6"/>
                                  <w:sz w:val="24"/>
                                  <w:szCs w:val="24"/>
                                  <w:lang w:val="de-DE"/>
                                </w:rPr>
                                <w:t xml:space="preserve">     </w:t>
                              </w:r>
                            </w:sdtContent>
                          </w:sdt>
                        </w:p>
                      </w:txbxContent>
                    </v:textbox>
                    <w10:wrap type="square"/>
                  </v:rect>
                </w:pict>
              </mc:Fallback>
            </mc:AlternateContent>
            <mc:AlternateContent>
              <mc:Choice Requires="wps">
                <w:drawing>
                  <wp:anchor distT="40005" distB="66040" distL="109220" distR="0" simplePos="0" relativeHeight="6" behindDoc="0" locked="0" layoutInCell="0" allowOverlap="1" wp14:anchorId="3C423609">
                    <wp:simplePos x="0" y="0"/>
                    <wp:positionH relativeFrom="margin">
                      <wp:align>right</wp:align>
                    </wp:positionH>
                    <wp:positionV relativeFrom="paragraph">
                      <wp:posOffset>4063365</wp:posOffset>
                    </wp:positionV>
                    <wp:extent cx="5480050" cy="1977390"/>
                    <wp:effectExtent l="5080" t="5080" r="5080" b="5080"/>
                    <wp:wrapSquare wrapText="bothSides"/>
                    <wp:docPr id="2" name="Text Box 2"/>
                    <a:graphic xmlns:a="http://schemas.openxmlformats.org/drawingml/2006/main">
                      <a:graphicData uri="http://schemas.microsoft.com/office/word/2010/wordprocessingShape">
                        <wps:wsp>
                          <wps:cNvSpPr/>
                          <wps:spPr>
                            <a:xfrm>
                              <a:off x="0" y="0"/>
                              <a:ext cx="5479920" cy="19774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jc w:val="center"/>
                                  <w:rPr>
                                    <w:rFonts w:ascii="Arial" w:hAnsi="Arial" w:cs="Arial" w:asciiTheme="majorHAnsi" w:cstheme="majorHAnsi" w:hAnsiTheme="majorHAnsi"/>
                                    <w:sz w:val="28"/>
                                    <w:szCs w:val="28"/>
                                    <w:lang w:val="en-GB"/>
                                  </w:rPr>
                                </w:pPr>
                                <w:r>
                                  <w:rPr>
                                    <w:rFonts w:cs="Arial" w:ascii="Arial" w:hAnsi="Arial" w:asciiTheme="majorHAnsi" w:cstheme="majorHAnsi" w:hAnsiTheme="majorHAnsi"/>
                                    <w:b/>
                                    <w:bCs/>
                                    <w:color w:val="000000"/>
                                    <w:sz w:val="28"/>
                                    <w:szCs w:val="28"/>
                                    <w:lang w:val="en-GB"/>
                                  </w:rPr>
                                  <w:t xml:space="preserve">Project Team: </w:t>
                                </w:r>
                                <w:r>
                                  <w:rPr>
                                    <w:rFonts w:cs="Arial" w:ascii="Arial" w:hAnsi="Arial" w:asciiTheme="majorHAnsi" w:cstheme="majorHAnsi" w:hAnsiTheme="majorHAnsi"/>
                                    <w:color w:val="000000"/>
                                    <w:sz w:val="28"/>
                                    <w:szCs w:val="28"/>
                                    <w:lang w:val="en-GB"/>
                                  </w:rPr>
                                  <w:t>#jul26_bds_int_co2</w:t>
                                </w:r>
                              </w:p>
                              <w:p>
                                <w:pPr>
                                  <w:pStyle w:val="FrameContents"/>
                                  <w:numPr>
                                    <w:ilvl w:val="0"/>
                                    <w:numId w:val="7"/>
                                  </w:numPr>
                                  <w:jc w:val="center"/>
                                  <w:rPr>
                                    <w:rFonts w:ascii="Arial" w:hAnsi="Arial" w:cs="Arial" w:asciiTheme="majorHAnsi" w:cstheme="majorHAnsi" w:hAnsiTheme="majorHAnsi"/>
                                    <w:b/>
                                    <w:bCs/>
                                    <w:sz w:val="28"/>
                                    <w:szCs w:val="28"/>
                                    <w:lang w:val="en-GB"/>
                                  </w:rPr>
                                </w:pPr>
                                <w:r>
                                  <w:rPr>
                                    <w:rFonts w:cs="Arial" w:ascii="Arial" w:hAnsi="Arial" w:asciiTheme="majorHAnsi" w:cstheme="majorHAnsi" w:hAnsiTheme="majorHAnsi"/>
                                    <w:b/>
                                    <w:bCs/>
                                    <w:color w:val="000000"/>
                                    <w:sz w:val="28"/>
                                    <w:szCs w:val="28"/>
                                    <w:lang w:val="en-GB"/>
                                  </w:rPr>
                                  <w:t>Ana M. Valencia Garcia, Doctor in Theoretical Physics</w:t>
                                </w:r>
                              </w:p>
                              <w:p>
                                <w:pPr>
                                  <w:pStyle w:val="FrameContents"/>
                                  <w:numPr>
                                    <w:ilvl w:val="0"/>
                                    <w:numId w:val="7"/>
                                  </w:numPr>
                                  <w:jc w:val="center"/>
                                  <w:rPr>
                                    <w:rFonts w:ascii="Arial" w:hAnsi="Arial" w:cs="Arial" w:asciiTheme="majorHAnsi" w:cstheme="majorHAnsi" w:hAnsiTheme="majorHAnsi"/>
                                    <w:b/>
                                    <w:bCs/>
                                    <w:sz w:val="28"/>
                                    <w:szCs w:val="28"/>
                                    <w:lang w:val="en-GB"/>
                                  </w:rPr>
                                </w:pPr>
                                <w:r>
                                  <w:rPr>
                                    <w:rFonts w:cs="Arial" w:ascii="Arial" w:hAnsi="Arial" w:asciiTheme="majorHAnsi" w:cstheme="majorHAnsi" w:hAnsiTheme="majorHAnsi"/>
                                    <w:b/>
                                    <w:bCs/>
                                    <w:color w:val="000000"/>
                                    <w:sz w:val="28"/>
                                    <w:szCs w:val="28"/>
                                    <w:lang w:val="en-GB"/>
                                  </w:rPr>
                                  <w:t>Serhat Gemici, Computer Engineer, Specialised in Soft Computing and Software Quality</w:t>
                                </w:r>
                              </w:p>
                              <w:p>
                                <w:pPr>
                                  <w:pStyle w:val="FrameContents"/>
                                  <w:jc w:val="center"/>
                                  <w:rPr>
                                    <w:rFonts w:ascii="Arial" w:hAnsi="Arial" w:cs="Arial" w:asciiTheme="majorHAnsi" w:cstheme="majorHAnsi" w:hAnsiTheme="majorHAnsi"/>
                                    <w:sz w:val="28"/>
                                    <w:szCs w:val="28"/>
                                    <w:lang w:val="de-DE"/>
                                  </w:rPr>
                                </w:pPr>
                                <w:r>
                                  <w:rPr>
                                    <w:rFonts w:cs="Arial" w:ascii="Arial" w:hAnsi="Arial" w:asciiTheme="majorHAnsi" w:cstheme="majorHAnsi" w:hAnsiTheme="majorHAnsi"/>
                                    <w:b/>
                                    <w:bCs/>
                                    <w:color w:val="000000"/>
                                    <w:sz w:val="28"/>
                                    <w:szCs w:val="28"/>
                                    <w:lang w:val="de-DE"/>
                                  </w:rPr>
                                  <w:t>Mentor:</w:t>
                                </w:r>
                                <w:r>
                                  <w:rPr>
                                    <w:rFonts w:cs="Arial" w:ascii="Arial" w:hAnsi="Arial" w:asciiTheme="majorHAnsi" w:cstheme="majorHAnsi" w:hAnsiTheme="majorHAnsi"/>
                                    <w:color w:val="000000"/>
                                    <w:sz w:val="28"/>
                                    <w:szCs w:val="28"/>
                                    <w:lang w:val="de-DE"/>
                                  </w:rPr>
                                  <w:t xml:space="preserve"> Yaniv Benichou</w:t>
                                </w:r>
                              </w:p>
                              <w:p>
                                <w:pPr>
                                  <w:pStyle w:val="FrameContents"/>
                                  <w:spacing w:before="0" w:after="200"/>
                                  <w:jc w:val="center"/>
                                  <w:rPr>
                                    <w:rFonts w:ascii="Arial" w:hAnsi="Arial" w:cs="Arial" w:asciiTheme="majorHAnsi" w:cstheme="majorHAnsi" w:hAnsiTheme="majorHAnsi"/>
                                    <w:sz w:val="28"/>
                                    <w:szCs w:val="28"/>
                                    <w:lang w:val="de-DE"/>
                                  </w:rPr>
                                </w:pPr>
                                <w:r>
                                  <w:rPr>
                                    <w:rFonts w:cs="Arial" w:ascii="Arial" w:hAnsi="Arial" w:asciiTheme="majorHAnsi" w:cstheme="majorHAnsi" w:hAnsiTheme="majorHAnsi"/>
                                    <w:color w:val="000000"/>
                                    <w:sz w:val="28"/>
                                    <w:szCs w:val="28"/>
                                    <w:lang w:val="de-DE"/>
                                  </w:rPr>
                                  <w:t>02.10.2026</w:t>
                                </w:r>
                              </w:p>
                            </w:txbxContent>
                          </wps:txbx>
                          <wps:bodyPr anchor="t">
                            <a:spAutoFit/>
                          </wps:bodyPr>
                        </wps:wsp>
                      </a:graphicData>
                    </a:graphic>
                    <wp14:sizeRelV relativeFrom="margin">
                      <wp14:pctHeight>20000</wp14:pctHeight>
                    </wp14:sizeRelV>
                  </wp:anchor>
                </w:drawing>
              </mc:Choice>
              <mc:Fallback>
                <w:pict>
                  <v:rect id="shape_0" fillcolor="white" stroked="t" o:allowincell="f" style="position:absolute;margin-left:0.45pt;margin-top:319.95pt;width:431.45pt;height:155.65pt;mso-wrap-style:square;v-text-anchor:top;mso-position-horizontal:right;mso-position-horizontal-relative:margin" wp14:anchorId="3C423609">
                    <v:fill o:detectmouseclick="t" type="solid" color2="black"/>
                    <v:stroke color="black" weight="9360" joinstyle="miter" endcap="flat"/>
                    <v:textbox>
                      <w:txbxContent>
                        <w:p>
                          <w:pPr>
                            <w:pStyle w:val="FrameContents"/>
                            <w:jc w:val="center"/>
                            <w:rPr>
                              <w:rFonts w:ascii="Arial" w:hAnsi="Arial" w:cs="Arial" w:asciiTheme="majorHAnsi" w:cstheme="majorHAnsi" w:hAnsiTheme="majorHAnsi"/>
                              <w:sz w:val="28"/>
                              <w:szCs w:val="28"/>
                              <w:lang w:val="en-GB"/>
                            </w:rPr>
                          </w:pPr>
                          <w:r>
                            <w:rPr>
                              <w:rFonts w:cs="Arial" w:ascii="Arial" w:hAnsi="Arial" w:asciiTheme="majorHAnsi" w:cstheme="majorHAnsi" w:hAnsiTheme="majorHAnsi"/>
                              <w:b/>
                              <w:bCs/>
                              <w:color w:val="000000"/>
                              <w:sz w:val="28"/>
                              <w:szCs w:val="28"/>
                              <w:lang w:val="en-GB"/>
                            </w:rPr>
                            <w:t xml:space="preserve">Project Team: </w:t>
                          </w:r>
                          <w:r>
                            <w:rPr>
                              <w:rFonts w:cs="Arial" w:ascii="Arial" w:hAnsi="Arial" w:asciiTheme="majorHAnsi" w:cstheme="majorHAnsi" w:hAnsiTheme="majorHAnsi"/>
                              <w:color w:val="000000"/>
                              <w:sz w:val="28"/>
                              <w:szCs w:val="28"/>
                              <w:lang w:val="en-GB"/>
                            </w:rPr>
                            <w:t>#jul26_bds_int_co2</w:t>
                          </w:r>
                        </w:p>
                        <w:p>
                          <w:pPr>
                            <w:pStyle w:val="FrameContents"/>
                            <w:numPr>
                              <w:ilvl w:val="0"/>
                              <w:numId w:val="7"/>
                            </w:numPr>
                            <w:jc w:val="center"/>
                            <w:rPr>
                              <w:rFonts w:ascii="Arial" w:hAnsi="Arial" w:cs="Arial" w:asciiTheme="majorHAnsi" w:cstheme="majorHAnsi" w:hAnsiTheme="majorHAnsi"/>
                              <w:b/>
                              <w:bCs/>
                              <w:sz w:val="28"/>
                              <w:szCs w:val="28"/>
                              <w:lang w:val="en-GB"/>
                            </w:rPr>
                          </w:pPr>
                          <w:r>
                            <w:rPr>
                              <w:rFonts w:cs="Arial" w:ascii="Arial" w:hAnsi="Arial" w:asciiTheme="majorHAnsi" w:cstheme="majorHAnsi" w:hAnsiTheme="majorHAnsi"/>
                              <w:b/>
                              <w:bCs/>
                              <w:color w:val="000000"/>
                              <w:sz w:val="28"/>
                              <w:szCs w:val="28"/>
                              <w:lang w:val="en-GB"/>
                            </w:rPr>
                            <w:t>Ana M. Valencia Garcia, Doctor in Theoretical Physics</w:t>
                          </w:r>
                        </w:p>
                        <w:p>
                          <w:pPr>
                            <w:pStyle w:val="FrameContents"/>
                            <w:numPr>
                              <w:ilvl w:val="0"/>
                              <w:numId w:val="7"/>
                            </w:numPr>
                            <w:jc w:val="center"/>
                            <w:rPr>
                              <w:rFonts w:ascii="Arial" w:hAnsi="Arial" w:cs="Arial" w:asciiTheme="majorHAnsi" w:cstheme="majorHAnsi" w:hAnsiTheme="majorHAnsi"/>
                              <w:b/>
                              <w:bCs/>
                              <w:sz w:val="28"/>
                              <w:szCs w:val="28"/>
                              <w:lang w:val="en-GB"/>
                            </w:rPr>
                          </w:pPr>
                          <w:r>
                            <w:rPr>
                              <w:rFonts w:cs="Arial" w:ascii="Arial" w:hAnsi="Arial" w:asciiTheme="majorHAnsi" w:cstheme="majorHAnsi" w:hAnsiTheme="majorHAnsi"/>
                              <w:b/>
                              <w:bCs/>
                              <w:color w:val="000000"/>
                              <w:sz w:val="28"/>
                              <w:szCs w:val="28"/>
                              <w:lang w:val="en-GB"/>
                            </w:rPr>
                            <w:t>Serhat Gemici, Computer Engineer, Specialised in Soft Computing and Software Quality</w:t>
                          </w:r>
                        </w:p>
                        <w:p>
                          <w:pPr>
                            <w:pStyle w:val="FrameContents"/>
                            <w:jc w:val="center"/>
                            <w:rPr>
                              <w:rFonts w:ascii="Arial" w:hAnsi="Arial" w:cs="Arial" w:asciiTheme="majorHAnsi" w:cstheme="majorHAnsi" w:hAnsiTheme="majorHAnsi"/>
                              <w:sz w:val="28"/>
                              <w:szCs w:val="28"/>
                              <w:lang w:val="de-DE"/>
                            </w:rPr>
                          </w:pPr>
                          <w:r>
                            <w:rPr>
                              <w:rFonts w:cs="Arial" w:ascii="Arial" w:hAnsi="Arial" w:asciiTheme="majorHAnsi" w:cstheme="majorHAnsi" w:hAnsiTheme="majorHAnsi"/>
                              <w:b/>
                              <w:bCs/>
                              <w:color w:val="000000"/>
                              <w:sz w:val="28"/>
                              <w:szCs w:val="28"/>
                              <w:lang w:val="de-DE"/>
                            </w:rPr>
                            <w:t>Mentor:</w:t>
                          </w:r>
                          <w:r>
                            <w:rPr>
                              <w:rFonts w:cs="Arial" w:ascii="Arial" w:hAnsi="Arial" w:asciiTheme="majorHAnsi" w:cstheme="majorHAnsi" w:hAnsiTheme="majorHAnsi"/>
                              <w:color w:val="000000"/>
                              <w:sz w:val="28"/>
                              <w:szCs w:val="28"/>
                              <w:lang w:val="de-DE"/>
                            </w:rPr>
                            <w:t xml:space="preserve"> Yaniv Benichou</w:t>
                          </w:r>
                        </w:p>
                        <w:p>
                          <w:pPr>
                            <w:pStyle w:val="FrameContents"/>
                            <w:spacing w:before="0" w:after="200"/>
                            <w:jc w:val="center"/>
                            <w:rPr>
                              <w:rFonts w:ascii="Arial" w:hAnsi="Arial" w:cs="Arial" w:asciiTheme="majorHAnsi" w:cstheme="majorHAnsi" w:hAnsiTheme="majorHAnsi"/>
                              <w:sz w:val="28"/>
                              <w:szCs w:val="28"/>
                              <w:lang w:val="de-DE"/>
                            </w:rPr>
                          </w:pPr>
                          <w:r>
                            <w:rPr>
                              <w:rFonts w:cs="Arial" w:ascii="Arial" w:hAnsi="Arial" w:asciiTheme="majorHAnsi" w:cstheme="majorHAnsi" w:hAnsiTheme="majorHAnsi"/>
                              <w:color w:val="000000"/>
                              <w:sz w:val="28"/>
                              <w:szCs w:val="28"/>
                              <w:lang w:val="de-DE"/>
                            </w:rPr>
                            <w:t>02.10.2026</w:t>
                          </w:r>
                        </w:p>
                      </w:txbxContent>
                    </v:textbox>
                    <w10:wrap type="square"/>
                  </v:rect>
                </w:pict>
              </mc:Fallback>
            </mc:AlternateContent>
          </w:r>
          <w:r>
            <w:br w:type="page"/>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Heading1"/>
            <w:jc w:val="both"/>
            <w:rPr>
              <w:rFonts w:ascii="Arial" w:hAnsi="Arial" w:cs="Arial" w:asciiTheme="majorHAnsi" w:cstheme="majorHAnsi" w:hAnsiTheme="majorHAnsi"/>
              <w:szCs w:val="20"/>
            </w:rPr>
          </w:pPr>
          <w:r>
            <w:rPr>
              <w:rFonts w:cs="Arial" w:cstheme="majorHAnsi" w:ascii="Arial" w:hAnsi="Arial"/>
              <w:szCs w:val="20"/>
            </w:rPr>
          </w:r>
        </w:p>
        <w:p>
          <w:pPr>
            <w:pStyle w:val="Heading1"/>
            <w:jc w:val="both"/>
            <w:rPr>
              <w:rFonts w:ascii="Arial" w:hAnsi="Arial" w:cs="Arial" w:asciiTheme="majorHAnsi" w:cstheme="majorHAnsi" w:hAnsiTheme="majorHAnsi"/>
              <w:szCs w:val="20"/>
            </w:rPr>
          </w:pPr>
          <w:r>
            <w:rPr>
              <w:rFonts w:cs="Arial" w:cstheme="majorHAnsi" w:ascii="Arial" w:hAnsi="Arial"/>
              <w:szCs w:val="20"/>
            </w:rPr>
          </w:r>
        </w:p>
        <w:p>
          <w:pPr>
            <w:pStyle w:val="Heading1"/>
            <w:jc w:val="both"/>
            <w:rPr>
              <w:rFonts w:ascii="Arial" w:hAnsi="Arial" w:cs="Arial" w:asciiTheme="majorHAnsi" w:cstheme="majorHAnsi" w:hAnsiTheme="majorHAnsi"/>
              <w:szCs w:val="20"/>
            </w:rPr>
          </w:pPr>
          <w:r>
            <w:rPr>
              <w:rFonts w:cs="Arial" w:cstheme="majorHAnsi" w:ascii="Arial" w:hAnsi="Arial"/>
              <w:szCs w:val="20"/>
            </w:rPr>
          </w:r>
        </w:p>
        <w:p>
          <w:pPr>
            <w:pStyle w:val="Heading1"/>
            <w:jc w:val="both"/>
            <w:rPr>
              <w:rFonts w:ascii="Arial" w:hAnsi="Arial" w:cs="Arial" w:asciiTheme="majorHAnsi" w:cstheme="majorHAnsi" w:hAnsiTheme="majorHAnsi"/>
              <w:szCs w:val="20"/>
            </w:rPr>
          </w:pPr>
          <w:r>
            <w:rPr>
              <w:rFonts w:cs="Arial" w:cstheme="majorHAnsi" w:ascii="Arial" w:hAnsi="Arial"/>
              <w:szCs w:val="20"/>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t xml:space="preserve">PART I: </w:t>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t>Analysis On Complete Dataset</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r>
        </w:p>
        <w:p>
          <w:pPr>
            <w:pStyle w:val="Normal"/>
            <w:spacing w:before="0" w:after="200"/>
            <w:jc w:val="both"/>
            <w:rPr>
              <w:rFonts w:ascii="Arial" w:hAnsi="Arial" w:cs="Arial" w:asciiTheme="majorHAnsi" w:cstheme="majorHAnsi" w:hAnsiTheme="majorHAnsi"/>
              <w:b/>
              <w:szCs w:val="20"/>
            </w:rPr>
          </w:pPr>
          <w:r>
            <w:rPr>
              <w:rFonts w:cs="Arial" w:cstheme="majorHAnsi" w:ascii="Arial" w:hAnsi="Arial"/>
              <w:b/>
              <w:szCs w:val="20"/>
            </w:rPr>
            <w:t>Step 3: Advanced Modeling, Interpretation and Conclusions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EU vehicle CO2 emissions prediction — France | 2024 development data and 2025 temporal test</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b/>
              <w:bCs/>
              <w:szCs w:val="20"/>
            </w:rPr>
            <w:t>Pitch:</w:t>
          </w:r>
          <w:r>
            <w:rPr>
              <w:rFonts w:cs="Arial" w:ascii="Arial" w:hAnsi="Arial" w:asciiTheme="majorHAnsi" w:cstheme="majorHAnsi" w:hAnsiTheme="majorHAnsi"/>
              <w:szCs w:val="20"/>
            </w:rPr>
            <w:t xml:space="preserve"> Use bagging/boosting and deep-learning techniques; interpret the models; and derive scientific and business conclusions from the success or failure of the modeling.</w:t>
          </w:r>
        </w:p>
        <w:p>
          <w:pPr>
            <w:pStyle w:val="Heading1"/>
            <w:widowControl/>
            <w:suppressAutoHyphens w:val="true"/>
            <w:bidi w:val="0"/>
            <w:spacing w:lineRule="auto" w:line="276"/>
            <w:jc w:val="both"/>
            <w:rPr>
              <w:rFonts w:ascii="Arial" w:hAnsi="Arial" w:cs="Arial" w:asciiTheme="majorHAnsi" w:cstheme="majorHAnsi" w:hAnsiTheme="majorHAnsi"/>
              <w:kern w:val="0"/>
              <w:szCs w:val="20"/>
              <w:lang w:val="en-US" w:eastAsia="en-US" w:bidi="ar-SA"/>
            </w:rPr>
          </w:pPr>
          <w:r>
            <w:rPr>
              <w:rFonts w:cs="Arial" w:cstheme="majorHAnsi" w:ascii="Arial" w:hAnsi="Arial"/>
              <w:kern w:val="0"/>
              <w:szCs w:val="20"/>
              <w:lang w:val="en-US" w:eastAsia="en-US" w:bidi="ar-SA"/>
            </w:rPr>
            <w:t>Executive Summary</w:t>
          </w:r>
        </w:p>
        <w:p>
          <w:pPr>
            <w:pStyle w:val="Normal"/>
            <w:widowControl/>
            <w:suppressAutoHyphens w:val="true"/>
            <w:bidi w:val="0"/>
            <w:spacing w:lineRule="auto" w:line="276"/>
            <w:jc w:val="both"/>
            <w:rPr>
              <w:rFonts w:ascii="Arial" w:hAnsi="Arial" w:cs="Arial" w:asciiTheme="majorHAnsi" w:cstheme="majorHAnsi" w:hAnsiTheme="majorHAnsi"/>
              <w:kern w:val="0"/>
              <w:szCs w:val="20"/>
              <w:lang w:val="en-US" w:eastAsia="en-US" w:bidi="ar-SA"/>
            </w:rPr>
          </w:pPr>
          <w:r>
            <w:rPr>
              <w:rFonts w:cs="Arial" w:cstheme="majorHAnsi" w:ascii="Arial" w:hAnsi="Arial"/>
              <w:kern w:val="0"/>
              <w:szCs w:val="20"/>
              <w:lang w:val="en-US" w:eastAsia="en-US" w:bidi="ar-SA"/>
            </w:rPr>
          </w:r>
        </w:p>
        <w:p>
          <w:pPr>
            <w:pStyle w:val="Normal"/>
            <w:jc w:val="both"/>
            <w:rPr>
              <w:rFonts w:ascii="Arial" w:hAnsi="Arial" w:cs="Arial" w:asciiTheme="majorHAnsi" w:cstheme="majorHAnsi" w:hAnsiTheme="majorHAnsi"/>
              <w:szCs w:val="20"/>
            </w:rPr>
          </w:pPr>
          <w:r>
            <w:rPr>
              <w:rFonts w:cs="Arial" w:cstheme="majorHAnsi" w:ascii="Arial" w:hAnsi="Arial"/>
              <w:szCs w:val="20"/>
            </w:rPr>
            <w:t xml:space="preserve">This report presents the final leakage-aware modeling workflow for predicting official WLTP CO₂ emissions (g/km) for French vehicles. The 2024 data were used for development, group-aware validation, feature selection and hyperparameter tuning; the 2025 data were held out as a temporal test set. </w:t>
          </w:r>
          <w:r>
            <w:rPr>
              <w:rFonts w:cs="Arial" w:cstheme="majorHAnsi" w:ascii="Arial" w:hAnsi="Arial"/>
              <w:szCs w:val="20"/>
            </w:rPr>
            <w:t>The report consists of 2 parts, where part 1 represents execution performed on the complete dataset, part 2 represents the execution that was performed on segmented datasets based on fuel modes; namely Mono, PHEV (Plug-in hybrid electric vehicles) and Hybrid.</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b/>
              <w:bCs/>
              <w:szCs w:val="20"/>
            </w:rPr>
            <w:t xml:space="preserve">Executive conclusion </w:t>
          </w:r>
          <w:r>
            <w:rPr>
              <w:rFonts w:cs="Arial" w:ascii="Arial" w:hAnsi="Arial" w:asciiTheme="majorHAnsi" w:cstheme="majorHAnsi" w:hAnsiTheme="majorHAnsi"/>
              <w:b/>
              <w:bCs/>
              <w:szCs w:val="20"/>
            </w:rPr>
            <w:t>part 1</w:t>
          </w:r>
          <w:r>
            <w:rPr>
              <w:rFonts w:cs="Arial" w:ascii="Arial" w:hAnsi="Arial" w:asciiTheme="majorHAnsi" w:cstheme="majorHAnsi" w:hAnsiTheme="majorHAnsi"/>
              <w:b/>
              <w:bCs/>
              <w:szCs w:val="20"/>
            </w:rPr>
            <w:t>:</w:t>
          </w:r>
          <w:r>
            <w:rPr>
              <w:rFonts w:cs="Arial" w:ascii="Arial" w:hAnsi="Arial" w:asciiTheme="majorHAnsi" w:cstheme="majorHAnsi" w:hAnsiTheme="majorHAnsi"/>
              <w:szCs w:val="20"/>
            </w:rPr>
            <w:t xml:space="preserve"> The project progressed from an overly optimistic first benchmark to a leakage-aware final workflow. The strongest conventional model was a tuned ExtraTreesRegressor. On the final workflow, it achieved validation RMSE 6.63 g/km and 2025 test RMSE 10.58 g/km, MAE 5.03 g/km and R² 0.9625. A neural network was also successful: its best reported test result was RMSE 8.67 g/km and MAE 6.67 g/km. The Lightning MLP had a lower reported RMSE but a higher MAE than the final ExtraTrees model; because the evaluation workflows may not be identical, the results should not be treated as a definitive head-to-head comparison. ExtraTrees remains the primary recommendation because it is the fully validated and interpreted model in the final temporal workflow.</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b/>
              <w:bCs/>
              <w:szCs w:val="20"/>
            </w:rPr>
            <w:t xml:space="preserve">Executive conclusion part 2: </w:t>
          </w:r>
          <w:r>
            <w:rPr>
              <w:rFonts w:cs="Arial" w:ascii="Arial" w:hAnsi="Arial" w:asciiTheme="majorHAnsi" w:cstheme="majorHAnsi" w:hAnsiTheme="majorHAnsi"/>
              <w:szCs w:val="20"/>
            </w:rPr>
            <w:t>The workflow progressed from duplicate consolidation and leakage investigation to a tuned ExtraTreesRegressor. ExtraTrees was selected as the primary conventional model. The extension notebook then trained separate models for Mono-fuel (M), PHEV (P) and Hybrid (H) vehicles, allowing errors and feature importance to be analysed within powertrain regimes.</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t>The segmented ExtraTrees evaluation on 2025 produced MAE 5.0343 g/km, RMSE 10.5761 g/km and R² 0.9625. Mono and Hybrid models performed substantially better than the PHEV model. The principal weakness was systematic underprediction for unseen petrol/electric PHEV configurations.</w:t>
          </w:r>
        </w:p>
        <w:p>
          <w:pPr>
            <w:pStyle w:val="Heading1"/>
            <w:jc w:val="both"/>
            <w:rPr>
              <w:rFonts w:ascii="Arial" w:hAnsi="Arial" w:cs="Arial" w:asciiTheme="majorHAnsi" w:cstheme="majorHAnsi" w:hAnsiTheme="majorHAnsi"/>
              <w:b/>
              <w:szCs w:val="20"/>
            </w:rPr>
          </w:pPr>
          <w:r>
            <w:rPr>
              <w:rFonts w:cs="Arial" w:ascii="Arial" w:hAnsi="Arial" w:asciiTheme="majorHAnsi" w:cstheme="majorHAnsi" w:hAnsiTheme="majorHAnsi"/>
              <w:b/>
              <w:szCs w:val="20"/>
            </w:rPr>
            <w:t>1. Data Preparation and Experimental Design</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target is Ewltp (g/km), the official WLTP CO2-emission value. The 2024 French dataset was used for model development, and the 2025 French dataset was held out as a temporal final test. The final notebook reports 15,957 aggregated 2024 records and 14,735 aggregated 2025 records; the final group split contained 12,801 training rows and 3,156 validation rows.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A central improvement was replacing a simple random-style benchmark with a group-aware split. Groups were defined from core technical characteristics: mass, engine capacity, engine power, fuel type and fuel mode. The final split had zero exact core-configuration overlap between training and validation. The 2025 set was not used for model selection or tuning.</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Preprocessing was fitted on the training partition only: top-make grouping, group-aware target encoding, frequency maps, IT-code extraction, one-hot encoding and scaling. The final feature design distinguished between a strict design-stage feature set and an extended specification set containing electric range and eco-innovation indicators.</w:t>
          </w:r>
        </w:p>
        <w:p>
          <w:pPr>
            <w:pStyle w:val="Heading1"/>
            <w:widowControl/>
            <w:suppressAutoHyphens w:val="true"/>
            <w:bidi w:val="0"/>
            <w:spacing w:lineRule="auto" w:line="276"/>
            <w:jc w:val="both"/>
            <w:rPr/>
          </w:pPr>
          <w:r>
            <w:rPr/>
            <w:t>2. Trial-and-error journey</w:t>
          </w:r>
        </w:p>
      </w:sdtContent>
    </w:sdt>
    <w:tbl>
      <w:tblPr>
        <w:tblW w:w="5000" w:type="pct"/>
        <w:jc w:val="start"/>
        <w:tblInd w:w="-5" w:type="dxa"/>
        <w:tblLayout w:type="fixed"/>
        <w:tblCellMar>
          <w:top w:w="0" w:type="dxa"/>
          <w:start w:w="108" w:type="dxa"/>
          <w:bottom w:w="0" w:type="dxa"/>
          <w:end w:w="108" w:type="dxa"/>
        </w:tblCellMar>
        <w:tblLook w:noHBand="0" w:lastColumn="0" w:firstColumn="0" w:lastRow="0" w:firstRow="0" w:noVBand="0" w:val="0000"/>
      </w:tblPr>
      <w:tblGrid>
        <w:gridCol w:w="1579"/>
        <w:gridCol w:w="2606"/>
        <w:gridCol w:w="4455"/>
      </w:tblGrid>
      <w:tr>
        <w:trPr/>
        <w:tc>
          <w:tcPr>
            <w:tcW w:w="1579" w:type="dxa"/>
            <w:tcBorders>
              <w:top w:val="single" w:sz="4" w:space="0" w:color="000000"/>
              <w:start w:val="single" w:sz="4" w:space="0" w:color="000000"/>
              <w:bottom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Stage</w:t>
            </w:r>
          </w:p>
        </w:tc>
        <w:tc>
          <w:tcPr>
            <w:tcW w:w="2606" w:type="dxa"/>
            <w:tcBorders>
              <w:top w:val="single" w:sz="4" w:space="0" w:color="000000"/>
              <w:start w:val="single" w:sz="4" w:space="0" w:color="000000"/>
              <w:bottom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What was tried</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Result and lesson</w:t>
            </w:r>
          </w:p>
        </w:tc>
      </w:tr>
      <w:tr>
        <w:trPr/>
        <w:tc>
          <w:tcPr>
            <w:tcW w:w="1579" w:type="dxa"/>
            <w:tcBorders>
              <w:start w:val="single" w:sz="4" w:space="0" w:color="000000"/>
              <w:bottom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Initial automated benchmark</w:t>
            </w:r>
          </w:p>
        </w:tc>
        <w:tc>
          <w:tcPr>
            <w:tcW w:w="2606" w:type="dxa"/>
            <w:tcBorders>
              <w:start w:val="single" w:sz="4" w:space="0" w:color="000000"/>
              <w:bottom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LazyPredict comparison of many regressors</w:t>
            </w:r>
          </w:p>
        </w:tc>
        <w:tc>
          <w:tcPr>
            <w:tcW w:w="4455" w:type="dxa"/>
            <w:tcBorders>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Tree ensembles dominated linear models. ExtraTrees, Random Forest, HistGradientBoosting and Bagging were the leading families.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Resource control</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Excluded Gaussian-process/kernel-style candidates after estimating a roughly 61.44 GB kernel-matrix requirement versus a 32 GB machine</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A practical modeling decision prevented an unproductive or crashing experiment.</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First very high scores</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ExtraTrees/RF appeared near R² 0.999 with RMSE around 1.6-1.9 g/km</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result was suspiciously strong, so leakage, target proxies and duplicate configurations were investigated. In the final notebook's broad comparison, Random Forest and ExtraTrees achieved validation RMSE of 1.16 and 1.19 g/km before the stricter feature-set and group-aware tuning stages.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Feature audit</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Examined electric range, fuel mode, fuel type, frequency features and possible target-related columns</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Electric range was powerful; identifier-derived frequency features were treated cautiously and removed from final feature logic were appropriate.</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Feature-set comparison</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Strict nine-feature design-stage set versus 17-feature extended specification set</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Extended set improved validation RMSE from 9.10 to 7.45 g/km, about 18.1% lower.</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Tuning</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RandomizedSearchCV with five-fold GroupKFold, only inside the 2024 training data</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ExtraTrees achieved the best inner-CV RMSE and the best held-out validation RMSE among tuned candidates.</w:t>
            </w:r>
          </w:p>
        </w:tc>
      </w:tr>
      <w:tr>
        <w:trPr/>
        <w:tc>
          <w:tcPr>
            <w:tcW w:w="157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Deep learning</w:t>
            </w:r>
          </w:p>
        </w:tc>
        <w:tc>
          <w:tcPr>
            <w:tcW w:w="260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PyTorch MLP, then an organized PyTorch Lightning version</w:t>
            </w:r>
          </w:p>
        </w:tc>
        <w:tc>
          <w:tcPr>
            <w:tcW w:w="445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network learned the signal but remained less accurate than the tree ensemble on reported test metrics.</w:t>
            </w:r>
          </w:p>
        </w:tc>
      </w:tr>
    </w:tbl>
    <w:p>
      <w:pPr>
        <w:pStyle w:val="Normal"/>
        <w:jc w:val="both"/>
        <w:rPr>
          <w:rFonts w:ascii="Arial" w:hAnsi="Arial" w:cs="Arial" w:asciiTheme="majorHAnsi" w:cstheme="majorHAnsi" w:hAnsiTheme="majorHAnsi"/>
          <w:b/>
          <w:szCs w:val="20"/>
        </w:rPr>
      </w:pPr>
      <w:r>
        <w:rPr>
          <w:rFonts w:cs="Arial" w:cstheme="majorHAnsi" w:ascii="Arial" w:hAnsi="Arial"/>
          <w:b/>
          <w:szCs w:val="20"/>
        </w:rPr>
      </w:r>
    </w:p>
    <w:p>
      <w:pPr>
        <w:pStyle w:val="Heading1"/>
        <w:widowControl/>
        <w:suppressAutoHyphens w:val="true"/>
        <w:bidi w:val="0"/>
        <w:spacing w:lineRule="auto" w:line="276"/>
        <w:jc w:val="both"/>
        <w:rPr>
          <w:rFonts w:ascii="Arial" w:hAnsi="Arial" w:cs="Arial" w:asciiTheme="majorHAnsi" w:cstheme="majorHAnsi" w:hAnsiTheme="majorHAnsi"/>
          <w:kern w:val="0"/>
          <w:szCs w:val="20"/>
          <w:lang w:val="en-US" w:eastAsia="en-US" w:bidi="ar-SA"/>
        </w:rPr>
      </w:pPr>
      <w:r>
        <w:rPr>
          <w:rFonts w:cs="Arial" w:cstheme="majorHAnsi" w:ascii="Arial" w:hAnsi="Arial"/>
          <w:kern w:val="0"/>
          <w:szCs w:val="20"/>
          <w:lang w:val="en-US" w:eastAsia="en-US" w:bidi="ar-SA"/>
        </w:rPr>
        <w:t>3. Ensemble modeling results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broad comparison showed why nonlinear ensembles were appropriate. The target is influenced by interacting vehicle specifications and categorical powertrain regimes; a linear model cannot represent these interactions as naturally without extensive manual feature construction.</w:t>
      </w:r>
    </w:p>
    <w:tbl>
      <w:tblPr>
        <w:tblW w:w="5000" w:type="pct"/>
        <w:jc w:val="start"/>
        <w:tblInd w:w="-5" w:type="dxa"/>
        <w:tblLayout w:type="fixed"/>
        <w:tblCellMar>
          <w:top w:w="0" w:type="dxa"/>
          <w:start w:w="108" w:type="dxa"/>
          <w:bottom w:w="0" w:type="dxa"/>
          <w:end w:w="108" w:type="dxa"/>
        </w:tblCellMar>
        <w:tblLook w:noHBand="0" w:lastColumn="0" w:firstColumn="0" w:lastRow="0" w:firstRow="0" w:noVBand="0" w:val="0000"/>
      </w:tblPr>
      <w:tblGrid>
        <w:gridCol w:w="2159"/>
        <w:gridCol w:w="2160"/>
        <w:gridCol w:w="2160"/>
        <w:gridCol w:w="2161"/>
      </w:tblGrid>
      <w:tr>
        <w:trPr>
          <w:trHeight w:val="790" w:hRule="atLeast"/>
        </w:trPr>
        <w:tc>
          <w:tcPr>
            <w:tcW w:w="2159" w:type="dxa"/>
            <w:tcBorders>
              <w:top w:val="single" w:sz="4" w:space="0" w:color="000000"/>
              <w:start w:val="single" w:sz="4" w:space="0" w:color="000000"/>
              <w:bottom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Model/family</w:t>
            </w:r>
          </w:p>
        </w:tc>
        <w:tc>
          <w:tcPr>
            <w:tcW w:w="2160" w:type="dxa"/>
            <w:tcBorders>
              <w:top w:val="single" w:sz="4" w:space="0" w:color="000000"/>
              <w:start w:val="single" w:sz="4" w:space="0" w:color="000000"/>
              <w:bottom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Validation RMSE (g/km)</w:t>
            </w:r>
          </w:p>
        </w:tc>
        <w:tc>
          <w:tcPr>
            <w:tcW w:w="2160" w:type="dxa"/>
            <w:tcBorders>
              <w:top w:val="single" w:sz="4" w:space="0" w:color="000000"/>
              <w:start w:val="single" w:sz="4" w:space="0" w:color="000000"/>
              <w:bottom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t>Validation R²</w:t>
            </w:r>
          </w:p>
        </w:tc>
        <w:tc>
          <w:tcPr>
            <w:tcW w:w="2161"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r>
          </w:p>
          <w:p>
            <w:pPr>
              <w:pStyle w:val="Normal"/>
              <w:suppressAutoHyphens w:val="true"/>
              <w:spacing w:lineRule="auto" w:line="240" w:before="0" w:after="0"/>
              <w:jc w:val="center"/>
              <w:rPr>
                <w:rFonts w:eastAsia="ＭＳ 明朝" w:cs=""/>
                <w:b/>
              </w:rPr>
            </w:pPr>
            <w:r>
              <w:rPr>
                <w:rFonts w:eastAsia="ＭＳ 明朝" w:cs=""/>
                <w:b/>
              </w:rPr>
              <w:t>Interpretation</w:t>
            </w:r>
          </w:p>
          <w:p>
            <w:pPr>
              <w:pStyle w:val="Normal"/>
              <w:suppressAutoHyphens w:val="true"/>
              <w:spacing w:lineRule="auto" w:line="240" w:before="0" w:after="0"/>
              <w:jc w:val="center"/>
              <w:rPr>
                <w:rFonts w:eastAsia="ＭＳ 明朝" w:cs=""/>
                <w:b/>
              </w:rPr>
            </w:pPr>
            <w:r>
              <w:rPr>
                <w:rFonts w:eastAsia="ＭＳ 明朝" w:cs=""/>
                <w:b/>
              </w:rPr>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Random Forest / initial comparison</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1.16</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0.9995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Best result in the broad automated comparison; later tested under stricter features and group-aware tuning.</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cstheme="majorHAnsi"/>
                <w:szCs w:val="20"/>
              </w:rPr>
              <w:t>ExtraTrees / initial comparison</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1.19</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0.9995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Very strong early candidate in the broad automated comparison.</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cstheme="majorHAnsi"/>
                <w:szCs w:val="20"/>
              </w:rPr>
              <w:t>LightGBM / initial comparison</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1.30</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0.9994</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Efficient boosting candidate.</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cstheme="majorHAnsi"/>
                <w:szCs w:val="20"/>
              </w:rPr>
              <w:t>Bagging / initial comparison</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1.30</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0.9994</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Strong ensemble baseline in the broad comparison.</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Tuned ExtraTrees</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6.63</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0.9838</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Final selected model; best inner-CV RMSE and stronger held-out validation result.</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Tuned Random Forest</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7.37</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0.9799</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Close benchmark, but weaker than tuned ExtraTrees.</w:t>
            </w:r>
          </w:p>
        </w:tc>
      </w:tr>
      <w:tr>
        <w:trPr>
          <w:trHeight w:val="790" w:hRule="atLeast"/>
        </w:trPr>
        <w:tc>
          <w:tcPr>
            <w:tcW w:w="21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cstheme="majorHAnsi"/>
                <w:szCs w:val="20"/>
              </w:rPr>
              <w:t>Extended ExtraTrees feature-set baseline</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7.45</w:t>
            </w:r>
          </w:p>
        </w:tc>
        <w:tc>
          <w:tcPr>
            <w:tcW w:w="216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0.9795</w:t>
            </w:r>
          </w:p>
        </w:tc>
        <w:tc>
          <w:tcPr>
            <w:tcW w:w="216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both"/>
              <w:rPr>
                <w:rFonts w:ascii="Arial" w:hAnsi="Arial" w:cs="Arial" w:asciiTheme="majorHAnsi" w:cstheme="majorHAnsi" w:hAnsiTheme="majorHAnsi"/>
                <w:szCs w:val="20"/>
              </w:rPr>
            </w:pPr>
            <w:r>
              <w:rPr>
                <w:rFonts w:cs="Arial" w:ascii="Arial" w:hAnsi="Arial" w:asciiTheme="majorHAnsi" w:cstheme="majorHAnsi" w:hAnsiTheme="majorHAnsi"/>
                <w:szCs w:val="20"/>
              </w:rPr>
              <w:t>Outperformed the strict design-stage feature set before tuning.</w:t>
            </w:r>
          </w:p>
        </w:tc>
      </w:tr>
    </w:tbl>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selected ExtraTrees configuration was: 678 trees, no maximum-depth limit, max_features approximately 0.8268, minimum samples per leaf 3, minimum samples split 2, random_state 42 and all available CPU cores. The search optimized negative RMSE using five-fold GroupKFold on the training partition. The held-out validation set and the 2025 test set were not used to choose the parameters.</w:t>
      </w:r>
    </w:p>
    <w:p>
      <w:pPr>
        <w:pStyle w:val="Heading1"/>
        <w:widowControl/>
        <w:suppressAutoHyphens w:val="true"/>
        <w:bidi w:val="0"/>
        <w:spacing w:lineRule="auto" w:line="276"/>
        <w:jc w:val="both"/>
        <w:rPr>
          <w:rFonts w:ascii="Arial" w:hAnsi="Arial" w:cs="Arial" w:asciiTheme="majorHAnsi" w:cstheme="majorHAnsi" w:hAnsiTheme="majorHAnsi"/>
          <w:kern w:val="0"/>
          <w:szCs w:val="20"/>
          <w:lang w:val="en-US" w:eastAsia="en-US" w:bidi="ar-SA"/>
        </w:rPr>
      </w:pPr>
      <w:r>
        <w:rPr>
          <w:rFonts w:cs="Arial" w:cstheme="majorHAnsi" w:ascii="Arial" w:hAnsi="Arial"/>
          <w:kern w:val="0"/>
          <w:szCs w:val="20"/>
          <w:lang w:val="en-US" w:eastAsia="en-US" w:bidi="ar-SA"/>
        </w:rPr>
        <w:t>4. Feature engineering and interpretation</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extended specification model used 18 features: vehicle mass, engine capacity, engine power, fuel-type indicators, fuel-mode indicators, electric range and IT-code indicators. The strict model used 10 design-stage variables and excluded electric range and IT features.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Electric range was the most important interpretive finding. In the exploratory audit, the 0-km group had mean emissions around 138.6 g/km, while vehicles with positive electric range averaged around 28.3 g/km. Within the positive-range group, electric range had a strong inverse relationship with emissions: Pearson correlation about −0.786 and Spearman correlation about −0.876. This explains why electric range can produce a major performance improvement, but it is also a potential proxy: it identifies powertrain classes and their emission regimes.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Feature-set comparison showed the trade-off. The strict 10-feature design-stage model achieved validation RMSE 9.10 g/km, while adding electric range and IT indicators reduced validation RMSE to 7.45 g/km, an improvement of approximately 18.1%. Predictive importance is not automatically causal importance.</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Interpretability tools used in notebooks included three features of importance, permutation-importance experiments and controlled feature ablation. The main interpretation is global and model-based, not causal claim. For final deployment, SHAP or grouped permutation importance should be added with confidence intervals and evaluated separately for combustion, hybrid and electric subgroups.</w:t>
      </w:r>
    </w:p>
    <w:p>
      <w:pPr>
        <w:pStyle w:val="Heading1"/>
        <w:widowControl/>
        <w:suppressAutoHyphens w:val="true"/>
        <w:bidi w:val="0"/>
        <w:spacing w:lineRule="auto" w:line="276"/>
        <w:jc w:val="both"/>
        <w:rPr>
          <w:rFonts w:ascii="Arial" w:hAnsi="Arial" w:cs="Arial" w:asciiTheme="majorHAnsi" w:cstheme="majorHAnsi" w:hAnsiTheme="majorHAnsi"/>
          <w:kern w:val="0"/>
          <w:szCs w:val="20"/>
          <w:lang w:val="en-US" w:eastAsia="en-US" w:bidi="ar-SA"/>
        </w:rPr>
      </w:pPr>
      <w:r>
        <w:rPr>
          <w:rFonts w:cs="Arial" w:cstheme="majorHAnsi" w:ascii="Arial" w:hAnsi="Arial"/>
          <w:kern w:val="0"/>
          <w:szCs w:val="20"/>
          <w:lang w:val="en-US" w:eastAsia="en-US" w:bidi="ar-SA"/>
        </w:rPr>
        <w:t>5. Deep-learning experiments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deep-learning notebooks implemented a multilayer perception using 17 selected features. The architecture used 128 → 64 → 32 hidden units, BatchNorm, GELU activations and 5% dropout. Training used AdamW with learning rate 0.001, weight decay 1e−5, MSE loss, ReduceLROnPlateau and early stopping. The direct PyTorch run stopped around epoch 32 after validation loss ceased improving.</w:t>
      </w:r>
    </w:p>
    <w:tbl>
      <w:tblPr>
        <w:tblW w:w="5000" w:type="pct"/>
        <w:jc w:val="start"/>
        <w:tblInd w:w="-5" w:type="dxa"/>
        <w:tblLayout w:type="fixed"/>
        <w:tblCellMar>
          <w:top w:w="0" w:type="dxa"/>
          <w:start w:w="108" w:type="dxa"/>
          <w:bottom w:w="0" w:type="dxa"/>
          <w:end w:w="108" w:type="dxa"/>
        </w:tblCellMar>
        <w:tblLook w:noHBand="0" w:lastColumn="0" w:firstColumn="0" w:lastRow="0" w:firstRow="0" w:noVBand="0" w:val="0000"/>
      </w:tblPr>
      <w:tblGrid>
        <w:gridCol w:w="1416"/>
        <w:gridCol w:w="2293"/>
        <w:gridCol w:w="4931"/>
      </w:tblGrid>
      <w:tr>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r>
          </w:p>
          <w:p>
            <w:pPr>
              <w:pStyle w:val="Normal"/>
              <w:suppressAutoHyphens w:val="true"/>
              <w:spacing w:lineRule="auto" w:line="240" w:before="0" w:after="0"/>
              <w:jc w:val="center"/>
              <w:rPr>
                <w:rFonts w:eastAsia="ＭＳ 明朝" w:cs=""/>
                <w:b/>
              </w:rPr>
            </w:pPr>
            <w:r>
              <w:rPr>
                <w:rFonts w:eastAsia="ＭＳ 明朝" w:cs=""/>
                <w:b/>
              </w:rPr>
              <w:t>Deep-learning version</w:t>
            </w:r>
          </w:p>
        </w:tc>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r>
          </w:p>
          <w:p>
            <w:pPr>
              <w:pStyle w:val="Normal"/>
              <w:suppressAutoHyphens w:val="true"/>
              <w:spacing w:lineRule="auto" w:line="240" w:before="0" w:after="0"/>
              <w:jc w:val="center"/>
              <w:rPr>
                <w:rFonts w:eastAsia="ＭＳ 明朝" w:cs=""/>
                <w:b/>
              </w:rPr>
            </w:pPr>
            <w:r>
              <w:rPr>
                <w:rFonts w:eastAsia="ＭＳ 明朝" w:cs=""/>
                <w:b/>
              </w:rPr>
              <w:t>Reported result</w:t>
            </w:r>
          </w:p>
        </w:tc>
        <w:tc>
          <w:tcPr>
            <w:tcW w:w="4931" w:type="dxa"/>
            <w:tcBorders>
              <w:top w:val="single" w:sz="4" w:space="0" w:color="000000"/>
              <w:start w:val="single" w:sz="4" w:space="0" w:color="000000"/>
              <w:bottom w:val="single" w:sz="4" w:space="0" w:color="000000"/>
              <w:end w:val="single" w:sz="4" w:space="0" w:color="000000"/>
            </w:tcBorders>
            <w:vAlign w:val="center"/>
          </w:tcPr>
          <w:p>
            <w:pPr>
              <w:pStyle w:val="Normal"/>
              <w:suppressAutoHyphens w:val="true"/>
              <w:spacing w:lineRule="auto" w:line="240" w:before="0" w:after="0"/>
              <w:jc w:val="center"/>
              <w:rPr>
                <w:rFonts w:eastAsia="ＭＳ 明朝" w:cs=""/>
                <w:b/>
              </w:rPr>
            </w:pPr>
            <w:r>
              <w:rPr>
                <w:rFonts w:eastAsia="ＭＳ 明朝" w:cs=""/>
                <w:b/>
              </w:rPr>
            </w:r>
          </w:p>
          <w:p>
            <w:pPr>
              <w:pStyle w:val="Normal"/>
              <w:suppressAutoHyphens w:val="true"/>
              <w:spacing w:lineRule="auto" w:line="240" w:before="0" w:after="0"/>
              <w:jc w:val="center"/>
              <w:rPr>
                <w:rFonts w:eastAsia="ＭＳ 明朝" w:cs=""/>
                <w:b/>
              </w:rPr>
            </w:pPr>
            <w:r>
              <w:rPr>
                <w:rFonts w:eastAsia="ＭＳ 明朝" w:cs=""/>
                <w:b/>
              </w:rPr>
              <w:t>Assessment</w:t>
            </w:r>
          </w:p>
        </w:tc>
      </w:tr>
      <w:tr>
        <w:trPr/>
        <w:tc>
          <w:tcPr>
            <w:tcW w:w="141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PyTorch Lightning MLP</w:t>
            </w:r>
          </w:p>
        </w:tc>
        <w:tc>
          <w:tcPr>
            <w:tcW w:w="22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MAE 8.0732; RMSE 11.9008</w:t>
            </w:r>
          </w:p>
        </w:tc>
        <w:tc>
          <w:tcPr>
            <w:tcW w:w="493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w:hAnsi="Arial" w:cs="Arial" w:asciiTheme="majorHAnsi" w:cstheme="majorHAnsi" w:hAnsiTheme="majorHAnsi"/>
                <w:szCs w:val="20"/>
              </w:rPr>
            </w:pPr>
            <w:r>
              <w:rPr>
                <w:rFonts w:cs="Arial" w:ascii="Arial" w:hAnsi="Arial" w:cstheme="majorHAnsi"/>
                <w:szCs w:val="20"/>
              </w:rPr>
              <w:t>Lower reported RMSE but higher MAE than final ExtraTrees; workflow comparability should be confirmed before ranking.</w:t>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p>
            <w:pPr>
              <w:pStyle w:val="Normal"/>
              <w:spacing w:lineRule="auto" w:line="240" w:before="0" w:after="0"/>
              <w:jc w:val="center"/>
              <w:rPr>
                <w:rFonts w:ascii="Arial" w:hAnsi="Arial" w:cs="Arial" w:asciiTheme="majorHAnsi" w:cstheme="majorHAnsi" w:hAnsiTheme="majorHAnsi"/>
                <w:szCs w:val="20"/>
              </w:rPr>
            </w:pPr>
            <w:r>
              <w:rPr>
                <w:rFonts w:cs="Arial" w:cstheme="majorHAnsi" w:ascii="Arial" w:hAnsi="Arial"/>
                <w:szCs w:val="20"/>
              </w:rPr>
            </w:r>
          </w:p>
        </w:tc>
      </w:tr>
    </w:tbl>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t>The network had approximately 13.2 thousand trainable parameters and used Apple MPS acceleration. The best checkpoint was restored before testing. Reported test metrics were MAE 8.0732 g/km and RMSE 11.9008 g/km. The MLP learned the broad relationship but underperformed the ExtraTrees model.</w:t>
      </w:r>
    </w:p>
    <w:p>
      <w:pPr>
        <w:pStyle w:val="Normal"/>
        <w:jc w:val="both"/>
        <w:rPr>
          <w:rFonts w:ascii="Arial" w:hAnsi="Arial" w:cs="Arial" w:asciiTheme="majorHAnsi" w:cstheme="majorHAnsi" w:hAnsiTheme="majorHAnsi"/>
          <w:szCs w:val="20"/>
        </w:rPr>
      </w:pPr>
      <w:r>
        <w:rPr>
          <w:rFonts w:cs="Arial" w:cstheme="majorHAnsi" w:ascii="Arial" w:hAnsi="Arial"/>
          <w:szCs w:val="20"/>
        </w:rPr>
        <w:t>The result is scientifically useful rather than a failure. Neural networks are not guaranteed to dominate medium-dimensional tabular data, especially when randomized trees capture categorical regimes and threshold-like relationships effectively. The Lightning MLP reported a lower RMSE but a higher MAE than final ExtraTrees; a controlled same-split comparison is required before declaring one model family more accurate overall.</w:t>
      </w:r>
    </w:p>
    <w:p>
      <w:pPr>
        <w:pStyle w:val="Heading1"/>
        <w:widowControl/>
        <w:suppressAutoHyphens w:val="true"/>
        <w:bidi w:val="0"/>
        <w:spacing w:lineRule="auto" w:line="276"/>
        <w:jc w:val="both"/>
        <w:rPr/>
      </w:pPr>
      <w:r>
        <w:rPr>
          <w:rFonts w:cs="Arial" w:ascii="Arial" w:hAnsi="Arial" w:asciiTheme="majorHAnsi" w:cstheme="majorHAnsi" w:hAnsiTheme="majorHAnsi"/>
          <w:b/>
          <w:szCs w:val="20"/>
        </w:rPr>
        <w:t xml:space="preserve">6. Final evaluation and model </w:t>
      </w:r>
      <w:r>
        <w:rPr>
          <w:rFonts w:cs="Arial" w:ascii="Arial" w:hAnsi="Arial" w:asciiTheme="majorHAnsi" w:cstheme="majorHAnsi" w:hAnsiTheme="majorHAnsi"/>
          <w:kern w:val="0"/>
          <w:szCs w:val="20"/>
          <w:lang w:val="en-US" w:eastAsia="en-US" w:bidi="ar-SA"/>
        </w:rPr>
        <w:t>choice</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final model was set to be the ExtraTreesRegressor model after a 20 iteration randomized search cross validation:</w:t>
      </w:r>
    </w:p>
    <w:tbl>
      <w:tblPr>
        <w:tblW w:w="5000" w:type="pct"/>
        <w:jc w:val="start"/>
        <w:tblInd w:w="-5" w:type="dxa"/>
        <w:tblLayout w:type="fixed"/>
        <w:tblCellMar>
          <w:top w:w="0" w:type="dxa"/>
          <w:start w:w="108" w:type="dxa"/>
          <w:bottom w:w="0" w:type="dxa"/>
          <w:end w:w="108" w:type="dxa"/>
        </w:tblCellMar>
      </w:tblPr>
      <w:tblGrid>
        <w:gridCol w:w="1440"/>
        <w:gridCol w:w="1439"/>
        <w:gridCol w:w="1440"/>
        <w:gridCol w:w="1441"/>
        <w:gridCol w:w="1439"/>
        <w:gridCol w:w="1441"/>
      </w:tblGrid>
      <w:tr>
        <w:trPr/>
        <w:tc>
          <w:tcPr>
            <w:tcW w:w="1440"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model</w:t>
            </w:r>
          </w:p>
        </w:tc>
        <w:tc>
          <w:tcPr>
            <w:tcW w:w="1439"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Best cv rmse</w:t>
            </w:r>
          </w:p>
        </w:tc>
        <w:tc>
          <w:tcPr>
            <w:tcW w:w="1440"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Validation mae</w:t>
            </w:r>
          </w:p>
        </w:tc>
        <w:tc>
          <w:tcPr>
            <w:tcW w:w="1441"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Validation rmse</w:t>
            </w:r>
          </w:p>
        </w:tc>
        <w:tc>
          <w:tcPr>
            <w:tcW w:w="1439" w:type="dxa"/>
            <w:tcBorders>
              <w:top w:val="single" w:sz="4" w:space="0" w:color="000000"/>
              <w:start w:val="single" w:sz="4" w:space="0" w:color="000000"/>
              <w:bottom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Validation r2</w:t>
            </w:r>
          </w:p>
        </w:tc>
        <w:tc>
          <w:tcPr>
            <w:tcW w:w="144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bidi w:val="0"/>
              <w:spacing w:lineRule="auto" w:line="240" w:before="0" w:after="0"/>
              <w:jc w:val="center"/>
              <w:rPr>
                <w:rFonts w:eastAsia="ＭＳ 明朝" w:cs=""/>
                <w:b/>
              </w:rPr>
            </w:pPr>
            <w:r>
              <w:rPr>
                <w:rFonts w:eastAsia="ＭＳ 明朝" w:cs=""/>
                <w:b/>
              </w:rPr>
              <w:t>best_params</w:t>
            </w:r>
          </w:p>
        </w:tc>
      </w:tr>
      <w:tr>
        <w:trPr/>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bidi w:val="0"/>
              <w:rPr>
                <w:b/>
                <w:bCs/>
              </w:rPr>
            </w:pPr>
            <w:r>
              <w:rPr>
                <w:b/>
                <w:bCs/>
              </w:rPr>
              <w:t>ExtraTrees</w:t>
            </w:r>
          </w:p>
          <w:p>
            <w:pPr>
              <w:pStyle w:val="TableContents"/>
              <w:bidi w:val="0"/>
              <w:spacing w:before="0" w:after="200"/>
              <w:rPr>
                <w:b w:val="false"/>
                <w:bCs w:val="false"/>
              </w:rPr>
            </w:pPr>
            <w:r>
              <w:rPr>
                <w:b w:val="false"/>
                <w:bCs w:val="false"/>
              </w:rPr>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7.2341</w:t>
            </w:r>
          </w:p>
        </w:tc>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4.5150</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6.6267</w:t>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0.9838</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bidi w:val="0"/>
              <w:spacing w:before="0" w:after="200"/>
              <w:jc w:val="both"/>
              <w:rPr>
                <w:rFonts w:ascii="Arial" w:hAnsi="Arial" w:cs="Arial" w:asciiTheme="majorHAnsi" w:cstheme="majorHAnsi" w:hAnsiTheme="majorHAnsi"/>
                <w:szCs w:val="20"/>
              </w:rPr>
            </w:pPr>
            <w:r>
              <w:rPr>
                <w:rFonts w:cs="Arial" w:cstheme="majorHAnsi" w:ascii="Arial" w:hAnsi="Arial"/>
                <w:szCs w:val="20"/>
              </w:rPr>
              <w:t>{'max_depth': None, 'max_features': 0.82680517164919, 'min_samples_leaf': 3, 'min_samples_split': 2, 'n_estimators': 678}</w:t>
            </w:r>
          </w:p>
        </w:tc>
      </w:tr>
      <w:tr>
        <w:trPr/>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bidi w:val="0"/>
              <w:spacing w:before="0" w:after="200"/>
              <w:rPr>
                <w:b/>
                <w:bCs/>
              </w:rPr>
            </w:pPr>
            <w:r>
              <w:rPr>
                <w:b/>
                <w:bCs/>
              </w:rPr>
              <w:t>RandomForest</w:t>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7.4048</w:t>
            </w:r>
          </w:p>
        </w:tc>
        <w:tc>
          <w:tcPr>
            <w:tcW w:w="1440"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5.0432</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7.3651</w:t>
            </w:r>
          </w:p>
        </w:tc>
        <w:tc>
          <w:tcPr>
            <w:tcW w:w="143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TableContents"/>
              <w:widowControl w:val="false"/>
              <w:suppressLineNumbers/>
              <w:spacing w:before="0" w:after="200"/>
              <w:rPr/>
            </w:pPr>
            <w:r>
              <w:rPr/>
              <w:t>0.9799</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bidi w:val="0"/>
              <w:spacing w:before="0" w:after="200"/>
              <w:jc w:val="both"/>
              <w:rPr>
                <w:rFonts w:ascii="Arial" w:hAnsi="Arial" w:cs="Arial" w:asciiTheme="majorHAnsi" w:cstheme="majorHAnsi" w:hAnsiTheme="majorHAnsi"/>
                <w:szCs w:val="20"/>
              </w:rPr>
            </w:pPr>
            <w:r>
              <w:rPr>
                <w:rFonts w:cs="Arial" w:cstheme="majorHAnsi" w:ascii="Arial" w:hAnsi="Arial"/>
                <w:szCs w:val="20"/>
              </w:rPr>
              <w:t>{'max_depth': 25, 'max_features': 0.41235069657748147, 'min_samples_leaf': 2, 'min_samples_split': 9, 'n_estimators': 791}</w:t>
            </w:r>
          </w:p>
        </w:tc>
      </w:tr>
    </w:tbl>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2025 test set contains both familiar and new technical configurations. After retraining on the combined 2024 development data, 83.73% of 2025 rows shared an exact core configuration with the 2024 data, while 16.27% were unseen. Consequently, the overall test score should not be interpreted as pure generalization to entirely new vehicle designs; subgroup reporting for seen versus unseen configurations was investigated.</w:t>
      </w:r>
    </w:p>
    <w:tbl>
      <w:tblPr>
        <w:tblW w:w="5000" w:type="pct"/>
        <w:jc w:val="start"/>
        <w:tblInd w:w="-5" w:type="dxa"/>
        <w:tblLayout w:type="fixed"/>
        <w:tblCellMar>
          <w:top w:w="0" w:type="dxa"/>
          <w:start w:w="108" w:type="dxa"/>
          <w:bottom w:w="0" w:type="dxa"/>
          <w:end w:w="108" w:type="dxa"/>
        </w:tblCellMar>
        <w:tblLook w:noHBand="0" w:lastColumn="0" w:firstColumn="0" w:lastRow="0" w:firstRow="0" w:noVBand="0" w:val="0000"/>
      </w:tblPr>
      <w:tblGrid>
        <w:gridCol w:w="2846"/>
        <w:gridCol w:w="1269"/>
        <w:gridCol w:w="1441"/>
        <w:gridCol w:w="1533"/>
        <w:gridCol w:w="1551"/>
      </w:tblGrid>
      <w:tr>
        <w:trPr>
          <w:trHeight w:val="317" w:hRule="exact"/>
        </w:trPr>
        <w:tc>
          <w:tcPr>
            <w:tcW w:w="284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Subset</w:t>
            </w:r>
          </w:p>
        </w:tc>
        <w:tc>
          <w:tcPr>
            <w:tcW w:w="1269"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Rows</w:t>
            </w:r>
          </w:p>
        </w:tc>
        <w:tc>
          <w:tcPr>
            <w:tcW w:w="1441"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MAE (g/km)</w:t>
            </w:r>
          </w:p>
        </w:tc>
        <w:tc>
          <w:tcPr>
            <w:tcW w:w="1533"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RMSE (g/km)</w:t>
            </w:r>
          </w:p>
        </w:tc>
        <w:tc>
          <w:tcPr>
            <w:tcW w:w="1551"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R²</w:t>
            </w:r>
          </w:p>
        </w:tc>
      </w:tr>
      <w:tr>
        <w:trPr>
          <w:trHeight w:val="317" w:hRule="exact"/>
        </w:trPr>
        <w:tc>
          <w:tcPr>
            <w:tcW w:w="284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All 2025 records</w:t>
            </w:r>
          </w:p>
        </w:tc>
        <w:tc>
          <w:tcPr>
            <w:tcW w:w="126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14,735</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5.0343</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10.5761</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0.9625</w:t>
            </w:r>
          </w:p>
        </w:tc>
      </w:tr>
      <w:tr>
        <w:trPr>
          <w:trHeight w:val="317" w:hRule="exact"/>
        </w:trPr>
        <w:tc>
          <w:tcPr>
            <w:tcW w:w="284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Seen core configurations</w:t>
            </w:r>
          </w:p>
        </w:tc>
        <w:tc>
          <w:tcPr>
            <w:tcW w:w="126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12,337</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3.8755</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8.6901</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0.9733</w:t>
            </w:r>
          </w:p>
        </w:tc>
      </w:tr>
      <w:tr>
        <w:trPr>
          <w:trHeight w:val="317" w:hRule="exact"/>
        </w:trPr>
        <w:tc>
          <w:tcPr>
            <w:tcW w:w="284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 core configurations</w:t>
            </w:r>
          </w:p>
        </w:tc>
        <w:tc>
          <w:tcPr>
            <w:tcW w:w="1269"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2,398</w:t>
            </w:r>
          </w:p>
        </w:tc>
        <w:tc>
          <w:tcPr>
            <w:tcW w:w="144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10.9959</w:t>
            </w:r>
          </w:p>
        </w:tc>
        <w:tc>
          <w:tcPr>
            <w:tcW w:w="1533"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17.2856</w:t>
            </w:r>
          </w:p>
        </w:tc>
        <w:tc>
          <w:tcPr>
            <w:tcW w:w="1551"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vAlign w:val="center"/>
          </w:tcPr>
          <w:p>
            <w:pPr>
              <w:pStyle w:val="TableContents"/>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0.9182</w:t>
            </w:r>
          </w:p>
        </w:tc>
      </w:tr>
    </w:tbl>
    <w:p>
      <w:pPr>
        <w:pStyle w:val="Normal"/>
        <w:jc w:val="both"/>
        <w:rPr>
          <w:rFonts w:ascii="Arial" w:hAnsi="Arial" w:cs="Arial" w:asciiTheme="majorHAnsi" w:cstheme="majorHAnsi" w:hAnsiTheme="majorHAnsi"/>
          <w:b/>
          <w:szCs w:val="20"/>
        </w:rPr>
      </w:pPr>
      <w:r>
        <w:rPr>
          <w:rFonts w:cs="Arial" w:cstheme="majorHAnsi" w:ascii="Arial" w:hAnsi="Arial"/>
          <w:b/>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Permutation importance was calculated on the held-out 2025 temporal test set. For each feature, its values were randomly permuted ten times while keeping all other features unchanged. Importance was measured as the average increase in RMSE after permutation.</w:t>
      </w:r>
    </w:p>
    <w:tbl>
      <w:tblPr>
        <w:tblW w:w="8748" w:type="dxa"/>
        <w:jc w:val="start"/>
        <w:tblInd w:w="-104" w:type="dxa"/>
        <w:tblLayout w:type="fixed"/>
        <w:tblCellMar>
          <w:top w:w="0" w:type="dxa"/>
          <w:start w:w="108" w:type="dxa"/>
          <w:bottom w:w="0" w:type="dxa"/>
          <w:end w:w="108" w:type="dxa"/>
        </w:tblCellMar>
        <w:tblLook w:noHBand="0" w:lastColumn="0" w:firstColumn="0" w:lastRow="0" w:firstRow="0" w:noVBand="0" w:val="0000"/>
      </w:tblPr>
      <w:tblGrid>
        <w:gridCol w:w="4428"/>
        <w:gridCol w:w="4320"/>
      </w:tblGrid>
      <w:tr>
        <w:trPr>
          <w:trHeight w:val="20" w:hRule="atLeast"/>
        </w:trPr>
        <w:tc>
          <w:tcPr>
            <w:tcW w:w="442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Feature</w:t>
            </w:r>
          </w:p>
        </w:tc>
        <w:tc>
          <w:tcPr>
            <w:tcW w:w="432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RMSE increase (g/km)</w:t>
            </w:r>
          </w:p>
        </w:tc>
      </w:tr>
      <w:tr>
        <w:trPr>
          <w:trHeight w:val="20" w:hRule="atLeast"/>
        </w:trPr>
        <w:tc>
          <w:tcPr>
            <w:tcW w:w="4428" w:type="dxa"/>
            <w:tcBorders>
              <w:start w:val="single" w:sz="4" w:space="0" w:color="000000"/>
              <w:bottom w:val="single" w:sz="4" w:space="0" w:color="000000"/>
            </w:tcBorders>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Electric range (km)</w:t>
            </w:r>
          </w:p>
        </w:tc>
        <w:tc>
          <w:tcPr>
            <w:tcW w:w="4320" w:type="dxa"/>
            <w:tcBorders>
              <w:start w:val="single" w:sz="4" w:space="0" w:color="000000"/>
              <w:bottom w:val="single" w:sz="4" w:space="0" w:color="000000"/>
              <w:end w:val="single" w:sz="4" w:space="0" w:color="000000"/>
            </w:tcBorders>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31.87</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Fm_P</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29.91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m (kg)</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18.79</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ep (KW)</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12.97</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ec (cm3)</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6.05</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Fm_H</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2.56</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Fm_M</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1.82</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Ft_petrol</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0.90</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Ft_diesel</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0.71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IT_29</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0.71</w:t>
            </w:r>
          </w:p>
        </w:tc>
      </w:tr>
      <w:tr>
        <w:trPr>
          <w:trHeight w:val="20" w:hRule="atLeast"/>
        </w:trPr>
        <w:tc>
          <w:tcPr>
            <w:tcW w:w="442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IT_37</w:t>
            </w:r>
          </w:p>
        </w:tc>
        <w:tc>
          <w:tcPr>
            <w:tcW w:w="4320"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TableContents"/>
              <w:spacing w:lineRule="auto" w:line="240" w:before="0" w:after="0"/>
              <w:jc w:val="center"/>
              <w:rPr>
                <w:rFonts w:ascii="Arial" w:hAnsi="Arial" w:cs="Arial" w:asciiTheme="minorHAnsi" w:cstheme="minorHAnsi" w:hAnsiTheme="minorHAnsi"/>
                <w:szCs w:val="20"/>
              </w:rPr>
            </w:pPr>
            <w:r>
              <w:rPr>
                <w:rFonts w:cs="Arial" w:ascii="Arial" w:hAnsi="Arial" w:asciiTheme="minorHAnsi" w:cstheme="minorHAnsi" w:hAnsiTheme="minorHAnsi"/>
                <w:szCs w:val="20"/>
              </w:rPr>
              <w:t>0.70</w:t>
            </w:r>
          </w:p>
        </w:tc>
      </w:tr>
    </w:tbl>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model relied most strongly on `Electric range (km)`. Randomly permuting this feature increased test RMSE by 31.87 g/km, indicating that electric driving range contains substantial predictive information for WLTP CO₂ emissions.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next most important variable was `Fm_P`, which indicates the plug-in hybrid powertrain group and increased RMSE by 29.91 g/km when permuted. It is closely related to electric range, so the variables should be interpreted as a correlated PHEV feature group rather than as completely independent effects.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Vehicle mass, engine power, and engine capacity also made substantial contributions. This indicates that the model uses physically meaningful vehicle specifications in addition to powertrain type and electric driving capability.</w:t>
      </w:r>
    </w:p>
    <w:p>
      <w:pPr>
        <w:pStyle w:val="Normal"/>
        <w:jc w:val="both"/>
        <w:rPr>
          <w:b w:val="false"/>
          <w:bCs w:val="false"/>
        </w:rPr>
      </w:pPr>
      <w:r>
        <w:rPr>
          <w:rFonts w:cs="Arial" w:ascii="Arial" w:hAnsi="Arial" w:asciiTheme="majorHAnsi" w:cstheme="majorHAnsi" w:hAnsiTheme="majorHAnsi"/>
          <w:b w:val="false"/>
          <w:bCs w:val="false"/>
          <w:szCs w:val="20"/>
        </w:rPr>
        <w:t>`IT_38` had no measurable importance, while `Ft_diesel/electric` and `Ft_petrol/electric` had slightly negative importance, suggesting that they provided little incremental predictive value after the other features were included.</w:t>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t xml:space="preserve">Actual vs. predicted </w:t>
      </w:r>
      <w:r>
        <w:rPr>
          <w:rFonts w:cs="Arial" w:cstheme="majorHAnsi" w:ascii="Arial" w:hAnsi="Arial"/>
          <w:b/>
          <w:bCs/>
          <w:szCs w:val="20"/>
        </w:rPr>
        <w:t>CO2 Emissions</w:t>
      </w:r>
      <w:r>
        <w:rPr>
          <w:rFonts w:cs="Arial" w:cstheme="majorHAnsi" w:ascii="Arial" w:hAnsi="Arial"/>
          <w:b/>
          <w:bCs/>
          <w:szCs w:val="20"/>
        </w:rPr>
        <w:t>:</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xml:space="preserve"> </w:t>
      </w:r>
      <w:r>
        <w:drawing>
          <wp:anchor distT="0" distB="0" distL="0" distR="0" simplePos="0" relativeHeight="3" behindDoc="0" locked="0" layoutInCell="0" allowOverlap="1">
            <wp:simplePos x="0" y="0"/>
            <wp:positionH relativeFrom="column">
              <wp:align>center</wp:align>
            </wp:positionH>
            <wp:positionV relativeFrom="paragraph">
              <wp:posOffset>2540</wp:posOffset>
            </wp:positionV>
            <wp:extent cx="4915535" cy="3583940"/>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
                    <a:stretch>
                      <a:fillRect/>
                    </a:stretch>
                  </pic:blipFill>
                  <pic:spPr bwMode="auto">
                    <a:xfrm>
                      <a:off x="0" y="0"/>
                      <a:ext cx="4915535" cy="3583940"/>
                    </a:xfrm>
                    <a:prstGeom prst="rect">
                      <a:avLst/>
                    </a:prstGeom>
                    <a:noFill/>
                  </pic:spPr>
                </pic:pic>
              </a:graphicData>
            </a:graphic>
          </wp:anchor>
        </w:drawing>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Scatter plot compares the actual and predicted WLTP CO2 emissions for the 2025 temporal test set. The red dashed line represents perfect predictions, where the predicted value is equal to the actual value.</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Most observations are located close to the perfect-prediction line, indicating a strong overall agreement between the predicted and observed emissions. The model performs particularly well across the central portion of the target distribution and follows the general upward trend across increasing CO2 values.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However, the plot also reveals several structured error patterns. In the low-emission range, approximately 20–100 g/km, a secondary group of predictions is located substantially below the perfect-prediction line. This indicates systematic underprediction for some low-emission vehicles, potentially due to differences between plug-in hybrid and conventional powertrain configurations.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model also shows some underprediction for a small number of high-emission vehicles, particularly in the upper tail of the distribution. These errors may be associated with rare high-performance or heavy vehicle configurations that are less represented in the training data.</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Overall, the plot confirms that the model captures the main relationship between vehicle specifications and WLTP CO2 emissions. Nevertheless, the remaining structured errors show that overall performance metrics should be complemented with seen-versus-unseen configuration analysis and subgroup-level error analysis.</w:t>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t>Residual Analysis: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xml:space="preserve">Residuals were defined as: </w:t>
      </w:r>
      <w:r>
        <w:rPr>
          <w:rFonts w:cs="Arial" w:ascii="Arial" w:hAnsi="Arial" w:asciiTheme="majorHAnsi" w:cstheme="majorHAnsi" w:hAnsiTheme="majorHAnsi"/>
          <w:b/>
          <w:bCs/>
          <w:szCs w:val="20"/>
        </w:rPr>
        <w:t>residual=actual CO2−predicted CO2</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Therefore, positive residuals indicate underprediction, while negative residuals indicate overprediction.</w:t>
      </w:r>
    </w:p>
    <w:tbl>
      <w:tblPr>
        <w:tblW w:w="5000" w:type="pct"/>
        <w:jc w:val="start"/>
        <w:tblInd w:w="-5" w:type="dxa"/>
        <w:tblLayout w:type="fixed"/>
        <w:tblCellMar>
          <w:top w:w="58" w:type="dxa"/>
          <w:start w:w="58" w:type="dxa"/>
          <w:bottom w:w="58" w:type="dxa"/>
          <w:end w:w="58" w:type="dxa"/>
        </w:tblCellMar>
        <w:tblLook w:noHBand="0" w:lastColumn="0" w:firstColumn="0" w:lastRow="0" w:firstRow="0" w:noVBand="0" w:val="0000"/>
      </w:tblPr>
      <w:tblGrid>
        <w:gridCol w:w="4319"/>
        <w:gridCol w:w="4321"/>
      </w:tblGrid>
      <w:tr>
        <w:trPr/>
        <w:tc>
          <w:tcPr>
            <w:tcW w:w="4319" w:type="dxa"/>
            <w:tcBorders>
              <w:top w:val="single" w:sz="4" w:space="0" w:color="000000"/>
              <w:start w:val="single" w:sz="4" w:space="0" w:color="000000"/>
              <w:bottom w:val="single" w:sz="4" w:space="0" w:color="000000"/>
              <w:end w:val="single" w:sz="4" w:space="0" w:color="000000"/>
            </w:tcBorders>
          </w:tcPr>
          <w:p>
            <w:pPr>
              <w:pStyle w:val="Normal"/>
              <w:jc w:val="both"/>
              <w:rPr>
                <w:rFonts w:ascii="Arial" w:hAnsi="Arial" w:cs="Arial" w:asciiTheme="majorHAnsi" w:cstheme="majorHAnsi" w:hAnsiTheme="majorHAnsi"/>
                <w:szCs w:val="20"/>
              </w:rPr>
            </w:pPr>
            <w:r>
              <w:rPr>
                <w:rFonts w:cs="Arial" w:ascii="Arial" w:hAnsi="Arial" w:cstheme="majorHAnsi"/>
                <w:b/>
                <w:bCs/>
                <w:szCs w:val="20"/>
              </w:rPr>
              <w:t xml:space="preserve">Residual definition: </w:t>
            </w:r>
            <w:r>
              <w:rPr>
                <w:rFonts w:cs="Arial" w:ascii="Arial" w:hAnsi="Arial" w:cstheme="majorHAnsi"/>
                <w:szCs w:val="20"/>
              </w:rPr>
              <w:t>actual – predicted</w:t>
            </w:r>
          </w:p>
          <w:p>
            <w:pPr>
              <w:pStyle w:val="Normal"/>
              <w:jc w:val="both"/>
              <w:rPr>
                <w:rFonts w:ascii="Arial" w:hAnsi="Arial" w:cs="Arial" w:asciiTheme="majorHAnsi" w:cstheme="majorHAnsi" w:hAnsiTheme="majorHAnsi"/>
                <w:szCs w:val="20"/>
              </w:rPr>
            </w:pPr>
            <w:r>
              <w:rPr>
                <w:rFonts w:cs="Arial" w:ascii="Arial" w:hAnsi="Arial" w:cstheme="majorHAnsi"/>
                <w:szCs w:val="20"/>
              </w:rPr>
              <w:t>Residual min: -46.75555434124311</w:t>
            </w:r>
          </w:p>
          <w:p>
            <w:pPr>
              <w:pStyle w:val="Normal"/>
              <w:jc w:val="both"/>
              <w:rPr>
                <w:rFonts w:ascii="Arial" w:hAnsi="Arial" w:cs="Arial" w:asciiTheme="majorHAnsi" w:cstheme="majorHAnsi" w:hAnsiTheme="majorHAnsi"/>
                <w:szCs w:val="20"/>
              </w:rPr>
            </w:pPr>
            <w:r>
              <w:rPr>
                <w:rFonts w:cs="Arial" w:ascii="Arial" w:hAnsi="Arial" w:cstheme="majorHAnsi"/>
                <w:szCs w:val="20"/>
              </w:rPr>
              <w:t>Residual max: 141.1191181349199</w:t>
            </w:r>
          </w:p>
          <w:p>
            <w:pPr>
              <w:pStyle w:val="Normal"/>
              <w:jc w:val="both"/>
              <w:rPr>
                <w:rFonts w:ascii="Arial" w:hAnsi="Arial" w:cs="Arial" w:asciiTheme="majorHAnsi" w:cstheme="majorHAnsi" w:hAnsiTheme="majorHAnsi"/>
                <w:szCs w:val="20"/>
              </w:rPr>
            </w:pPr>
            <w:r>
              <w:rPr>
                <w:rFonts w:cs="Arial" w:ascii="Arial" w:hAnsi="Arial" w:cstheme="majorHAnsi"/>
                <w:szCs w:val="20"/>
              </w:rPr>
              <w:t>Residual mean: 1.1253470707936255</w:t>
            </w:r>
          </w:p>
          <w:p>
            <w:pPr>
              <w:pStyle w:val="Normal"/>
              <w:jc w:val="both"/>
              <w:rPr>
                <w:rFonts w:ascii="Arial" w:hAnsi="Arial" w:cs="Arial" w:asciiTheme="majorHAnsi" w:cstheme="majorHAnsi" w:hAnsiTheme="majorHAnsi"/>
                <w:szCs w:val="20"/>
              </w:rPr>
            </w:pPr>
            <w:r>
              <w:rPr>
                <w:rFonts w:cs="Arial" w:ascii="Arial" w:hAnsi="Arial" w:cstheme="majorHAnsi"/>
                <w:szCs w:val="20"/>
              </w:rPr>
              <w:t>Residual median: -0.13240116693857829</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spacing w:before="0" w:after="200"/>
              <w:jc w:val="both"/>
              <w:rPr>
                <w:rFonts w:ascii="Arial" w:hAnsi="Arial" w:cs="Arial" w:asciiTheme="majorHAnsi" w:cstheme="majorHAnsi" w:hAnsiTheme="majorHAnsi"/>
                <w:szCs w:val="20"/>
              </w:rPr>
            </w:pPr>
            <w:r>
              <w:rPr>
                <w:rFonts w:cs="Arial" w:cstheme="majorHAnsi" w:ascii="Arial" w:hAnsi="Arial"/>
                <w:szCs w:val="20"/>
              </w:rPr>
            </w:r>
          </w:p>
        </w:tc>
        <w:tc>
          <w:tcPr>
            <w:tcW w:w="4321" w:type="dxa"/>
            <w:tcBorders>
              <w:top w:val="single" w:sz="4" w:space="0" w:color="000000"/>
              <w:start w:val="single" w:sz="4" w:space="0" w:color="000000"/>
              <w:bottom w:val="single" w:sz="4" w:space="0" w:color="000000"/>
              <w:end w:val="single" w:sz="4" w:space="0" w:color="000000"/>
            </w:tcBorders>
          </w:tcPr>
          <w:p>
            <w:pPr>
              <w:pStyle w:val="Normal"/>
              <w:jc w:val="start"/>
              <w:rPr>
                <w:rFonts w:ascii="Arial" w:hAnsi="Arial" w:cs="Arial" w:asciiTheme="majorHAnsi" w:cstheme="majorHAnsi" w:hAnsiTheme="majorHAnsi"/>
                <w:b/>
                <w:bCs/>
                <w:szCs w:val="20"/>
              </w:rPr>
            </w:pPr>
            <w:r>
              <w:rPr>
                <w:rFonts w:cs="Arial" w:ascii="Arial" w:hAnsi="Arial" w:asciiTheme="majorHAnsi" w:cstheme="majorHAnsi" w:hAnsiTheme="majorHAnsi"/>
                <w:b/>
                <w:bCs/>
                <w:szCs w:val="20"/>
              </w:rPr>
              <w:t>Largest positive residual:</w:t>
              <w:br/>
            </w:r>
            <w:r>
              <w:rPr>
                <w:rFonts w:cs="Arial" w:ascii="Arial" w:hAnsi="Arial" w:asciiTheme="majorHAnsi" w:cstheme="majorHAnsi" w:hAnsiTheme="majorHAnsi"/>
                <w:b w:val="false"/>
                <w:bCs w:val="false"/>
                <w:szCs w:val="20"/>
              </w:rPr>
              <w:t>Actual: 350.0</w:t>
            </w:r>
          </w:p>
          <w:p>
            <w:pPr>
              <w:pStyle w:val="Normal"/>
              <w:jc w:val="both"/>
              <w:rPr>
                <w:rFonts w:ascii="Arial" w:hAnsi="Arial" w:cs="Arial" w:asciiTheme="majorHAnsi" w:cstheme="majorHAnsi" w:hAnsiTheme="majorHAnsi"/>
                <w:b/>
                <w:bCs/>
                <w:szCs w:val="20"/>
              </w:rPr>
            </w:pPr>
            <w:r>
              <w:rPr>
                <w:rFonts w:cs="Arial" w:ascii="Arial" w:hAnsi="Arial" w:cstheme="majorHAnsi"/>
                <w:b w:val="false"/>
                <w:bCs w:val="false"/>
                <w:szCs w:val="20"/>
              </w:rPr>
              <w:t>Predicted: 208.8808818650801</w:t>
            </w:r>
          </w:p>
          <w:p>
            <w:pPr>
              <w:pStyle w:val="Normal"/>
              <w:jc w:val="both"/>
              <w:rPr>
                <w:rFonts w:ascii="Arial" w:hAnsi="Arial" w:cs="Arial" w:asciiTheme="majorHAnsi" w:cstheme="majorHAnsi" w:hAnsiTheme="majorHAnsi"/>
                <w:b/>
                <w:bCs/>
                <w:szCs w:val="20"/>
              </w:rPr>
            </w:pPr>
            <w:r>
              <w:rPr>
                <w:rFonts w:cs="Arial" w:ascii="Arial" w:hAnsi="Arial" w:cstheme="majorHAnsi"/>
                <w:b w:val="false"/>
                <w:bCs w:val="false"/>
                <w:szCs w:val="20"/>
              </w:rPr>
              <w:t>Residual: 141.1191181349199</w:t>
            </w:r>
          </w:p>
          <w:p>
            <w:pPr>
              <w:pStyle w:val="Normal"/>
              <w:jc w:val="start"/>
              <w:rPr>
                <w:rFonts w:ascii="Arial" w:hAnsi="Arial" w:cs="Arial" w:asciiTheme="majorHAnsi" w:cstheme="majorHAnsi" w:hAnsiTheme="majorHAnsi"/>
                <w:b/>
                <w:bCs/>
                <w:szCs w:val="20"/>
              </w:rPr>
            </w:pPr>
            <w:r>
              <w:rPr>
                <w:rFonts w:cs="Arial" w:ascii="Arial" w:hAnsi="Arial" w:cstheme="majorHAnsi"/>
                <w:b/>
                <w:bCs/>
                <w:szCs w:val="20"/>
              </w:rPr>
              <w:t>Largest negative residual:</w:t>
              <w:br/>
            </w:r>
            <w:r>
              <w:rPr>
                <w:rFonts w:cs="Arial" w:ascii="Arial" w:hAnsi="Arial" w:cstheme="majorHAnsi"/>
                <w:b w:val="false"/>
                <w:bCs w:val="false"/>
                <w:szCs w:val="20"/>
              </w:rPr>
              <w:t>Actual: 263.0</w:t>
            </w:r>
          </w:p>
          <w:p>
            <w:pPr>
              <w:pStyle w:val="Normal"/>
              <w:jc w:val="both"/>
              <w:rPr>
                <w:rFonts w:ascii="Arial" w:hAnsi="Arial" w:cs="Arial" w:asciiTheme="majorHAnsi" w:cstheme="majorHAnsi" w:hAnsiTheme="majorHAnsi"/>
                <w:b/>
                <w:bCs/>
                <w:szCs w:val="20"/>
              </w:rPr>
            </w:pPr>
            <w:r>
              <w:rPr>
                <w:rFonts w:cs="Arial" w:ascii="Arial" w:hAnsi="Arial" w:cstheme="majorHAnsi"/>
                <w:b w:val="false"/>
                <w:bCs w:val="false"/>
                <w:szCs w:val="20"/>
              </w:rPr>
              <w:t>Predicted: 309.7555543412431</w:t>
            </w:r>
          </w:p>
          <w:p>
            <w:pPr>
              <w:pStyle w:val="Normal"/>
              <w:jc w:val="both"/>
              <w:rPr>
                <w:rFonts w:ascii="Arial" w:hAnsi="Arial" w:cs="Arial" w:asciiTheme="majorHAnsi" w:cstheme="majorHAnsi" w:hAnsiTheme="majorHAnsi"/>
                <w:b/>
                <w:bCs/>
                <w:szCs w:val="20"/>
              </w:rPr>
            </w:pPr>
            <w:r>
              <w:rPr>
                <w:rFonts w:cs="Arial" w:ascii="Arial" w:hAnsi="Arial" w:cstheme="majorHAnsi"/>
                <w:b w:val="false"/>
                <w:bCs w:val="false"/>
                <w:szCs w:val="20"/>
              </w:rPr>
              <w:t>Residual: -46.75555434124311</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spacing w:before="0" w:after="200"/>
              <w:jc w:val="both"/>
              <w:rPr>
                <w:rFonts w:ascii="Arial" w:hAnsi="Arial" w:cs="Arial" w:asciiTheme="majorHAnsi" w:cstheme="majorHAnsi" w:hAnsiTheme="majorHAnsi"/>
                <w:szCs w:val="20"/>
              </w:rPr>
            </w:pPr>
            <w:r>
              <w:rPr>
                <w:rFonts w:cs="Arial" w:cstheme="majorHAnsi" w:ascii="Arial" w:hAnsi="Arial"/>
                <w:szCs w:val="20"/>
              </w:rPr>
            </w:r>
          </w:p>
        </w:tc>
      </w:tr>
    </w:tbl>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residual distribution showed limited overall bias: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Mean residual: +1.13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Median residual: -0.13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Minimum residual: -46.76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 Maximum residual: +141.12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median residual was close to zero, indicating that the model was broadly well calibrated for a typical 2025 record. The slightly positive mean residual was caused by a small number of large underpredictions.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largest underprediction occurred for a vehicle with an actual WLTP CO2 value of 350.0 g/km. The model predicted 208.88 g/km, resulting in a residual of +141.12 g/km. The largest overprediction occurred for a vehicle with an actual CO2 value of 263.0 g/km and a prediction of 309.76 g/km, corresponding to a residual of -46.76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residual-versus-actual plot showed that errors were generally concentrated around zero in the central emission range. However, residual spread increased for low-emission and high-emission vehicles. This pattern suggests that the model captures the dominant relationships between vehicle specifications and CO2 emissions, while rare vehicle configurations and unobserved design factors remain difficult to predict.</w:t>
      </w:r>
    </w:p>
    <w:p>
      <w:pPr>
        <w:pStyle w:val="Normal"/>
        <w:jc w:val="both"/>
        <w:rPr>
          <w:rFonts w:ascii="Arial" w:hAnsi="Arial" w:cs="Arial" w:asciiTheme="majorHAnsi" w:cstheme="majorHAnsi" w:hAnsiTheme="majorHAnsi"/>
          <w:b/>
          <w:szCs w:val="20"/>
        </w:rPr>
      </w:pPr>
      <w:r>
        <w:rPr/>
        <w:drawing>
          <wp:inline distT="0" distB="0" distL="0" distR="0">
            <wp:extent cx="5486400" cy="32689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3"/>
                    <a:stretch>
                      <a:fillRect/>
                    </a:stretch>
                  </pic:blipFill>
                  <pic:spPr bwMode="auto">
                    <a:xfrm>
                      <a:off x="0" y="0"/>
                      <a:ext cx="5486400" cy="3268980"/>
                    </a:xfrm>
                    <a:prstGeom prst="rect">
                      <a:avLst/>
                    </a:prstGeom>
                    <a:noFill/>
                  </pic:spPr>
                </pic:pic>
              </a:graphicData>
            </a:graphic>
          </wp:inline>
        </w:drawing>
      </w:r>
    </w:p>
    <w:p>
      <w:pPr>
        <w:pStyle w:val="Normal"/>
        <w:jc w:val="both"/>
        <w:rPr>
          <w:rFonts w:ascii="Arial" w:hAnsi="Arial" w:cs="Arial" w:asciiTheme="majorHAnsi" w:cstheme="majorHAnsi" w:hAnsiTheme="majorHAnsi"/>
          <w:b/>
          <w:szCs w:val="20"/>
        </w:rPr>
      </w:pPr>
      <w:r>
        <w:rPr>
          <w:rFonts w:cs="Arial" w:ascii="Arial" w:hAnsi="Arial" w:asciiTheme="majorHAnsi" w:cstheme="majorHAnsi" w:hAnsiTheme="majorHAnsi"/>
          <w:b/>
          <w:szCs w:val="20"/>
        </w:rPr>
        <w:t>Error Analysis by Fuel Type and Fuel Mode</w:t>
      </w:r>
    </w:p>
    <w:tbl>
      <w:tblPr>
        <w:tblW w:w="8640" w:type="dxa"/>
        <w:jc w:val="start"/>
        <w:tblInd w:w="-106" w:type="dxa"/>
        <w:tblLayout w:type="fixed"/>
        <w:tblCellMar>
          <w:top w:w="0" w:type="dxa"/>
          <w:start w:w="108" w:type="dxa"/>
          <w:bottom w:w="0" w:type="dxa"/>
          <w:end w:w="108" w:type="dxa"/>
        </w:tblCellMar>
        <w:tblLook w:noHBand="0" w:lastColumn="0" w:firstColumn="0" w:lastRow="0" w:firstRow="0" w:noVBand="0" w:val="0000"/>
      </w:tblPr>
      <w:tblGrid>
        <w:gridCol w:w="1168"/>
        <w:gridCol w:w="1068"/>
        <w:gridCol w:w="1067"/>
        <w:gridCol w:w="1067"/>
        <w:gridCol w:w="1067"/>
        <w:gridCol w:w="1068"/>
        <w:gridCol w:w="1066"/>
        <w:gridCol w:w="1069"/>
      </w:tblGrid>
      <w:tr>
        <w:trPr/>
        <w:tc>
          <w:tcPr>
            <w:tcW w:w="11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Fuel type</w:t>
            </w:r>
          </w:p>
        </w:tc>
        <w:tc>
          <w:tcPr>
            <w:tcW w:w="10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Fuel mode</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Records</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Actual mean (g/km)</w:t>
            </w:r>
          </w:p>
        </w:tc>
        <w:tc>
          <w:tcPr>
            <w:tcW w:w="1067"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Predicted mean (g/km)</w:t>
            </w:r>
          </w:p>
        </w:tc>
        <w:tc>
          <w:tcPr>
            <w:tcW w:w="1068"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Mean residual (g/km)</w:t>
            </w:r>
          </w:p>
        </w:tc>
        <w:tc>
          <w:tcPr>
            <w:tcW w:w="106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MAE (g/km)</w:t>
            </w:r>
          </w:p>
        </w:tc>
        <w:tc>
          <w:tcPr>
            <w:tcW w:w="1069"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RMSE (g/km)</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petrol/electric</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2,466</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36.58</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27.29</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+9.29</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9.83</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20.93</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diesel/electric</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229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22.67</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13.63</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+9.04</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9.35</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18.05</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1,276</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147.29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150.12</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-2.83</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6.38</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9.74</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3,907</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130.63</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131.63</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-1.00</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4.16</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6.35</w:t>
            </w:r>
          </w:p>
        </w:tc>
      </w:tr>
      <w:tr>
        <w:trPr>
          <w:trHeight w:val="576" w:hRule="exact"/>
        </w:trPr>
        <w:tc>
          <w:tcPr>
            <w:tcW w:w="11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M</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3,121</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157.19</w:t>
            </w:r>
          </w:p>
        </w:tc>
        <w:tc>
          <w:tcPr>
            <w:tcW w:w="1067"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157.27</w:t>
            </w:r>
          </w:p>
        </w:tc>
        <w:tc>
          <w:tcPr>
            <w:tcW w:w="1068"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-0.08</w:t>
            </w:r>
          </w:p>
        </w:tc>
        <w:tc>
          <w:tcPr>
            <w:tcW w:w="1066"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3.85</w:t>
            </w:r>
          </w:p>
        </w:tc>
        <w:tc>
          <w:tcPr>
            <w:tcW w:w="1069" w:type="dxa"/>
            <w:tcBorders>
              <w:top w:val="single" w:sz="8" w:space="0" w:color="9A9A9A"/>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6.24</w:t>
            </w:r>
          </w:p>
        </w:tc>
      </w:tr>
      <w:tr>
        <w:trPr>
          <w:trHeight w:val="576" w:hRule="exact"/>
        </w:trPr>
        <w:tc>
          <w:tcPr>
            <w:tcW w:w="11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petrol</w:t>
            </w:r>
          </w:p>
        </w:tc>
        <w:tc>
          <w:tcPr>
            <w:tcW w:w="10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M</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3,736</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147.82</w:t>
            </w:r>
          </w:p>
        </w:tc>
        <w:tc>
          <w:tcPr>
            <w:tcW w:w="1067"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147.99</w:t>
            </w:r>
          </w:p>
        </w:tc>
        <w:tc>
          <w:tcPr>
            <w:tcW w:w="1068"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-0.17</w:t>
            </w:r>
          </w:p>
        </w:tc>
        <w:tc>
          <w:tcPr>
            <w:tcW w:w="1066"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3.06</w:t>
            </w:r>
          </w:p>
        </w:tc>
        <w:tc>
          <w:tcPr>
            <w:tcW w:w="1069" w:type="dxa"/>
            <w:tcBorders>
              <w:start w:val="single" w:sz="8" w:space="0" w:color="9A9A9A"/>
              <w:bottom w:val="single" w:sz="8" w:space="0" w:color="9A9A9A"/>
              <w:end w:val="single" w:sz="8" w:space="0" w:color="9A9A9A"/>
            </w:tcBorders>
            <w:tcMar>
              <w:top w:w="100" w:type="dxa"/>
              <w:start w:w="20" w:type="dxa"/>
              <w:bottom w:w="20" w:type="dxa"/>
              <w:end w:w="100" w:type="dxa"/>
            </w:tcMar>
          </w:tcPr>
          <w:p>
            <w:pPr>
              <w:pStyle w:val="Normal"/>
              <w:spacing w:before="0" w:after="200"/>
              <w:jc w:val="center"/>
              <w:rPr>
                <w:rFonts w:ascii="Arial" w:hAnsi="Arial" w:cs="Arial" w:asciiTheme="majorHAnsi" w:cstheme="majorHAnsi" w:hAnsiTheme="majorHAnsi"/>
                <w:szCs w:val="20"/>
              </w:rPr>
            </w:pPr>
            <w:r>
              <w:rPr>
                <w:rFonts w:cs="Arial" w:ascii="Arial" w:hAnsi="Arial" w:cstheme="majorHAnsi"/>
                <w:szCs w:val="20"/>
              </w:rPr>
              <w:t>5.00</w:t>
            </w:r>
          </w:p>
        </w:tc>
      </w:tr>
    </w:tbl>
    <w:p>
      <w:pPr>
        <w:pStyle w:val="Normal"/>
        <w:jc w:val="center"/>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Although the model captured that this vehicle had a large engine and very high power, it substantially underpredicted its emissions. This suggests that the model can overgeneralize the low-emission signal associated with PHEV vehicles, especially for rare, high-performance PHEV configurations with short electric range.</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A similar pattern appeared for a high-performance PHEV with a 66 km electric range: the actual CO2 value was 140 g/km, while the model predicted 48.47 g/km. This confirms that electric range alone is insufficient to represent the full WLTP CO2 behavior of high-performance PHEV vehicles.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Several heavy petrol/electric PHEV records also had large underpredictions of approximately 77–85 g/km. These records were labelled as seen core configurations because their mass, engine capacity, engine power, fuel type, and fuel mode were present in the 2024 data. However, a seen core configuration does not guarantee an identical full vehicle specification, because additional characteristics such as battery configuration, drivetrain architecture, vehicle version, aerodynamic properties, and WLTP homologation details were not included in the final model.</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analysis also identified a large underprediction for an unseen high-emission petrol configuration. Its actual CO2 value was 456 g/km, compared with a prediction of 375.81 g/km. This result indicates that rare, extreme high-emission vehicles are more difficult to predict because comparable observations are less common in the training data.</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repeated records with similar technical specifications should be interpreted as multiple records with related specifications rather than as 20 completely independent vehicle cases. Overall, the largest errors were concentrated in rare high-performance PHEV vehicles and extreme high-emission conventional vehicles, which likely require additional information not available in the leakage-free feature set.</w:t>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t>Distribution of Absolute Prediction Errors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Overall regression metrics such as MAE and RMSE summarize model performance with a single value, but they do not show how errors are distributed across individual records.</w:t>
      </w:r>
    </w:p>
    <w:p>
      <w:pPr>
        <w:pStyle w:val="Normal"/>
        <w:jc w:val="both"/>
        <w:rPr>
          <w:rFonts w:ascii="Arial" w:hAnsi="Arial" w:cs="Arial" w:asciiTheme="majorHAnsi" w:cstheme="majorHAnsi" w:hAnsiTheme="majorHAnsi"/>
          <w:szCs w:val="20"/>
        </w:rPr>
      </w:pPr>
      <w:r>
        <w:rPr>
          <w:rFonts w:cs="Arial" w:ascii="Arial" w:hAnsi="Arial" w:cstheme="majorHAnsi"/>
          <w:szCs w:val="20"/>
        </w:rPr>
        <w:t>To better understand the practical accuracy of the final model, the distribution of absolute prediction errors was analyzed on the held-out 2025 temporal test set.</w:t>
      </w:r>
    </w:p>
    <w:p>
      <w:pPr>
        <w:pStyle w:val="Normal"/>
        <w:jc w:val="both"/>
        <w:rPr>
          <w:rFonts w:ascii="Arial" w:hAnsi="Arial" w:cs="Arial" w:asciiTheme="majorHAnsi" w:cstheme="majorHAnsi" w:hAnsiTheme="majorHAnsi"/>
          <w:szCs w:val="20"/>
        </w:rPr>
      </w:pPr>
      <w: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3272790"/>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4"/>
                    <a:stretch>
                      <a:fillRect/>
                    </a:stretch>
                  </pic:blipFill>
                  <pic:spPr bwMode="auto">
                    <a:xfrm>
                      <a:off x="0" y="0"/>
                      <a:ext cx="5486400" cy="3272790"/>
                    </a:xfrm>
                    <a:prstGeom prst="rect">
                      <a:avLst/>
                    </a:prstGeom>
                    <a:noFill/>
                  </pic:spPr>
                </pic:pic>
              </a:graphicData>
            </a:graphic>
          </wp:anchor>
        </w:drawing>
      </w:r>
      <w:r>
        <w:rPr/>
        <w:t>Records with absolute error ≤ 5 g/km: 76.89%</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Records with absolute error ≤ 10 g/km: 87.93%</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Records with absolute error ≤ 20 g/km: 94.27%</w:t>
      </w:r>
    </w:p>
    <w:tbl>
      <w:tblPr>
        <w:tblW w:w="5000" w:type="pct"/>
        <w:jc w:val="start"/>
        <w:tblInd w:w="-5" w:type="dxa"/>
        <w:tblLayout w:type="fixed"/>
        <w:tblCellMar>
          <w:top w:w="0" w:type="dxa"/>
          <w:start w:w="108" w:type="dxa"/>
          <w:bottom w:w="0" w:type="dxa"/>
          <w:end w:w="108" w:type="dxa"/>
        </w:tblCellMar>
      </w:tblPr>
      <w:tblGrid>
        <w:gridCol w:w="4320"/>
        <w:gridCol w:w="4320"/>
      </w:tblGrid>
      <w:tr>
        <w:trPr/>
        <w:tc>
          <w:tcPr>
            <w:tcW w:w="4320"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Percentile</w:t>
            </w:r>
          </w:p>
        </w:tc>
        <w:tc>
          <w:tcPr>
            <w:tcW w:w="4320"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r>
          </w:p>
          <w:p>
            <w:pPr>
              <w:pStyle w:val="Normal"/>
              <w:suppressAutoHyphens w:val="true"/>
              <w:spacing w:lineRule="auto" w:line="240" w:before="0" w:after="0"/>
              <w:jc w:val="center"/>
              <w:rPr>
                <w:rFonts w:eastAsia="ＭＳ 明朝" w:cs=""/>
                <w:b/>
              </w:rPr>
            </w:pPr>
            <w:r>
              <w:rPr>
                <w:rFonts w:eastAsia="ＭＳ 明朝" w:cs=""/>
                <w:b/>
              </w:rPr>
              <w:t>Absolute error (g/km)</w:t>
            </w:r>
          </w:p>
          <w:p>
            <w:pPr>
              <w:pStyle w:val="Normal"/>
              <w:suppressAutoHyphens w:val="true"/>
              <w:spacing w:lineRule="auto" w:line="240" w:before="0" w:after="0"/>
              <w:jc w:val="center"/>
              <w:rPr>
                <w:rFonts w:eastAsia="ＭＳ 明朝" w:cs=""/>
                <w:b/>
              </w:rPr>
            </w:pPr>
            <w:r>
              <w:rPr>
                <w:rFonts w:eastAsia="ＭＳ 明朝" w:cs=""/>
                <w:b/>
              </w:rPr>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50th percentile (Median)</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1.9700</w:t>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75th percentile</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4.6000</w:t>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90th percentile</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12.2200</w:t>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95th percentile</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22.8700</w:t>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99th percentile</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48.9100</w:t>
            </w:r>
          </w:p>
        </w:tc>
      </w:tr>
      <w:tr>
        <w:trPr/>
        <w:tc>
          <w:tcPr>
            <w:tcW w:w="4320" w:type="dxa"/>
            <w:tcBorders>
              <w:start w:val="single" w:sz="4" w:space="0" w:color="000000"/>
              <w:bottom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Maximum</w:t>
            </w:r>
          </w:p>
        </w:tc>
        <w:tc>
          <w:tcPr>
            <w:tcW w:w="432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t>141.1200</w:t>
            </w:r>
          </w:p>
        </w:tc>
      </w:tr>
    </w:tbl>
    <w:p>
      <w:pPr>
        <w:pStyle w:val="Normal"/>
        <w:jc w:val="both"/>
        <w:rPr>
          <w:rFonts w:ascii="Arial" w:hAnsi="Arial" w:cs="Arial" w:asciiTheme="majorHAnsi" w:cstheme="majorHAnsi" w:hAnsiTheme="majorHAnsi"/>
          <w:b/>
          <w:bCs/>
          <w:szCs w:val="20"/>
        </w:rPr>
      </w:pPr>
      <w:r>
        <w:rPr>
          <w:rFonts w:cs="Arial" w:cstheme="majorHAnsi" w:ascii="Arial" w:hAnsi="Arial"/>
          <w:b/>
          <w:bCs/>
          <w:szCs w:val="20"/>
        </w:rPr>
        <w:t>Error Analysis for Seen/Unseen Vs. Fuel Type/Fuel Mode</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final 2025 test results were analyzed jointly by configuration novelty and powertrain segment.</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A record was labelled as **</w:t>
      </w:r>
      <w:r>
        <w:rPr>
          <w:rFonts w:cs="Arial" w:ascii="Arial" w:hAnsi="Arial" w:asciiTheme="majorHAnsi" w:cstheme="majorHAnsi" w:hAnsiTheme="majorHAnsi"/>
          <w:b/>
          <w:bCs/>
          <w:szCs w:val="20"/>
        </w:rPr>
        <w:t>seen</w:t>
      </w:r>
      <w:r>
        <w:rPr>
          <w:rFonts w:cs="Arial" w:ascii="Arial" w:hAnsi="Arial" w:asciiTheme="majorHAnsi" w:cstheme="majorHAnsi" w:hAnsiTheme="majorHAnsi"/>
          <w:szCs w:val="20"/>
        </w:rPr>
        <w:t>** when its core technical configuration; defined by vehicle mass, engine capacity, engine power, fuel type, and fuel mode; had already occurred in the combined 2024 training data. Otherwise, it was labelled as **</w:t>
      </w:r>
      <w:r>
        <w:rPr>
          <w:rFonts w:cs="Arial" w:ascii="Arial" w:hAnsi="Arial" w:asciiTheme="majorHAnsi" w:cstheme="majorHAnsi" w:hAnsiTheme="majorHAnsi"/>
          <w:b/>
          <w:bCs/>
          <w:szCs w:val="20"/>
        </w:rPr>
        <w:t>unseen</w:t>
      </w:r>
      <w:r>
        <w:rPr>
          <w:rFonts w:cs="Arial" w:ascii="Arial" w:hAnsi="Arial" w:asciiTheme="majorHAnsi" w:cstheme="majorHAnsi" w:hAnsiTheme="majorHAnsi"/>
          <w:szCs w:val="20"/>
        </w:rPr>
        <w:t>**.</w:t>
      </w:r>
    </w:p>
    <w:tbl>
      <w:tblPr>
        <w:tblW w:w="5000" w:type="pct"/>
        <w:jc w:val="start"/>
        <w:tblInd w:w="-5" w:type="dxa"/>
        <w:tblLayout w:type="fixed"/>
        <w:tblCellMar>
          <w:top w:w="0" w:type="dxa"/>
          <w:start w:w="108" w:type="dxa"/>
          <w:bottom w:w="0" w:type="dxa"/>
          <w:end w:w="108" w:type="dxa"/>
        </w:tblCellMar>
        <w:tblLook w:noHBand="0" w:lastColumn="0" w:firstColumn="0" w:lastRow="0" w:firstRow="0" w:noVBand="0" w:val="0000"/>
      </w:tblPr>
      <w:tblGrid>
        <w:gridCol w:w="786"/>
        <w:gridCol w:w="784"/>
        <w:gridCol w:w="786"/>
        <w:gridCol w:w="785"/>
        <w:gridCol w:w="785"/>
        <w:gridCol w:w="786"/>
        <w:gridCol w:w="785"/>
        <w:gridCol w:w="785"/>
        <w:gridCol w:w="786"/>
        <w:gridCol w:w="785"/>
        <w:gridCol w:w="787"/>
      </w:tblGrid>
      <w:tr>
        <w:trPr/>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Configuration status</w:t>
            </w:r>
          </w:p>
        </w:tc>
        <w:tc>
          <w:tcPr>
            <w:tcW w:w="784"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Fuel type</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Fuel mode</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records</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Actual mean</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Predicted mean</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Mean residual</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mae</w:t>
            </w:r>
          </w:p>
        </w:tc>
        <w:tc>
          <w:tcPr>
            <w:tcW w:w="786"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rmse</w:t>
            </w:r>
          </w:p>
        </w:tc>
        <w:tc>
          <w:tcPr>
            <w:tcW w:w="785" w:type="dxa"/>
            <w:tcBorders>
              <w:top w:val="single" w:sz="4" w:space="0" w:color="000000"/>
              <w:start w:val="single" w:sz="4" w:space="0" w:color="000000"/>
              <w:bottom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Median absolute error</w:t>
            </w:r>
          </w:p>
        </w:tc>
        <w:tc>
          <w:tcPr>
            <w:tcW w:w="787" w:type="dxa"/>
            <w:tcBorders>
              <w:top w:val="single" w:sz="4" w:space="0" w:color="000000"/>
              <w:start w:val="single" w:sz="4" w:space="0" w:color="000000"/>
              <w:bottom w:val="single" w:sz="4" w:space="0" w:color="000000"/>
              <w:end w:val="single" w:sz="4" w:space="0" w:color="000000"/>
            </w:tcBorders>
            <w:shd w:fill="D9EAF7" w:val="clear"/>
            <w:vAlign w:val="center"/>
          </w:tcPr>
          <w:p>
            <w:pPr>
              <w:pStyle w:val="Normal"/>
              <w:suppressAutoHyphens w:val="true"/>
              <w:spacing w:lineRule="auto" w:line="240" w:before="0" w:after="0"/>
              <w:jc w:val="center"/>
              <w:rPr>
                <w:rFonts w:eastAsia="ＭＳ 明朝" w:cs=""/>
                <w:b/>
              </w:rPr>
            </w:pPr>
            <w:r>
              <w:rPr>
                <w:rFonts w:eastAsia="ＭＳ 明朝" w:cs=""/>
                <w:b/>
              </w:rPr>
              <w:t>Pct error over 20</w:t>
            </w:r>
          </w:p>
        </w:tc>
      </w:tr>
      <w:tr>
        <w:trPr/>
        <w:tc>
          <w:tcPr>
            <w:tcW w:w="786"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petrol/electric</w:t>
            </w:r>
          </w:p>
        </w:tc>
        <w:tc>
          <w:tcPr>
            <w:tcW w:w="786"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785"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404</w:t>
            </w:r>
          </w:p>
        </w:tc>
        <w:tc>
          <w:tcPr>
            <w:tcW w:w="785"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44.8005</w:t>
            </w:r>
          </w:p>
        </w:tc>
        <w:tc>
          <w:tcPr>
            <w:tcW w:w="786"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19.7275</w:t>
            </w:r>
          </w:p>
        </w:tc>
        <w:tc>
          <w:tcPr>
            <w:tcW w:w="785"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25.0731</w:t>
            </w:r>
          </w:p>
        </w:tc>
        <w:tc>
          <w:tcPr>
            <w:tcW w:w="785"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25.5461</w:t>
            </w:r>
          </w:p>
        </w:tc>
        <w:tc>
          <w:tcPr>
            <w:tcW w:w="786"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33.5587</w:t>
            </w:r>
          </w:p>
        </w:tc>
        <w:tc>
          <w:tcPr>
            <w:tcW w:w="785"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31.3815</w:t>
            </w:r>
          </w:p>
        </w:tc>
        <w:tc>
          <w:tcPr>
            <w:tcW w:w="787" w:type="dxa"/>
            <w:tcBorders>
              <w:top w:val="single" w:sz="4" w:space="0" w:color="000000"/>
              <w:start w:val="single" w:sz="4" w:space="0" w:color="000000"/>
              <w:bottom w:val="single" w:sz="4" w:space="0" w:color="000000"/>
              <w:end w:val="single" w:sz="4" w:space="0" w:color="000000"/>
            </w:tcBorders>
            <w:shd w:color="auto" w:fill="FFFFFF" w:themeFill="background1" w:val="clear"/>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59.9010</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diesel/electric</w:t>
            </w:r>
          </w:p>
          <w:p>
            <w:pPr>
              <w:pStyle w:val="Normal"/>
              <w:spacing w:before="0" w:after="200"/>
              <w:jc w:val="center"/>
              <w:rPr>
                <w:rFonts w:ascii="Arial" w:hAnsi="Arial" w:cs="Arial" w:asciiTheme="majorHAnsi" w:cstheme="majorHAnsi" w:hAnsiTheme="majorHAnsi"/>
                <w:szCs w:val="20"/>
              </w:rPr>
            </w:pPr>
            <w:r>
              <w:rPr>
                <w:rFonts w:cs="Arial" w:cstheme="majorHAnsi" w:ascii="Arial" w:hAnsi="Arial"/>
                <w:szCs w:val="20"/>
              </w:rPr>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37.9365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17.0100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20.9265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21.1726</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30.7355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2.2297</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45.4545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petrol/electric</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2,062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34.9670</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28.7708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6.1962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6.7481</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17.4150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0.4204</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14.2095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diesel/electric</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207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21.0521</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13.2730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7.7791</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8.0978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16.1256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0.3335</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23.6715</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240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146.5259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150.8798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-4.3540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12.6889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15.5007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12.2451</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25.4167</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M</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496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175.8559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175.4246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0.4313</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8.2570</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11.7162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4.4938</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11.2903</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M</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424</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164.8132</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163.4730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1.3402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5.8056</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9.6622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3.3216</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6.3679</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unseen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812</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136.8319</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138.6709</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-1.8390</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7.3638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9.6365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6.5544</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2.7094</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diesel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1,036</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147.4675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149.9493</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-2.4818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4.9135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7.8278</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2.6753</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4.5367</w:t>
            </w:r>
          </w:p>
        </w:tc>
      </w:tr>
      <w:tr>
        <w:trPr/>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seen</w:t>
            </w:r>
          </w:p>
        </w:tc>
        <w:tc>
          <w:tcPr>
            <w:tcW w:w="784"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petrol</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H</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3,095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129.0048</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129.7805</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-0.7757</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3.3165</w:t>
            </w:r>
          </w:p>
        </w:tc>
        <w:tc>
          <w:tcPr>
            <w:tcW w:w="786"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5.1481</w:t>
            </w:r>
          </w:p>
        </w:tc>
        <w:tc>
          <w:tcPr>
            <w:tcW w:w="785"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1.9260</w:t>
            </w:r>
          </w:p>
        </w:tc>
        <w:tc>
          <w:tcPr>
            <w:tcW w:w="787" w:type="dxa"/>
            <w:tcBorders>
              <w:top w:val="single" w:sz="4" w:space="0" w:color="000000"/>
              <w:start w:val="single" w:sz="4" w:space="0" w:color="000000"/>
              <w:bottom w:val="single" w:sz="4" w:space="0" w:color="000000"/>
              <w:end w:val="single" w:sz="4" w:space="0" w:color="000000"/>
            </w:tcBorders>
            <w:tcMar>
              <w:top w:w="58" w:type="dxa"/>
              <w:start w:w="58" w:type="dxa"/>
              <w:bottom w:w="58" w:type="dxa"/>
              <w:end w:w="58" w:type="dxa"/>
            </w:tcMar>
          </w:tcPr>
          <w:p>
            <w:pPr>
              <w:pStyle w:val="Normal"/>
              <w:spacing w:before="0" w:after="200"/>
              <w:jc w:val="center"/>
              <w:rPr>
                <w:rFonts w:ascii="Arial" w:hAnsi="Arial" w:cs="Arial" w:asciiTheme="majorHAnsi" w:cstheme="majorHAnsi" w:hAnsiTheme="majorHAnsi"/>
                <w:szCs w:val="20"/>
              </w:rPr>
            </w:pPr>
            <w:r>
              <w:rPr>
                <w:rFonts w:cs="Arial" w:ascii="Arial" w:hAnsi="Arial" w:asciiTheme="majorHAnsi" w:cstheme="majorHAnsi" w:hAnsiTheme="majorHAnsi"/>
                <w:szCs w:val="20"/>
              </w:rPr>
              <w:t>0.3877</w:t>
            </w:r>
          </w:p>
        </w:tc>
      </w:tr>
    </w:tbl>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r>
    </w:p>
    <w:p>
      <w:pPr>
        <w:pStyle w:val="Normal"/>
        <w:jc w:val="both"/>
        <w:rPr>
          <w:rFonts w:ascii="Arial" w:hAnsi="Arial" w:cs="Arial" w:asciiTheme="majorHAnsi" w:cstheme="majorHAnsi" w:hAnsiTheme="majorHAnsi"/>
          <w:b/>
          <w:bCs/>
          <w:szCs w:val="20"/>
        </w:rPr>
      </w:pPr>
      <w:r>
        <w:rPr>
          <w:rFonts w:cs="Arial" w:ascii="Arial" w:hAnsi="Arial" w:asciiTheme="majorHAnsi" w:cstheme="majorHAnsi" w:hAnsiTheme="majorHAnsi"/>
          <w:b/>
          <w:bCs/>
          <w:szCs w:val="20"/>
        </w:rPr>
        <w:t>Key Finding</w:t>
      </w:r>
      <w:r>
        <w:rPr>
          <w:rFonts w:cs="Arial" w:ascii="Arial" w:hAnsi="Arial" w:asciiTheme="majorHAnsi" w:cstheme="majorHAnsi" w:hAnsiTheme="majorHAnsi"/>
          <w:b/>
          <w:bCs/>
          <w:szCs w:val="20"/>
        </w:rPr>
        <w:t>s</w:t>
      </w:r>
      <w:r>
        <w:rPr>
          <w:rFonts w:cs="Arial" w:ascii="Arial" w:hAnsi="Arial" w:asciiTheme="majorHAnsi" w:cstheme="majorHAnsi" w:hAnsiTheme="majorHAnsi"/>
          <w:b/>
          <w:bCs/>
          <w:szCs w:val="20"/>
        </w:rPr>
        <w:t>: Unseen Petrol/Electric PHEVs Drive Most Large Errors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joint analysis shows that the high-error tail in the 2025 temporal test set is concentrated overwhelmingly in previously unseen petrol/electric plug-in hybrid (PHEV) configurations.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For unseen petrol/electric vehicles in fuel mode `P`, the model produced a MAE of 25.55 g/km and an RMSE of 33.56 g/km. These vehicles had an average actual CO₂ value of 44.80 g/km, whereas the average prediction was only 19.73 g/km. This corresponds to a mean residual of +25.07 g/km, indicating systematic underprediction.</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More than half of these unseen PHEV records (59.90%) had an absolute prediction error above 20 g/km. Their median absolute error was also high at 31.38 g/km, showing that the issue was not caused only by a small number of extreme outliers.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In contrast, seen petrol/electric PHEV configurations had a much lower MAE of 6.75 g/km. However, they still showed a positive mean residual of 6.20 g/km and an RMSE of 17.42 g/km, indicating that PHEVs remain more difficult to predict than conventional petrol and diesel vehicles even when their technical configurations have appeared in the training data.</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For conventional petrol and diesel vehicles, prediction performance was substantially more stable. Seen configurations generally achieved MAE values between 2.70 and 4.91 g/km, while unseen conventional configurations achieved MAE values between 5.81 and 12.69 g/km. The largest non-PHEV error occurred for unseen diesel hybrid vehicles, with an MAE of 12.69 g/km and an RMSE of 15.50 g/km.</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Therefore, configuration novelty alone does not explain the observed error distribution. The principal challenge is the interaction between configuration novelty and the petrol/electric PHEV segment. New PHEV configurations appear to have CO</w:t>
      </w:r>
      <w:r>
        <w:rPr>
          <w:rFonts w:cs="Cambria Math" w:ascii="Cambria Math" w:hAnsi="Cambria Math"/>
          <w:szCs w:val="20"/>
        </w:rPr>
        <w:t>₂</w:t>
      </w:r>
      <w:r>
        <w:rPr>
          <w:rFonts w:cs="Arial" w:ascii="Arial" w:hAnsi="Arial" w:asciiTheme="majorHAnsi" w:cstheme="majorHAnsi" w:hAnsiTheme="majorHAnsi"/>
          <w:szCs w:val="20"/>
        </w:rPr>
        <w:t xml:space="preserve"> emission patterns that are not adequately captured by patterns learned from historical data.</w:t>
      </w:r>
    </w:p>
    <w:p>
      <w:pPr>
        <w:pStyle w:val="Heading1"/>
        <w:widowControl/>
        <w:suppressAutoHyphens w:val="true"/>
        <w:bidi w:val="0"/>
        <w:spacing w:lineRule="auto" w:line="276"/>
        <w:jc w:val="both"/>
        <w:rPr/>
      </w:pPr>
      <w:r>
        <w:rPr>
          <w:rFonts w:cs="Arial" w:ascii="Arial" w:hAnsi="Arial" w:asciiTheme="majorHAnsi" w:cstheme="majorHAnsi" w:hAnsiTheme="majorHAnsi"/>
          <w:b/>
          <w:szCs w:val="20"/>
        </w:rPr>
        <w:t xml:space="preserve">7. Scientific </w:t>
      </w:r>
      <w:r>
        <w:rPr>
          <w:rFonts w:cs="Arial" w:ascii="Arial" w:hAnsi="Arial" w:asciiTheme="majorHAnsi" w:cstheme="majorHAnsi" w:hAnsiTheme="majorHAnsi"/>
          <w:kern w:val="0"/>
          <w:szCs w:val="20"/>
          <w:lang w:val="en-US" w:eastAsia="en-US" w:bidi="ar-SA"/>
        </w:rPr>
        <w:t>conclusions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1. WLTP CO2 emissions are highly predictable from vehicle specifications in this dataset. The strong performance is consistent with the structured physical and regulatory nature of the data, but it does not mean the model has discovered a causal law.</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2. Powertrain regime is central. Electric range, fuel type and fuel mode separate low-emission electrified vehicles from predominantly higher-emission combustion vehicles and explain much of the model’s predictive power.</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3. Group-aware validation materially improves scientific credibility. It prevents repeated or near-identical technical configurations from appearing on both sides of evaluation.</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4. The temporal test is essential. The final score is still excellent in 2025, but configuration overlap means a second benchmark with stricter unseen-model or unseen-family splits would provide a harder test.</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5. The deep-learning result confirms that model-family choice should follow both data structure and evaluation design. The tested MLP and ExtraTrees showed different error trade-offs, so any final head-to-head decision should use the same split, preprocessing, and reporting metrics.</w:t>
      </w:r>
    </w:p>
    <w:p>
      <w:pPr>
        <w:pStyle w:val="Heading1"/>
        <w:widowControl/>
        <w:suppressAutoHyphens w:val="true"/>
        <w:bidi w:val="0"/>
        <w:spacing w:lineRule="auto" w:line="276"/>
        <w:jc w:val="both"/>
        <w:rPr/>
      </w:pPr>
      <w:r>
        <w:rPr>
          <w:rFonts w:cs="Arial" w:ascii="Arial" w:hAnsi="Arial" w:asciiTheme="majorHAnsi" w:cstheme="majorHAnsi" w:hAnsiTheme="majorHAnsi"/>
          <w:b/>
          <w:szCs w:val="20"/>
        </w:rPr>
        <w:t xml:space="preserve">8. Business conclusions and </w:t>
      </w:r>
      <w:r>
        <w:rPr>
          <w:rFonts w:cs="Arial" w:ascii="Arial" w:hAnsi="Arial" w:asciiTheme="majorHAnsi" w:cstheme="majorHAnsi" w:hAnsiTheme="majorHAnsi"/>
          <w:kern w:val="0"/>
          <w:szCs w:val="20"/>
          <w:lang w:val="en-US" w:eastAsia="en-US" w:bidi="ar-SA"/>
        </w:rPr>
        <w:t>recommendations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szCs w:val="20"/>
        </w:rPr>
        <w:t>The model can support early CO2 estimation, quality checks and scenario analysis before official WLTP results are available, if input variables are available at prediction time. An MAE around 5.03 g/km on the reported 2025 test is useful for ranking and estimating vehicles, but it should not be treated as a regulatory replacement without subgroup and uncertainty analysis.</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b/>
          <w:bCs/>
          <w:szCs w:val="20"/>
        </w:rPr>
        <w:t xml:space="preserve">Recommended deployment position: </w:t>
      </w:r>
      <w:r>
        <w:rPr>
          <w:rFonts w:cs="Arial" w:ascii="Arial" w:hAnsi="Arial" w:asciiTheme="majorHAnsi" w:cstheme="majorHAnsi" w:hAnsiTheme="majorHAnsi"/>
          <w:szCs w:val="20"/>
        </w:rPr>
        <w:t>use tuned ExtraTrees as the primary prediction model; retain Random Forest as a benchmark alternative; keep the strict design-stage model for early product decisions; and use the extended model only when electric-range and IT specifications are genuinely known before prediction.</w:t>
      </w:r>
    </w:p>
    <w:p>
      <w:pPr>
        <w:pStyle w:val="Normal"/>
        <w:jc w:val="both"/>
        <w:rPr>
          <w:rFonts w:ascii="Arial" w:hAnsi="Arial" w:cs="Arial" w:asciiTheme="majorHAnsi" w:cstheme="majorHAnsi" w:hAnsiTheme="majorHAnsi"/>
          <w:szCs w:val="20"/>
        </w:rPr>
      </w:pPr>
      <w:r>
        <w:rPr>
          <w:rFonts w:cs="Arial" w:ascii="Arial" w:hAnsi="Arial" w:asciiTheme="majorHAnsi" w:cstheme="majorHAnsi" w:hAnsiTheme="majorHAnsi"/>
          <w:b/>
          <w:bCs/>
          <w:szCs w:val="20"/>
        </w:rPr>
        <w:t>Recommended safeguards:</w:t>
      </w:r>
      <w:r>
        <w:rPr>
          <w:rFonts w:cs="Arial" w:ascii="Arial" w:hAnsi="Arial" w:asciiTheme="majorHAnsi" w:cstheme="majorHAnsi" w:hAnsiTheme="majorHAnsi"/>
          <w:szCs w:val="20"/>
        </w:rPr>
        <w:t xml:space="preserve"> report prediction intervals; monitor error by fuel mode, manufacturer, emissions range and unseen configuration status; prohibit post-test variables such as direct target proxies; retrain as new model years arrive; and keep a transparent feature dictionary so business users understand required inputs.</w:t>
      </w:r>
    </w:p>
    <w:p>
      <w:pPr>
        <w:pStyle w:val="Normal"/>
        <w:spacing w:before="0" w:after="200"/>
        <w:jc w:val="both"/>
        <w:rPr>
          <w:rFonts w:ascii="Arial" w:hAnsi="Arial" w:cs="Arial" w:asciiTheme="majorHAnsi" w:cstheme="majorHAnsi" w:hAnsiTheme="majorHAnsi"/>
          <w:szCs w:val="20"/>
        </w:rPr>
      </w:pPr>
      <w:r>
        <w:rPr>
          <w:rFonts w:cs="Arial" w:cstheme="majorHAnsi" w:ascii="Arial" w:hAnsi="Arial"/>
          <w:szCs w:val="20"/>
        </w:rPr>
      </w:r>
    </w:p>
    <w:p>
      <w:pPr>
        <w:pStyle w:val="Normal"/>
        <w:spacing w:before="0" w:after="200"/>
        <w:jc w:val="both"/>
        <w:rPr>
          <w:rFonts w:ascii="Arial" w:hAnsi="Arial" w:cs="Arial" w:asciiTheme="majorHAnsi" w:cstheme="majorHAnsi" w:hAnsiTheme="majorHAnsi"/>
          <w:szCs w:val="20"/>
        </w:rPr>
      </w:pPr>
      <w:r>
        <w:rPr>
          <w:rFonts w:cs="Arial" w:cstheme="majorHAnsi" w:ascii="Arial" w:hAnsi="Arial"/>
          <w:szCs w:val="20"/>
        </w:rPr>
      </w:r>
    </w:p>
    <w:p>
      <w:pPr>
        <w:pStyle w:val="Normal"/>
        <w:spacing w:before="0" w:after="200"/>
        <w:jc w:val="both"/>
        <w:rPr>
          <w:rFonts w:ascii="Arial" w:hAnsi="Arial" w:cs="Arial" w:asciiTheme="majorHAnsi" w:cstheme="majorHAnsi" w:hAnsiTheme="majorHAnsi"/>
          <w:szCs w:val="20"/>
        </w:rPr>
      </w:pPr>
      <w:r>
        <w:rPr>
          <w:rFonts w:cs="Arial" w:cstheme="majorHAnsi" w:ascii="Arial" w:hAnsi="Arial"/>
          <w:szCs w:val="20"/>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t xml:space="preserve">PART II: </w:t>
      </w:r>
    </w:p>
    <w:p>
      <w:pPr>
        <w:pStyle w:val="Heading1"/>
        <w:jc w:val="both"/>
        <w:rPr>
          <w:rFonts w:ascii="Arial" w:hAnsi="Arial" w:cs="Arial" w:asciiTheme="majorHAnsi" w:cstheme="majorHAnsi" w:hAnsiTheme="majorHAnsi"/>
          <w:sz w:val="52"/>
          <w:szCs w:val="52"/>
        </w:rPr>
      </w:pPr>
      <w:r>
        <w:rPr>
          <w:rFonts w:cs="Arial" w:cstheme="majorHAnsi" w:ascii="Arial" w:hAnsi="Arial"/>
          <w:sz w:val="52"/>
          <w:szCs w:val="52"/>
        </w:rPr>
        <w:t>Analysis On Segmented Datasets</w:t>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Normal"/>
        <w:jc w:val="both"/>
        <w:rPr>
          <w:rFonts w:ascii="Arial" w:hAnsi="Arial" w:cs="Arial" w:asciiTheme="majorHAnsi" w:cstheme="majorHAnsi" w:hAnsiTheme="majorHAnsi"/>
          <w:sz w:val="52"/>
          <w:szCs w:val="52"/>
        </w:rPr>
      </w:pPr>
      <w:r>
        <w:rPr>
          <w:rFonts w:cs="Arial" w:cstheme="majorHAnsi" w:ascii="Arial" w:hAnsi="Arial"/>
          <w:sz w:val="52"/>
          <w:szCs w:val="52"/>
        </w:rPr>
      </w:r>
    </w:p>
    <w:p>
      <w:pPr>
        <w:pStyle w:val="Heading1"/>
        <w:rPr/>
      </w:pPr>
      <w:r>
        <w:rPr/>
        <w:t>1. Data Preparation and Experimental Design</w:t>
      </w:r>
    </w:p>
    <w:p>
      <w:pPr>
        <w:pStyle w:val="Normal"/>
        <w:jc w:val="both"/>
        <w:rPr>
          <w:rFonts w:ascii="Arial" w:hAnsi="Arial" w:cs="Arial" w:asciiTheme="majorHAnsi" w:cstheme="majorHAnsi" w:hAnsiTheme="majorHAnsi"/>
          <w:szCs w:val="20"/>
        </w:rPr>
      </w:pPr>
      <w:r>
        <w:rPr>
          <w:rFonts w:cs="Arial" w:cstheme="majorHAnsi" w:ascii="Arial" w:hAnsi="Arial"/>
          <w:szCs w:val="20"/>
        </w:rPr>
        <w:t>The starting cleaned files contained 113,868 2024 records and 88,963 2025 records. Records were grouped by pre-test specification identifiers and technical attributes, and numeric measurements were replaced by registration-weighted means. This reduced the datasets to 15,957 unique 2024 records and 14,735 unique 2025 records.</w:t>
      </w:r>
    </w:p>
    <w:p>
      <w:pPr>
        <w:pStyle w:val="Normal"/>
        <w:jc w:val="both"/>
        <w:rPr>
          <w:rFonts w:ascii="Arial" w:hAnsi="Arial" w:cs="Arial" w:asciiTheme="majorHAnsi" w:cstheme="majorHAnsi" w:hAnsiTheme="majorHAnsi"/>
          <w:szCs w:val="20"/>
        </w:rPr>
      </w:pPr>
      <w:r>
        <w:rPr>
          <w:rFonts w:cs="Arial" w:cstheme="majorHAnsi" w:ascii="Arial" w:hAnsi="Arial"/>
          <w:szCs w:val="20"/>
        </w:rPr>
        <w:t>The target was Ewltp (g/km). The 2024 data were split with GroupShuffleSplit using mass, engine capacity, engine power, fuel type and fuel mode as the core group definition. Training and validation groups were disjoint, so validation measured performance on unseen core technical combinations. The 2025 dataset was kept untouched until final evaluation.</w:t>
      </w:r>
    </w:p>
    <w:p>
      <w:pPr>
        <w:pStyle w:val="Normal"/>
        <w:jc w:val="both"/>
        <w:rPr>
          <w:rFonts w:ascii="Arial" w:hAnsi="Arial" w:cs="Arial" w:asciiTheme="majorHAnsi" w:cstheme="majorHAnsi" w:hAnsiTheme="majorHAnsi"/>
          <w:szCs w:val="20"/>
        </w:rPr>
      </w:pPr>
      <w:r>
        <w:rPr>
          <w:rFonts w:cs="Arial" w:cstheme="majorHAnsi" w:ascii="Arial" w:hAnsi="Arial"/>
          <w:szCs w:val="20"/>
        </w:rPr>
        <w:t>A central improvement was replacing a simple random-style benchmark with a group-aware split. Groups were defined from core technical characteristics: mass, engine capacity, engine power, fuel type and fuel mode. The final split had zero exact core-configuration overlap between training and validation. The 2025 set was not used for model selection or tuning.</w:t>
      </w:r>
    </w:p>
    <w:p>
      <w:pPr>
        <w:pStyle w:val="Normal"/>
        <w:jc w:val="both"/>
        <w:rPr>
          <w:rFonts w:ascii="Arial" w:hAnsi="Arial" w:cs="Arial" w:asciiTheme="majorHAnsi" w:cstheme="majorHAnsi" w:hAnsiTheme="majorHAnsi"/>
          <w:szCs w:val="20"/>
        </w:rPr>
      </w:pPr>
      <w:r>
        <w:rPr>
          <w:rFonts w:cs="Arial" w:cstheme="majorHAnsi" w:ascii="Arial" w:hAnsi="Arial"/>
          <w:szCs w:val="20"/>
        </w:rPr>
        <w:t>Preprocessing was fitted on training data only and then applied to validation and test data. It included make target encoding, training-derived frequency maps, IT-code extraction, one-hot fuel encoding and scaling of continuous variables.</w:t>
      </w:r>
    </w:p>
    <w:p>
      <w:pPr>
        <w:pStyle w:val="Normal"/>
        <w:jc w:val="both"/>
        <w:rPr>
          <w:rFonts w:ascii="Arial" w:hAnsi="Arial" w:cs="Arial" w:asciiTheme="majorHAnsi" w:cstheme="majorHAnsi" w:hAnsiTheme="majorHAnsi"/>
          <w:szCs w:val="20"/>
        </w:rPr>
      </w:pPr>
      <w:r>
        <w:rPr>
          <w:rFonts w:cs="Arial" w:cstheme="majorHAnsi" w:ascii="Arial" w:hAnsi="Arial"/>
          <w:szCs w:val="20"/>
        </w:rPr>
        <w:t xml:space="preserve">The extension notebook separated the data into </w:t>
      </w:r>
      <w:r>
        <w:rPr>
          <w:rFonts w:cs="Arial" w:cstheme="majorHAnsi" w:ascii="Arial" w:hAnsi="Arial"/>
          <w:b/>
          <w:bCs/>
          <w:szCs w:val="20"/>
        </w:rPr>
        <w:t>Mono-fuel (Fm=M), PHEV (Fm=P)</w:t>
      </w:r>
      <w:r>
        <w:rPr>
          <w:rFonts w:cs="Arial" w:cstheme="majorHAnsi" w:ascii="Arial" w:hAnsi="Arial"/>
          <w:szCs w:val="20"/>
        </w:rPr>
        <w:t xml:space="preserve"> and </w:t>
      </w:r>
      <w:r>
        <w:rPr>
          <w:rFonts w:cs="Arial" w:cstheme="majorHAnsi" w:ascii="Arial" w:hAnsi="Arial"/>
          <w:b/>
          <w:bCs/>
          <w:szCs w:val="20"/>
        </w:rPr>
        <w:t xml:space="preserve">Hybrid (Fm=H). </w:t>
      </w:r>
      <w:r>
        <w:rPr>
          <w:rFonts w:cs="Arial" w:cstheme="majorHAnsi" w:ascii="Arial" w:hAnsi="Arial"/>
          <w:szCs w:val="20"/>
        </w:rPr>
        <w:t>Each subset was independently group-split, encoded and scaled. The fuel-mode column was removed because it was constant within each subset.</w:t>
      </w:r>
    </w:p>
    <w:p>
      <w:pPr>
        <w:pStyle w:val="Normal"/>
        <w:jc w:val="both"/>
        <w:rPr>
          <w:rFonts w:ascii="Arial" w:hAnsi="Arial" w:cs="Arial" w:asciiTheme="majorHAnsi" w:cstheme="majorHAnsi" w:hAnsiTheme="majorHAnsi"/>
          <w:szCs w:val="20"/>
        </w:rPr>
      </w:pPr>
      <w:r>
        <w:rPr>
          <w:rFonts w:cs="Arial" w:cstheme="majorHAnsi" w:ascii="Arial" w:hAnsi="Arial"/>
          <w:szCs w:val="20"/>
        </w:rPr>
        <w:t xml:space="preserve">The 2024/2025 record counts were </w:t>
      </w:r>
      <w:r>
        <w:rPr>
          <w:rFonts w:cs="Arial" w:cstheme="majorHAnsi" w:ascii="Arial" w:hAnsi="Arial"/>
          <w:b/>
          <w:bCs/>
          <w:szCs w:val="20"/>
        </w:rPr>
        <w:t>Mono</w:t>
      </w:r>
      <w:r>
        <w:rPr>
          <w:rFonts w:cs="Arial" w:cstheme="majorHAnsi" w:ascii="Arial" w:hAnsi="Arial"/>
          <w:szCs w:val="20"/>
        </w:rPr>
        <w:t xml:space="preserve"> 8,444/6,857, </w:t>
      </w:r>
      <w:r>
        <w:rPr>
          <w:rFonts w:cs="Arial" w:cstheme="majorHAnsi" w:ascii="Arial" w:hAnsi="Arial"/>
          <w:b/>
          <w:bCs/>
          <w:szCs w:val="20"/>
        </w:rPr>
        <w:t>PHEV</w:t>
      </w:r>
      <w:r>
        <w:rPr>
          <w:rFonts w:cs="Arial" w:cstheme="majorHAnsi" w:ascii="Arial" w:hAnsi="Arial"/>
          <w:szCs w:val="20"/>
        </w:rPr>
        <w:t xml:space="preserve"> 2,817/2,695 and </w:t>
      </w:r>
      <w:r>
        <w:rPr>
          <w:rFonts w:cs="Arial" w:cstheme="majorHAnsi" w:ascii="Arial" w:hAnsi="Arial"/>
          <w:b/>
          <w:bCs/>
          <w:szCs w:val="20"/>
        </w:rPr>
        <w:t>Hybrid</w:t>
      </w:r>
      <w:r>
        <w:rPr>
          <w:rFonts w:cs="Arial" w:cstheme="majorHAnsi" w:ascii="Arial" w:hAnsi="Arial"/>
          <w:szCs w:val="20"/>
        </w:rPr>
        <w:t xml:space="preserve"> 4,696/5,183. Training/validation counts were </w:t>
      </w:r>
      <w:r>
        <w:rPr>
          <w:rFonts w:cs="Arial" w:cstheme="majorHAnsi" w:ascii="Arial" w:hAnsi="Arial"/>
          <w:b/>
          <w:bCs/>
          <w:szCs w:val="20"/>
        </w:rPr>
        <w:t>Mono</w:t>
      </w:r>
      <w:r>
        <w:rPr>
          <w:rFonts w:cs="Arial" w:cstheme="majorHAnsi" w:ascii="Arial" w:hAnsi="Arial"/>
          <w:szCs w:val="20"/>
        </w:rPr>
        <w:t xml:space="preserve"> 6,816/1,628, </w:t>
      </w:r>
      <w:r>
        <w:rPr>
          <w:rFonts w:cs="Arial" w:cstheme="majorHAnsi" w:ascii="Arial" w:hAnsi="Arial"/>
          <w:b/>
          <w:bCs/>
          <w:szCs w:val="20"/>
        </w:rPr>
        <w:t>PHEV</w:t>
      </w:r>
      <w:r>
        <w:rPr>
          <w:rFonts w:cs="Arial" w:cstheme="majorHAnsi" w:ascii="Arial" w:hAnsi="Arial"/>
          <w:szCs w:val="20"/>
        </w:rPr>
        <w:t xml:space="preserve"> 2,246/571 and </w:t>
      </w:r>
      <w:r>
        <w:rPr>
          <w:rFonts w:cs="Arial" w:cstheme="majorHAnsi" w:ascii="Arial" w:hAnsi="Arial"/>
          <w:b/>
          <w:bCs/>
          <w:szCs w:val="20"/>
        </w:rPr>
        <w:t>Hybrid</w:t>
      </w:r>
      <w:r>
        <w:rPr>
          <w:rFonts w:cs="Arial" w:cstheme="majorHAnsi" w:ascii="Arial" w:hAnsi="Arial"/>
          <w:szCs w:val="20"/>
        </w:rPr>
        <w:t xml:space="preserve"> 3,745/951.</w:t>
      </w:r>
    </w:p>
    <w:p>
      <w:pPr>
        <w:pStyle w:val="Normal"/>
        <w:jc w:val="both"/>
        <w:rPr>
          <w:rFonts w:ascii="Arial" w:hAnsi="Arial" w:cs="Arial" w:asciiTheme="majorHAnsi" w:cstheme="majorHAnsi" w:hAnsiTheme="majorHAnsi"/>
          <w:szCs w:val="20"/>
        </w:rPr>
      </w:pPr>
      <w:r>
        <w:rPr>
          <w:rFonts w:cs="Arial" w:cstheme="majorHAnsi" w:ascii="Arial" w:hAnsi="Arial"/>
          <w:szCs w:val="20"/>
        </w:rPr>
        <w:t xml:space="preserve">Each final subset model used </w:t>
      </w:r>
      <w:r>
        <w:rPr>
          <w:rFonts w:cs="Arial" w:cstheme="majorHAnsi" w:ascii="Arial" w:hAnsi="Arial"/>
          <w:b/>
          <w:bCs/>
          <w:szCs w:val="20"/>
        </w:rPr>
        <w:t>ExtraTreesRegressor</w:t>
      </w:r>
      <w:r>
        <w:rPr>
          <w:rFonts w:cs="Arial" w:cstheme="majorHAnsi" w:ascii="Arial" w:hAnsi="Arial"/>
          <w:szCs w:val="20"/>
        </w:rPr>
        <w:t xml:space="preserve"> with n_estimators=388, max_depth=50, max_features=0.6702995511817258, min_samples_leaf=2 and min_samples_split=5, then was retrained on combined 2024 training and validation data.</w:t>
      </w:r>
    </w:p>
    <w:p>
      <w:pPr>
        <w:pStyle w:val="Heading1"/>
        <w:rPr/>
      </w:pPr>
      <w:r>
        <w:rPr/>
        <w:t>2</w:t>
      </w:r>
      <w:r>
        <w:rPr/>
        <w:t>. Segmented Temporal Evaluation</w:t>
      </w:r>
    </w:p>
    <w:p>
      <w:pPr>
        <w:pStyle w:val="Normal"/>
        <w:jc w:val="both"/>
        <w:rPr>
          <w:rFonts w:ascii="Arial" w:hAnsi="Arial" w:cs="Arial" w:asciiTheme="majorHAnsi" w:cstheme="majorHAnsi" w:hAnsiTheme="majorHAnsi"/>
          <w:szCs w:val="20"/>
        </w:rPr>
      </w:pPr>
      <w:r>
        <w:rPr>
          <w:rFonts w:cs="Arial" w:cstheme="majorHAnsi" w:ascii="Arial" w:hAnsi="Arial"/>
          <w:szCs w:val="20"/>
        </w:rPr>
        <w:t>The 2025 results show that model performance differs strongly by powertrain segment. Mono and Hybrid predictions were generally stable, whereas PHEV predictions were substantially more difficult, especially for unseen configurations.</w:t>
      </w:r>
    </w:p>
    <w:p>
      <w:pPr>
        <w:pStyle w:val="Normal"/>
        <w:rPr/>
      </w:pPr>
      <w:r>
        <w:rPr>
          <w:b/>
          <w:bCs/>
        </w:rPr>
        <w:t>Fuel Mode: MONO</w:t>
      </w:r>
    </w:p>
    <w:tbl>
      <w:tblPr>
        <w:tblStyle w:val="TableGrid"/>
        <w:tblW w:w="9939" w:type="dxa"/>
        <w:jc w:val="start"/>
        <w:tblInd w:w="-113" w:type="dxa"/>
        <w:tblLayout w:type="fixed"/>
        <w:tblCellMar>
          <w:top w:w="0" w:type="dxa"/>
          <w:start w:w="108" w:type="dxa"/>
          <w:bottom w:w="0" w:type="dxa"/>
          <w:end w:w="108" w:type="dxa"/>
        </w:tblCellMar>
        <w:tblLook w:noHBand="0" w:lastColumn="0" w:firstColumn="1" w:lastRow="0" w:firstRow="1" w:noVBand="1" w:val="04a0"/>
      </w:tblPr>
      <w:tblGrid>
        <w:gridCol w:w="2816"/>
        <w:gridCol w:w="1157"/>
        <w:gridCol w:w="1988"/>
        <w:gridCol w:w="1987"/>
        <w:gridCol w:w="1991"/>
      </w:tblGrid>
      <w:tr>
        <w:trPr>
          <w:trHeight w:val="376" w:hRule="atLeast"/>
        </w:trPr>
        <w:tc>
          <w:tcPr>
            <w:tcW w:w="2816"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2025 subset</w:t>
            </w:r>
          </w:p>
        </w:tc>
        <w:tc>
          <w:tcPr>
            <w:tcW w:w="115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Records</w:t>
            </w:r>
          </w:p>
        </w:tc>
        <w:tc>
          <w:tcPr>
            <w:tcW w:w="1988"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MAE</w:t>
            </w:r>
          </w:p>
        </w:tc>
        <w:tc>
          <w:tcPr>
            <w:tcW w:w="198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RMSE</w:t>
            </w:r>
          </w:p>
        </w:tc>
        <w:tc>
          <w:tcPr>
            <w:tcW w:w="1991"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R²</w:t>
            </w:r>
          </w:p>
        </w:tc>
      </w:tr>
      <w:tr>
        <w:trPr>
          <w:trHeight w:val="53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All 2025 records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6857</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3.8459</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5.9373</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0.9746</w:t>
            </w:r>
          </w:p>
        </w:tc>
      </w:tr>
      <w:tr>
        <w:trPr>
          <w:trHeight w:val="470"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5937</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3.4254</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5.1633</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0.9769</w:t>
            </w:r>
          </w:p>
        </w:tc>
      </w:tr>
      <w:tr>
        <w:trPr>
          <w:trHeight w:val="54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Unseen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920</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6.5589</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9.5233</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0.9634</w:t>
            </w:r>
          </w:p>
        </w:tc>
      </w:tr>
    </w:tbl>
    <w:p>
      <w:pPr>
        <w:pStyle w:val="Normal"/>
        <w:bidi w:val="0"/>
        <w:rPr/>
      </w:pPr>
      <w:r>
        <w:rPr/>
        <w:t>Seen configurations: 5,937 / 6,857 (86.58%) Unseen configurations: 920 / 6,857 (13.42%)</w:t>
      </w:r>
    </w:p>
    <w:p>
      <w:pPr>
        <w:pStyle w:val="Normal"/>
        <w:rPr>
          <w:b/>
          <w:bCs/>
        </w:rPr>
      </w:pPr>
      <w:r>
        <w:rPr>
          <w:b/>
          <w:bCs/>
        </w:rPr>
      </w:r>
    </w:p>
    <w:p>
      <w:pPr>
        <w:pStyle w:val="Normal"/>
        <w:rPr>
          <w:b/>
          <w:bCs/>
        </w:rPr>
      </w:pPr>
      <w:r>
        <w:rPr>
          <w:b/>
          <w:bCs/>
        </w:rPr>
        <w:t>Fuel Mode: PHEV</w:t>
      </w:r>
    </w:p>
    <w:tbl>
      <w:tblPr>
        <w:tblStyle w:val="TableGrid"/>
        <w:tblW w:w="9939" w:type="dxa"/>
        <w:jc w:val="start"/>
        <w:tblInd w:w="-113" w:type="dxa"/>
        <w:tblLayout w:type="fixed"/>
        <w:tblCellMar>
          <w:top w:w="0" w:type="dxa"/>
          <w:start w:w="108" w:type="dxa"/>
          <w:bottom w:w="0" w:type="dxa"/>
          <w:end w:w="108" w:type="dxa"/>
        </w:tblCellMar>
        <w:tblLook w:noHBand="0" w:lastColumn="0" w:firstColumn="1" w:lastRow="0" w:firstRow="1" w:noVBand="1" w:val="04a0"/>
      </w:tblPr>
      <w:tblGrid>
        <w:gridCol w:w="2816"/>
        <w:gridCol w:w="1157"/>
        <w:gridCol w:w="1988"/>
        <w:gridCol w:w="1987"/>
        <w:gridCol w:w="1991"/>
      </w:tblGrid>
      <w:tr>
        <w:trPr>
          <w:trHeight w:val="376" w:hRule="atLeast"/>
        </w:trPr>
        <w:tc>
          <w:tcPr>
            <w:tcW w:w="2816"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2025 subset</w:t>
            </w:r>
          </w:p>
        </w:tc>
        <w:tc>
          <w:tcPr>
            <w:tcW w:w="115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Records</w:t>
            </w:r>
          </w:p>
        </w:tc>
        <w:tc>
          <w:tcPr>
            <w:tcW w:w="1988"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MAE</w:t>
            </w:r>
          </w:p>
        </w:tc>
        <w:tc>
          <w:tcPr>
            <w:tcW w:w="198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RMSE</w:t>
            </w:r>
          </w:p>
        </w:tc>
        <w:tc>
          <w:tcPr>
            <w:tcW w:w="1991"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R²</w:t>
            </w:r>
          </w:p>
        </w:tc>
      </w:tr>
      <w:tr>
        <w:trPr>
          <w:trHeight w:val="53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All 2025 records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2695</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9.6732</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20.4547</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0.5044</w:t>
            </w:r>
          </w:p>
        </w:tc>
      </w:tr>
      <w:tr>
        <w:trPr>
          <w:trHeight w:val="470"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2269</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6.7831</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17.1844</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0.6289</w:t>
            </w:r>
          </w:p>
        </w:tc>
      </w:tr>
      <w:tr>
        <w:trPr>
          <w:trHeight w:val="54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Unseen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426</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25.0665</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32.7719</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-0.0684</w:t>
            </w:r>
          </w:p>
        </w:tc>
      </w:tr>
    </w:tbl>
    <w:p>
      <w:pPr>
        <w:pStyle w:val="Normal"/>
        <w:rPr/>
      </w:pPr>
      <w:r>
        <w:rPr/>
        <w:t>Seen configurations: 2,269 / 2,695 (84.19%) Unseen configurations: 426 / 2,695 (15.81%)</w:t>
      </w:r>
    </w:p>
    <w:p>
      <w:pPr>
        <w:pStyle w:val="Normal"/>
        <w:rPr/>
      </w:pPr>
      <w:r>
        <w:rPr>
          <w:b/>
          <w:bCs/>
        </w:rPr>
        <w:t>Fuel Mode: HYBRID</w:t>
      </w:r>
    </w:p>
    <w:tbl>
      <w:tblPr>
        <w:tblStyle w:val="TableGrid"/>
        <w:tblW w:w="9939" w:type="dxa"/>
        <w:jc w:val="start"/>
        <w:tblInd w:w="-113" w:type="dxa"/>
        <w:tblLayout w:type="fixed"/>
        <w:tblCellMar>
          <w:top w:w="0" w:type="dxa"/>
          <w:start w:w="108" w:type="dxa"/>
          <w:bottom w:w="0" w:type="dxa"/>
          <w:end w:w="108" w:type="dxa"/>
        </w:tblCellMar>
        <w:tblLook w:noHBand="0" w:lastColumn="0" w:firstColumn="1" w:lastRow="0" w:firstRow="1" w:noVBand="1" w:val="04a0"/>
      </w:tblPr>
      <w:tblGrid>
        <w:gridCol w:w="2816"/>
        <w:gridCol w:w="1157"/>
        <w:gridCol w:w="1988"/>
        <w:gridCol w:w="1987"/>
        <w:gridCol w:w="1991"/>
      </w:tblGrid>
      <w:tr>
        <w:trPr>
          <w:trHeight w:val="376" w:hRule="atLeast"/>
        </w:trPr>
        <w:tc>
          <w:tcPr>
            <w:tcW w:w="2816"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2025 subset</w:t>
            </w:r>
          </w:p>
        </w:tc>
        <w:tc>
          <w:tcPr>
            <w:tcW w:w="115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Records</w:t>
            </w:r>
          </w:p>
        </w:tc>
        <w:tc>
          <w:tcPr>
            <w:tcW w:w="1988"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MAE</w:t>
            </w:r>
          </w:p>
        </w:tc>
        <w:tc>
          <w:tcPr>
            <w:tcW w:w="1987"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RMSE</w:t>
            </w:r>
          </w:p>
        </w:tc>
        <w:tc>
          <w:tcPr>
            <w:tcW w:w="1991" w:type="dxa"/>
            <w:tcBorders/>
            <w:shd w:fill="D9EAF7" w:val="clear"/>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b/>
                <w:kern w:val="0"/>
                <w:szCs w:val="22"/>
                <w:lang w:val="en-US" w:eastAsia="en-US" w:bidi="ar-SA"/>
              </w:rPr>
              <w:t>R²</w:t>
            </w:r>
          </w:p>
        </w:tc>
      </w:tr>
      <w:tr>
        <w:trPr>
          <w:trHeight w:val="53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All 2025 records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5183</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4.9229</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7.4179</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0.9430</w:t>
            </w:r>
          </w:p>
        </w:tc>
      </w:tr>
      <w:tr>
        <w:trPr>
          <w:trHeight w:val="470"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4131</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4.0925</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6.3299</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0.9541</w:t>
            </w:r>
          </w:p>
        </w:tc>
      </w:tr>
      <w:tr>
        <w:trPr>
          <w:trHeight w:val="547" w:hRule="atLeast"/>
        </w:trPr>
        <w:tc>
          <w:tcPr>
            <w:tcW w:w="2816" w:type="dxa"/>
            <w:tcBorders/>
            <w:vAlign w:val="center"/>
          </w:tcPr>
          <w:p>
            <w:pPr>
              <w:pStyle w:val="Normal"/>
              <w:widowControl/>
              <w:suppressAutoHyphens w:val="true"/>
              <w:bidi w:val="0"/>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Unseen core configurations</w:t>
            </w:r>
          </w:p>
        </w:tc>
        <w:tc>
          <w:tcPr>
            <w:tcW w:w="115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1052</w:t>
            </w:r>
          </w:p>
        </w:tc>
        <w:tc>
          <w:tcPr>
            <w:tcW w:w="1988"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8.1839</w:t>
            </w:r>
          </w:p>
        </w:tc>
        <w:tc>
          <w:tcPr>
            <w:tcW w:w="1987"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10.6659</w:t>
            </w:r>
          </w:p>
        </w:tc>
        <w:tc>
          <w:tcPr>
            <w:tcW w:w="1991" w:type="dxa"/>
            <w:tcBorders/>
            <w:vAlign w:val="center"/>
          </w:tcPr>
          <w:p>
            <w:pPr>
              <w:pStyle w:val="Normal"/>
              <w:widowControl/>
              <w:suppressAutoHyphens w:val="true"/>
              <w:spacing w:lineRule="auto" w:line="240" w:before="0" w:after="0"/>
              <w:jc w:val="center"/>
              <w:rPr>
                <w:rFonts w:eastAsia="ＭＳ 明朝" w:cs=""/>
                <w:kern w:val="0"/>
                <w:szCs w:val="22"/>
                <w:lang w:val="en-US" w:eastAsia="en-US" w:bidi="ar-SA"/>
              </w:rPr>
            </w:pPr>
            <w:r>
              <w:rPr>
                <w:rFonts w:eastAsia="ＭＳ 明朝" w:cs=""/>
                <w:kern w:val="0"/>
                <w:szCs w:val="22"/>
                <w:lang w:val="en-US" w:eastAsia="en-US" w:bidi="ar-SA"/>
              </w:rPr>
              <w:t>0.9125</w:t>
            </w:r>
          </w:p>
        </w:tc>
      </w:tr>
    </w:tbl>
    <w:p>
      <w:pPr>
        <w:pStyle w:val="Normal"/>
        <w:bidi w:val="0"/>
        <w:rPr>
          <w:b w:val="false"/>
          <w:bCs w:val="false"/>
        </w:rPr>
      </w:pPr>
      <w:r>
        <w:rPr>
          <w:b w:val="false"/>
          <w:bCs w:val="false"/>
        </w:rPr>
        <w:t>Seen configurations: 4,131 / 5,183 (79.70%) Unseen configurations: 1,052 / 5,183 (20.30%)</w:t>
      </w:r>
    </w:p>
    <w:p>
      <w:pPr>
        <w:pStyle w:val="Normal"/>
        <w:jc w:val="both"/>
        <w:rPr>
          <w:rFonts w:ascii="Arial" w:hAnsi="Arial" w:cs="Arial" w:asciiTheme="majorHAnsi" w:cstheme="majorHAnsi" w:hAnsiTheme="majorHAnsi"/>
          <w:szCs w:val="20"/>
        </w:rPr>
      </w:pPr>
      <w:r>
        <w:rPr>
          <w:rFonts w:cs="Arial" w:cstheme="majorHAnsi" w:ascii="Arial" w:hAnsi="Arial"/>
          <w:szCs w:val="20"/>
        </w:rPr>
        <w:t>Seen configurations were core technical configurations present in the corresponding 2024 training data. Coverage was 86.58% for Mono, 84.19% for PHEV and 79.70% for Hybrid. The negative R² for unseen PHEVs indicates poor generalisation to that subset.</w:t>
      </w:r>
    </w:p>
    <w:p>
      <w:pPr>
        <w:pStyle w:val="Heading1"/>
        <w:rPr/>
      </w:pPr>
      <w:r>
        <w:rPr/>
        <w:t>3</w:t>
      </w:r>
      <w:r>
        <w:rPr/>
        <w:t>. Interpretation and Feature Importance</w:t>
      </w:r>
    </w:p>
    <w:p>
      <w:pPr>
        <w:pStyle w:val="Normal"/>
        <w:jc w:val="both"/>
        <w:rPr>
          <w:rFonts w:ascii="Arial" w:hAnsi="Arial" w:cs="Arial" w:asciiTheme="majorHAnsi" w:cstheme="majorHAnsi" w:hAnsiTheme="majorHAnsi"/>
          <w:szCs w:val="20"/>
        </w:rPr>
      </w:pPr>
      <w:r>
        <w:rPr>
          <w:rFonts w:cs="Arial" w:cstheme="majorHAnsi" w:ascii="Arial" w:hAnsi="Arial"/>
          <w:szCs w:val="20"/>
        </w:rPr>
        <w:t>Permutation importance was computed on the 2025 test subsets by repeatedly permuting each feature and measuring the RMSE increase. The dominant features differed by segment.</w:t>
      </w:r>
    </w:p>
    <w:tbl>
      <w:tblPr>
        <w:tblStyle w:val="TableGrid"/>
        <w:tblW w:w="9936" w:type="dxa"/>
        <w:jc w:val="start"/>
        <w:tblInd w:w="-113" w:type="dxa"/>
        <w:tblLayout w:type="fixed"/>
        <w:tblCellMar>
          <w:top w:w="0" w:type="dxa"/>
          <w:start w:w="108" w:type="dxa"/>
          <w:bottom w:w="0" w:type="dxa"/>
          <w:end w:w="108" w:type="dxa"/>
        </w:tblCellMar>
        <w:tblLook w:noHBand="0" w:lastColumn="0" w:firstColumn="1" w:lastRow="0" w:firstRow="1" w:noVBand="1" w:val="04a0"/>
      </w:tblPr>
      <w:tblGrid>
        <w:gridCol w:w="3312"/>
        <w:gridCol w:w="3312"/>
        <w:gridCol w:w="3312"/>
      </w:tblGrid>
      <w:tr>
        <w:trPr/>
        <w:tc>
          <w:tcPr>
            <w:tcW w:w="3312"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Segment</w:t>
            </w:r>
          </w:p>
        </w:tc>
        <w:tc>
          <w:tcPr>
            <w:tcW w:w="3312"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Most influential features</w:t>
            </w:r>
          </w:p>
        </w:tc>
        <w:tc>
          <w:tcPr>
            <w:tcW w:w="3312" w:type="dxa"/>
            <w:tcBorders/>
            <w:shd w:fill="D9EAF7"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RMSE increases (g/km)</w:t>
            </w:r>
          </w:p>
        </w:tc>
      </w:tr>
      <w:tr>
        <w:trPr>
          <w:trHeight w:val="496" w:hRule="atLeast"/>
        </w:trPr>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Mono</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Mt, ep (KW), ec (cm3)</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26.3757, 14.6895, 11.7005</w:t>
            </w:r>
          </w:p>
        </w:tc>
      </w:tr>
      <w:tr>
        <w:trPr>
          <w:trHeight w:val="444" w:hRule="atLeast"/>
        </w:trPr>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PHEV</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Electric range, ep (KW), Mt</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10.4589, 1.8985, 0.3319</w:t>
            </w:r>
          </w:p>
        </w:tc>
      </w:tr>
      <w:tr>
        <w:trPr>
          <w:trHeight w:val="360" w:hRule="atLeast"/>
        </w:trPr>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Hybrid</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ep (KW), Mt, ec (cm3)</w:t>
            </w:r>
          </w:p>
        </w:tc>
        <w:tc>
          <w:tcPr>
            <w:tcW w:w="3312" w:type="dxa"/>
            <w:tcBorders/>
            <w:vAlign w:val="cente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14.6276, 10.9463, 7.5671</w:t>
            </w:r>
          </w:p>
        </w:tc>
      </w:tr>
    </w:tbl>
    <w:p>
      <w:pPr>
        <w:pStyle w:val="Normal"/>
        <w:rPr/>
      </w:pPr>
      <w:r>
        <w:rPr/>
      </w:r>
    </w:p>
    <w:p>
      <w:pPr>
        <w:pStyle w:val="Normal"/>
        <w:jc w:val="both"/>
        <w:rPr>
          <w:rFonts w:ascii="Arial" w:hAnsi="Arial" w:cs="Arial" w:asciiTheme="majorHAnsi" w:cstheme="majorHAnsi" w:hAnsiTheme="majorHAnsi"/>
          <w:szCs w:val="20"/>
        </w:rPr>
      </w:pPr>
      <w:r>
        <w:rPr>
          <w:rFonts w:cs="Arial" w:cstheme="majorHAnsi" w:ascii="Arial" w:hAnsi="Arial"/>
          <w:szCs w:val="20"/>
        </w:rPr>
        <w:t>These are predictive importance measures rather than causal effects. Electric range is strongly associated with PHEV operating and homologation behaviour, but it does not fully describe high-performance PHEVs.</w:t>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Normal"/>
        <w:jc w:val="both"/>
        <w:rPr>
          <w:rFonts w:ascii="Arial" w:hAnsi="Arial" w:cs="Arial" w:asciiTheme="majorHAnsi" w:cstheme="majorHAnsi" w:hAnsiTheme="majorHAnsi"/>
          <w:szCs w:val="20"/>
        </w:rPr>
      </w:pPr>
      <w:r>
        <w:rPr>
          <w:rFonts w:cs="Arial" w:cstheme="majorHAnsi" w:ascii="Arial" w:hAnsi="Arial"/>
          <w:szCs w:val="20"/>
        </w:rPr>
      </w:r>
    </w:p>
    <w:p>
      <w:pPr>
        <w:pStyle w:val="Heading1"/>
        <w:rPr/>
      </w:pPr>
      <w:r>
        <w:rPr/>
        <w:t>4</w:t>
      </w:r>
      <w:r>
        <w:rPr/>
        <w:t>. Error Analysis</w:t>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t>Residual Analysis:</w:t>
      </w:r>
    </w:p>
    <w:p>
      <w:pPr>
        <w:pStyle w:val="Normal"/>
        <w:jc w:val="both"/>
        <w:rPr>
          <w:rFonts w:ascii="Arial" w:hAnsi="Arial" w:cs="Arial" w:asciiTheme="majorHAnsi" w:cstheme="majorHAnsi" w:hAnsiTheme="majorHAnsi"/>
          <w:szCs w:val="20"/>
        </w:rPr>
      </w:pPr>
      <w:r>
        <w:rPr>
          <w:rFonts w:cs="Arial" w:cstheme="majorHAnsi" w:ascii="Arial" w:hAnsi="Arial"/>
          <w:szCs w:val="20"/>
        </w:rPr>
        <w:t>Residuals were defined as actual CO₂ minus predicted CO₂. Positive residuals indicate underprediction and negative residuals indicate overprediction. Mono and Hybrid residuals were mostly concentrated around zero, while PHEV residuals showed a wider spread and many large positive values.</w:t>
      </w:r>
    </w:p>
    <w:p>
      <w:pPr>
        <w:pStyle w:val="Normal"/>
        <w:jc w:val="both"/>
        <w:rPr>
          <w:rFonts w:ascii="Arial" w:hAnsi="Arial" w:cs="Arial" w:asciiTheme="majorHAnsi" w:cstheme="majorHAnsi" w:hAnsiTheme="majorHAnsi"/>
          <w:szCs w:val="20"/>
        </w:rPr>
      </w:pPr>
      <w:r>
        <w:rPr>
          <w:rFonts w:cs="Arial" w:cstheme="majorHAnsi" w:ascii="Arial" w:hAnsi="Arial"/>
          <w:szCs w:val="20"/>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486400" cy="258889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5"/>
                    <a:stretch>
                      <a:fillRect/>
                    </a:stretch>
                  </pic:blipFill>
                  <pic:spPr bwMode="auto">
                    <a:xfrm>
                      <a:off x="0" y="0"/>
                      <a:ext cx="5486400" cy="2588895"/>
                    </a:xfrm>
                    <a:prstGeom prst="rect">
                      <a:avLst/>
                    </a:prstGeom>
                    <a:noFill/>
                  </pic:spPr>
                </pic:pic>
              </a:graphicData>
            </a:graphic>
          </wp:anchor>
        </w:drawing>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t>Largest Prediction Errors:</w:t>
      </w:r>
    </w:p>
    <w:p>
      <w:pPr>
        <w:pStyle w:val="Normal"/>
        <w:jc w:val="both"/>
        <w:rPr>
          <w:rFonts w:ascii="Arial" w:hAnsi="Arial" w:cs="Arial" w:asciiTheme="majorHAnsi" w:cstheme="majorHAnsi" w:hAnsiTheme="majorHAnsi"/>
          <w:szCs w:val="20"/>
        </w:rPr>
      </w:pPr>
      <w:r>
        <w:rPr>
          <w:rFonts w:cs="Arial" w:cstheme="majorHAnsi" w:ascii="Arial" w:hAnsi="Arial"/>
          <w:szCs w:val="20"/>
        </w:rPr>
        <w:t>The largest Mono error was 74.16 g/km: actual emissions were 369.0 g/km and the prediction was 443.16 g/km for a seen configuration. The largest PHEV error was 87.44 g/km for an unseen configuration with actual emissions of 140.0 g/km and a prediction of 52.56 g/km. The largest Hybrid error was 41.95 g/km for a seen configuration with actual emissions of 219.0 g/km and a prediction of 177.05 g/km.</w:t>
      </w:r>
    </w:p>
    <w:p>
      <w:pPr>
        <w:pStyle w:val="Normal"/>
        <w:jc w:val="both"/>
        <w:rPr>
          <w:rFonts w:ascii="Arial" w:hAnsi="Arial" w:cs="Arial" w:asciiTheme="majorHAnsi" w:cstheme="majorHAnsi" w:hAnsiTheme="majorHAnsi"/>
          <w:szCs w:val="20"/>
        </w:rPr>
      </w:pPr>
      <w:r>
        <w:rPr>
          <w:rFonts w:cs="Arial" w:cstheme="majorHAnsi" w:ascii="Arial" w:hAnsi="Arial"/>
          <w:szCs w:val="20"/>
        </w:rPr>
        <w:t xml:space="preserve">PHEV fuel-type analysis confirmed systematic </w:t>
      </w:r>
      <w:r>
        <w:rPr>
          <w:rFonts w:cs="Arial" w:cstheme="majorHAnsi" w:ascii="Arial" w:hAnsi="Arial"/>
          <w:b/>
          <w:bCs/>
          <w:szCs w:val="20"/>
        </w:rPr>
        <w:t>underprediction</w:t>
      </w:r>
      <w:r>
        <w:rPr>
          <w:rFonts w:cs="Arial" w:cstheme="majorHAnsi" w:ascii="Arial" w:hAnsi="Arial"/>
          <w:szCs w:val="20"/>
        </w:rPr>
        <w:t>. Petrol/electric PHEVs had mean actual emissions of 36.5780 g/km, mean predictions of 27.3795 g/km, mean residual +9.1985 g/km and RMSE 20.6618 g/km. Diesel/electric PHEVs had mean residual +9.0703 g/km and RMSE 18.0744 g/km.</w:t>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r>
    </w:p>
    <w:p>
      <w:pPr>
        <w:pStyle w:val="Normal"/>
        <w:jc w:val="both"/>
        <w:rPr>
          <w:rFonts w:ascii="Arial" w:hAnsi="Arial" w:cs="Arial" w:asciiTheme="majorHAnsi" w:cstheme="majorHAnsi" w:hAnsiTheme="majorHAnsi"/>
          <w:szCs w:val="20"/>
        </w:rPr>
      </w:pPr>
      <w:r>
        <w:rPr>
          <w:rFonts w:cs="Arial" w:cstheme="majorHAnsi" w:ascii="Arial" w:hAnsi="Arial"/>
          <w:b/>
          <w:bCs/>
          <w:szCs w:val="20"/>
        </w:rPr>
        <w:t xml:space="preserve">Actual vs. predicted </w:t>
      </w:r>
      <w:r>
        <w:rPr>
          <w:rFonts w:cs="Arial" w:cstheme="majorHAnsi" w:ascii="Arial" w:hAnsi="Arial"/>
          <w:b/>
          <w:bCs/>
          <w:szCs w:val="20"/>
        </w:rPr>
        <w:t>CO2 Emissions</w:t>
      </w:r>
      <w:r>
        <w:rPr>
          <w:rFonts w:cs="Arial" w:cstheme="majorHAnsi" w:ascii="Arial" w:hAnsi="Arial"/>
          <w:b/>
          <w:bCs/>
          <w:szCs w:val="20"/>
        </w:rPr>
        <w:t>:</w:t>
      </w:r>
    </w:p>
    <w:p>
      <w:pPr>
        <w:pStyle w:val="Normal"/>
        <w:jc w:val="both"/>
        <w:rPr>
          <w:rFonts w:ascii="Arial" w:hAnsi="Arial" w:cs="Arial" w:asciiTheme="majorHAnsi" w:cstheme="majorHAnsi" w:hAnsiTheme="majorHAnsi"/>
          <w:szCs w:val="20"/>
        </w:rPr>
      </w:pPr>
      <w:r>
        <w:rPr>
          <w:rFonts w:cs="Arial" w:cstheme="majorHAnsi" w:ascii="Arial" w:hAnsi="Arial"/>
          <w:b/>
          <w:bCs/>
          <w:szCs w:val="20"/>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2633980"/>
            <wp:effectExtent l="0" t="0" r="0" b="0"/>
            <wp:wrapSquare wrapText="largest"/>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6"/>
                    <a:stretch>
                      <a:fillRect/>
                    </a:stretch>
                  </pic:blipFill>
                  <pic:spPr bwMode="auto">
                    <a:xfrm>
                      <a:off x="0" y="0"/>
                      <a:ext cx="5486400" cy="2633980"/>
                    </a:xfrm>
                    <a:prstGeom prst="rect">
                      <a:avLst/>
                    </a:prstGeom>
                    <a:noFill/>
                  </pic:spPr>
                </pic:pic>
              </a:graphicData>
            </a:graphic>
          </wp:anchor>
        </w:drawing>
      </w:r>
    </w:p>
    <w:p>
      <w:pPr>
        <w:pStyle w:val="Normal"/>
        <w:bidi w:val="0"/>
        <w:jc w:val="both"/>
        <w:rPr>
          <w:rFonts w:ascii="Arial" w:hAnsi="Arial" w:cs="Arial" w:asciiTheme="majorHAnsi" w:cstheme="majorHAnsi" w:hAnsiTheme="majorHAnsi"/>
          <w:szCs w:val="20"/>
        </w:rPr>
      </w:pPr>
      <w:r>
        <w:rPr>
          <w:rFonts w:cs="Arial" w:cstheme="majorHAnsi" w:ascii="Arial" w:hAnsi="Arial"/>
          <w:szCs w:val="20"/>
        </w:rPr>
        <w:t>The scatter plot compares the actual and predicted WLTP CO₂ emissions for the 2025 temporal test set. The red dashed line represents perfect predictions, where the predicted value is equal to the actual value.</w:t>
      </w:r>
    </w:p>
    <w:p>
      <w:pPr>
        <w:pStyle w:val="Normal"/>
        <w:bidi w:val="0"/>
        <w:jc w:val="both"/>
        <w:rPr>
          <w:rFonts w:ascii="Arial" w:hAnsi="Arial" w:cs="Arial" w:asciiTheme="majorHAnsi" w:cstheme="majorHAnsi" w:hAnsiTheme="majorHAnsi"/>
          <w:szCs w:val="20"/>
        </w:rPr>
      </w:pPr>
      <w:r>
        <w:rPr>
          <w:rFonts w:cs="Arial" w:cstheme="majorHAnsi" w:ascii="Arial" w:hAnsi="Arial"/>
          <w:szCs w:val="20"/>
        </w:rPr>
        <w:t>The Mono and Hybrid models showed strong agreement between actual and predicted WLTP CO₂ emissions, with most observations concentrated close to the perfect-prediction line. Prediction errors increased slightly for high-emission vehicles, where relatively few observations were available.</w:t>
      </w:r>
    </w:p>
    <w:p>
      <w:pPr>
        <w:pStyle w:val="Normal"/>
        <w:bidi w:val="0"/>
        <w:jc w:val="both"/>
        <w:rPr>
          <w:rFonts w:ascii="Arial" w:hAnsi="Arial" w:cs="Arial" w:asciiTheme="majorHAnsi" w:cstheme="majorHAnsi" w:hAnsiTheme="majorHAnsi"/>
          <w:szCs w:val="20"/>
        </w:rPr>
      </w:pPr>
      <w:r>
        <w:rPr>
          <w:rFonts w:cs="Arial" w:cstheme="majorHAnsi" w:ascii="Arial" w:hAnsi="Arial"/>
          <w:szCs w:val="20"/>
        </w:rPr>
        <w:t>The PHEV model showed a wider error distribution and a clear tendency to underpredict CO₂ emissions for some vehicles. Several observations with moderate or high actual emissions were predicted substantially below the perfect-prediction line. This result is consistent with the segment-level error analysis, which identified unseen and high-performance petrol/electric PHEV configurations as the main source of large prediction errors.</w:t>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t>Distribution of Absolute Prediction Errors:</w:t>
      </w:r>
    </w:p>
    <w:p>
      <w:pPr>
        <w:pStyle w:val="Normal"/>
        <w:jc w:val="both"/>
        <w:rPr>
          <w:rFonts w:ascii="Arial" w:hAnsi="Arial" w:cs="Arial" w:asciiTheme="majorHAnsi" w:cstheme="majorHAnsi" w:hAnsiTheme="majorHAnsi"/>
          <w:b/>
          <w:bCs/>
          <w:szCs w:val="20"/>
        </w:rPr>
      </w:pPr>
      <w:r>
        <w:rPr>
          <w:rFonts w:cs="Arial" w:cstheme="majorHAnsi" w:ascii="Arial" w:hAnsi="Arial"/>
          <w:b/>
          <w:bCs/>
          <w:szCs w:val="20"/>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486400" cy="215138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7"/>
                    <a:stretch>
                      <a:fillRect/>
                    </a:stretch>
                  </pic:blipFill>
                  <pic:spPr bwMode="auto">
                    <a:xfrm>
                      <a:off x="0" y="0"/>
                      <a:ext cx="5486400" cy="2151380"/>
                    </a:xfrm>
                    <a:prstGeom prst="rect">
                      <a:avLst/>
                    </a:prstGeom>
                    <a:noFill/>
                  </pic:spPr>
                </pic:pic>
              </a:graphicData>
            </a:graphic>
          </wp:anchor>
        </w:drawing>
      </w:r>
    </w:p>
    <w:tbl>
      <w:tblPr>
        <w:tblW w:w="5000" w:type="pct"/>
        <w:jc w:val="start"/>
        <w:tblInd w:w="-5" w:type="dxa"/>
        <w:tblLayout w:type="fixed"/>
        <w:tblCellMar>
          <w:top w:w="0" w:type="dxa"/>
          <w:start w:w="108" w:type="dxa"/>
          <w:bottom w:w="0" w:type="dxa"/>
          <w:end w:w="108" w:type="dxa"/>
        </w:tblCellMar>
      </w:tblPr>
      <w:tblGrid>
        <w:gridCol w:w="2160"/>
        <w:gridCol w:w="2160"/>
        <w:gridCol w:w="2160"/>
        <w:gridCol w:w="2160"/>
      </w:tblGrid>
      <w:tr>
        <w:trPr/>
        <w:tc>
          <w:tcPr>
            <w:tcW w:w="2160"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cs=""/>
                <w:b/>
              </w:rPr>
            </w:pPr>
            <w:r>
              <w:rPr>
                <w:rFonts w:eastAsia="ＭＳ 明朝" w:cs=""/>
                <w:b/>
              </w:rPr>
              <w:t>Model</w:t>
            </w:r>
          </w:p>
        </w:tc>
        <w:tc>
          <w:tcPr>
            <w:tcW w:w="2160"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cs=""/>
                <w:b/>
              </w:rPr>
            </w:pPr>
            <w:r>
              <w:rPr>
                <w:rFonts w:eastAsia="ＭＳ 明朝" w:cs=""/>
                <w:b/>
              </w:rPr>
              <w:t>Metric</w:t>
            </w:r>
          </w:p>
        </w:tc>
        <w:tc>
          <w:tcPr>
            <w:tcW w:w="2160" w:type="dxa"/>
            <w:tcBorders>
              <w:top w:val="single" w:sz="4" w:space="0" w:color="000000"/>
              <w:start w:val="single" w:sz="4" w:space="0" w:color="000000"/>
              <w:bottom w:val="single" w:sz="4" w:space="0" w:color="000000"/>
            </w:tcBorders>
            <w:shd w:fill="D9EAF7" w:val="clear"/>
          </w:tcPr>
          <w:p>
            <w:pPr>
              <w:pStyle w:val="Normal"/>
              <w:suppressAutoHyphens w:val="true"/>
              <w:spacing w:lineRule="auto" w:line="240" w:before="0" w:after="0"/>
              <w:rPr>
                <w:rFonts w:eastAsia="ＭＳ 明朝" w:cs=""/>
                <w:b/>
              </w:rPr>
            </w:pPr>
            <w:r>
              <w:rPr>
                <w:rFonts w:eastAsia="ＭＳ 明朝" w:cs=""/>
                <w:b/>
              </w:rPr>
              <w:t>Value</w:t>
            </w:r>
          </w:p>
        </w:tc>
        <w:tc>
          <w:tcPr>
            <w:tcW w:w="2160" w:type="dxa"/>
            <w:tcBorders>
              <w:top w:val="single" w:sz="4" w:space="0" w:color="000000"/>
              <w:start w:val="single" w:sz="4" w:space="0" w:color="000000"/>
              <w:bottom w:val="single" w:sz="4" w:space="0" w:color="000000"/>
              <w:end w:val="single" w:sz="4" w:space="0" w:color="000000"/>
            </w:tcBorders>
            <w:shd w:fill="D9EAF7" w:val="clear"/>
          </w:tcPr>
          <w:p>
            <w:pPr>
              <w:pStyle w:val="Normal"/>
              <w:suppressAutoHyphens w:val="true"/>
              <w:spacing w:lineRule="auto" w:line="240" w:before="0" w:after="0"/>
              <w:rPr>
                <w:rFonts w:eastAsia="ＭＳ 明朝" w:cs=""/>
                <w:b/>
              </w:rPr>
            </w:pPr>
            <w:r>
              <w:rPr>
                <w:rFonts w:eastAsia="ＭＳ 明朝" w:cs=""/>
                <w:b/>
              </w:rPr>
              <w:t>Unit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2.4300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5.1300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8.9400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12.4400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20.8900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74.1600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74.2700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92.2100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Mono</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98.7200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0.5300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2.1200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40.7400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49.4900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65.4000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87.4400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77.0300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77.5100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PHEV</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78.0000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50th percentile (Median)</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2.7200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75th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6.7700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90th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13.0900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95th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16.2400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99th percentile</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23.8700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Maximum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41.9500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g/km</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5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67.5700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10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83.8300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r>
        <w:trPr/>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Hybrid</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Error ≤ 20 g/km</w:t>
            </w:r>
          </w:p>
        </w:tc>
        <w:tc>
          <w:tcPr>
            <w:tcW w:w="2160" w:type="dxa"/>
            <w:tcBorders>
              <w:start w:val="single" w:sz="4" w:space="0" w:color="000000"/>
              <w:bottom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97.7600</w:t>
            </w:r>
          </w:p>
        </w:tc>
        <w:tc>
          <w:tcPr>
            <w:tcW w:w="2160" w:type="dxa"/>
            <w:tcBorders>
              <w:start w:val="single" w:sz="4" w:space="0" w:color="000000"/>
              <w:bottom w:val="single" w:sz="4" w:space="0" w:color="000000"/>
              <w:end w:val="single" w:sz="4" w:space="0" w:color="000000"/>
            </w:tcBorders>
            <w:tcMar>
              <w:top w:w="55" w:type="dxa"/>
              <w:start w:w="55" w:type="dxa"/>
              <w:bottom w:w="55" w:type="dxa"/>
              <w:end w:w="55" w:type="dxa"/>
            </w:tcMar>
          </w:tcPr>
          <w:p>
            <w:pPr>
              <w:pStyle w:val="Normal"/>
              <w:suppressAutoHyphens w:val="true"/>
              <w:spacing w:lineRule="auto" w:line="240" w:before="0" w:after="0"/>
              <w:rPr>
                <w:rFonts w:eastAsia="ＭＳ 明朝" w:cs=""/>
              </w:rPr>
            </w:pPr>
            <w:r>
              <w:rPr>
                <w:rFonts w:eastAsia="ＭＳ 明朝" w:cs=""/>
              </w:rPr>
              <w:t>%</w:t>
            </w:r>
          </w:p>
        </w:tc>
      </w:tr>
    </w:tbl>
    <w:p>
      <w:pPr>
        <w:pStyle w:val="Normal"/>
        <w:rPr/>
      </w:pPr>
      <w:r>
        <w:rPr/>
      </w:r>
    </w:p>
    <w:p>
      <w:pPr>
        <w:pStyle w:val="Heading1"/>
        <w:rPr/>
      </w:pPr>
      <w:r>
        <w:rPr/>
        <w:t xml:space="preserve">8. </w:t>
      </w:r>
      <w:r>
        <w:rPr/>
        <w:t xml:space="preserve">Final </w:t>
      </w:r>
      <w:r>
        <w:rPr/>
        <w:t>Conclusions and Recommendations</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WLTP emissions are strongly predictable from vehicle specifications, but performance depends on powertrain regime and configuration novelty.</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Use the extended specification set when electric range and IT indicators are available; retain the strict design-stage set for earlier estimates.</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Mono and Hybrid models generalised well, while unseen PHEV configurations remained the principal weakness.</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PHEV errors indicate that battery capacity, drivetrain architecture, vehicle version, aerodynamics and other homologation-relevant variables may be needed.</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ExtraTrees is the recommended primary model. The MLP is a documented complementary benchmark, not the accuracy leader.</w:t>
      </w:r>
    </w:p>
    <w:p>
      <w:pPr>
        <w:pStyle w:val="Normal"/>
        <w:numPr>
          <w:ilvl w:val="0"/>
          <w:numId w:val="8"/>
        </w:numPr>
        <w:jc w:val="both"/>
        <w:rPr>
          <w:rFonts w:ascii="Arial" w:hAnsi="Arial" w:cs="Arial" w:asciiTheme="majorHAnsi" w:cstheme="majorHAnsi" w:hAnsiTheme="majorHAnsi"/>
          <w:szCs w:val="20"/>
        </w:rPr>
      </w:pPr>
      <w:r>
        <w:rPr>
          <w:rFonts w:cs="Arial" w:cstheme="majorHAnsi" w:ascii="Arial" w:hAnsi="Arial"/>
          <w:szCs w:val="20"/>
        </w:rPr>
        <w:t>Always report results by configuration novelty, fuel type, fuel mode and error tail rather than relying only on aggregate metrics.</w:t>
      </w:r>
    </w:p>
    <w:p>
      <w:pPr>
        <w:pStyle w:val="Normal"/>
        <w:bidi w:val="0"/>
        <w:spacing w:before="0" w:after="200"/>
        <w:jc w:val="both"/>
        <w:rPr>
          <w:rFonts w:ascii="Arial" w:hAnsi="Arial" w:cs="Arial" w:asciiTheme="majorHAnsi" w:cstheme="majorHAnsi" w:hAnsiTheme="majorHAnsi"/>
          <w:szCs w:val="20"/>
        </w:rPr>
      </w:pPr>
      <w:r>
        <w:rPr>
          <w:rFonts w:cs="Arial" w:cstheme="majorHAnsi" w:ascii="Arial" w:hAnsi="Arial"/>
          <w:szCs w:val="20"/>
        </w:rPr>
        <w:t>Recommended safeguards include prediction intervals, monitoring by powertrain and novelty status, periodic retraining with new model years, explicit feature-availability documentation and a stricter future benchmark based on unseen vehicle families or manufacturers.</w:t>
      </w:r>
    </w:p>
    <w:sectPr>
      <w:footerReference w:type="even" r:id="rId8"/>
      <w:footerReference w:type="default" r:id="rId9"/>
      <w:footerReference w:type="first" r:id="rId10"/>
      <w:type w:val="nextPage"/>
      <w:pgSz w:w="12240" w:h="15840"/>
      <w:pgMar w:left="1800" w:right="1800" w:gutter="0" w:header="0" w:top="1440" w:footer="0" w:bottom="144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swiss"/>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Liberation Mono">
    <w:altName w:val="Courier New"/>
    <w:charset w:val="01"/>
    <w:family w:val="swiss"/>
    <w:pitch w:val="variable"/>
  </w:font>
  <w:font w:name="Arial">
    <w:charset w:val="01"/>
    <w:family w:val="swiss"/>
    <w:pitch w:val="variable"/>
  </w:font>
  <w:font w:name="Cambria Math">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69496992"/>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22</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MS Mincho" w:cs="Tahoma"/>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MS Mincho" w:cs="Tahoma"/>
      <w:color w:val="auto"/>
      <w:kern w:val="0"/>
      <w:sz w:val="20"/>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eastAsia="MS Gothic"/>
      <w:b/>
      <w:bCs/>
      <w:color w:themeColor="accent1" w:themeShade="bf" w:val="365F91"/>
      <w:sz w:val="28"/>
      <w:szCs w:val="28"/>
    </w:rPr>
  </w:style>
  <w:style w:type="paragraph" w:styleId="Heading2">
    <w:name w:val="heading 2"/>
    <w:basedOn w:val="Normal"/>
    <w:next w:val="Normal"/>
    <w:link w:val="Heading2Char"/>
    <w:uiPriority w:val="9"/>
    <w:semiHidden/>
    <w:unhideWhenUsed/>
    <w:qFormat/>
    <w:pPr>
      <w:keepNext w:val="true"/>
      <w:keepLines/>
      <w:spacing w:before="200" w:after="0"/>
      <w:outlineLvl w:val="1"/>
    </w:pPr>
    <w:rPr>
      <w:rFonts w:eastAsia="MS Gothic"/>
      <w:b/>
      <w:bCs/>
      <w:color w:themeColor="accent1" w:val="4F81BD"/>
      <w:sz w:val="26"/>
      <w:szCs w:val="26"/>
    </w:rPr>
  </w:style>
  <w:style w:type="paragraph" w:styleId="Heading3">
    <w:name w:val="heading 3"/>
    <w:basedOn w:val="Normal"/>
    <w:next w:val="Normal"/>
    <w:link w:val="Heading3Char"/>
    <w:uiPriority w:val="9"/>
    <w:semiHidden/>
    <w:unhideWhenUsed/>
    <w:qFormat/>
    <w:pPr>
      <w:keepNext w:val="true"/>
      <w:keepLines/>
      <w:spacing w:before="200" w:after="0"/>
      <w:outlineLvl w:val="2"/>
    </w:pPr>
    <w:rPr>
      <w:rFonts w:eastAsia="MS Gothic"/>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eastAsia="MS Gothic"/>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eastAsia="MS Gothic"/>
      <w:color w:themeColor="accent1" w:themeShade="7f" w:val="243F60"/>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eastAsia="MS Gothic"/>
      <w:i/>
      <w:iCs/>
      <w:color w:themeColor="accent1" w:themeShade="7f" w:val="243F60"/>
    </w:rPr>
  </w:style>
  <w:style w:type="paragraph" w:styleId="Heading7">
    <w:name w:val="heading 7"/>
    <w:basedOn w:val="Normal"/>
    <w:next w:val="Normal"/>
    <w:link w:val="Heading7Char"/>
    <w:qFormat/>
    <w:pPr>
      <w:keepNext w:val="true"/>
      <w:keepLines/>
      <w:spacing w:before="200" w:after="0"/>
      <w:outlineLvl w:val="6"/>
    </w:pPr>
    <w:rPr>
      <w:rFonts w:eastAsia="MS Gothic"/>
      <w:i/>
      <w:iCs/>
      <w:color w:themeColor="dark1" w:themeTint="bf" w:val="404040"/>
    </w:rPr>
  </w:style>
  <w:style w:type="paragraph" w:styleId="Heading8">
    <w:name w:val="heading 8"/>
    <w:basedOn w:val="Normal"/>
    <w:next w:val="Normal"/>
    <w:link w:val="Heading8Char"/>
    <w:qFormat/>
    <w:pPr>
      <w:keepNext w:val="true"/>
      <w:keepLines/>
      <w:spacing w:before="200" w:after="0"/>
      <w:outlineLvl w:val="7"/>
    </w:pPr>
    <w:rPr>
      <w:rFonts w:eastAsia="MS Gothic"/>
      <w:color w:themeColor="accent1" w:val="4F81BD"/>
      <w:szCs w:val="20"/>
    </w:rPr>
  </w:style>
  <w:style w:type="paragraph" w:styleId="Heading9">
    <w:name w:val="heading 9"/>
    <w:basedOn w:val="Normal"/>
    <w:next w:val="Normal"/>
    <w:link w:val="Heading9Char"/>
    <w:qFormat/>
    <w:pPr>
      <w:keepNext w:val="true"/>
      <w:keepLines/>
      <w:spacing w:before="200" w:after="0"/>
      <w:outlineLvl w:val="8"/>
    </w:pPr>
    <w:rPr>
      <w:rFonts w:eastAsia="MS Gothic"/>
      <w:i/>
      <w:iCs/>
      <w:color w:themeColor="dark1" w:themeTint="bf" w:val="404040"/>
      <w:szCs w:val="20"/>
    </w:rPr>
  </w:style>
  <w:style w:type="character" w:styleId="DefaultParagraphFont" w:default="1">
    <w:name w:val="Default Paragraph Font"/>
    <w:uiPriority w:val="1"/>
    <w:unhideWhenUsed/>
    <w:rPr/>
  </w:style>
  <w:style w:type="character" w:styleId="HeaderChar" w:customStyle="1">
    <w:name w:val="Header Char"/>
    <w:basedOn w:val="DefaultParagraphFont"/>
    <w:link w:val="Header"/>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qFormat/>
    <w:rPr>
      <w:rFonts w:ascii="Calibri" w:hAnsi="Calibri" w:eastAsia="MS Gothic" w:cs="Tahoma"/>
      <w:b/>
      <w:bCs/>
      <w:color w:themeColor="accent1" w:themeShade="bf" w:val="365F91"/>
      <w:sz w:val="28"/>
      <w:szCs w:val="28"/>
    </w:rPr>
  </w:style>
  <w:style w:type="character" w:styleId="Heading2Char" w:customStyle="1">
    <w:name w:val="Heading 2 Char"/>
    <w:basedOn w:val="DefaultParagraphFont"/>
    <w:link w:val="Heading2"/>
    <w:qFormat/>
    <w:rPr>
      <w:rFonts w:ascii="Calibri" w:hAnsi="Calibri" w:eastAsia="MS Gothic" w:cs="Tahoma"/>
      <w:b/>
      <w:bCs/>
      <w:color w:themeColor="accent1" w:val="4F81BD"/>
      <w:sz w:val="26"/>
      <w:szCs w:val="26"/>
    </w:rPr>
  </w:style>
  <w:style w:type="character" w:styleId="Heading3Char" w:customStyle="1">
    <w:name w:val="Heading 3 Char"/>
    <w:basedOn w:val="DefaultParagraphFont"/>
    <w:link w:val="Heading3"/>
    <w:qFormat/>
    <w:rPr>
      <w:rFonts w:ascii="Calibri" w:hAnsi="Calibri" w:eastAsia="MS Gothic" w:cs="Tahoma"/>
      <w:b/>
      <w:bCs/>
      <w:color w:themeColor="accent1" w:val="4F81BD"/>
    </w:rPr>
  </w:style>
  <w:style w:type="character" w:styleId="TitleChar" w:customStyle="1">
    <w:name w:val="Title Char"/>
    <w:basedOn w:val="DefaultParagraphFont"/>
    <w:link w:val="Title"/>
    <w:qFormat/>
    <w:rPr>
      <w:rFonts w:ascii="Calibri" w:hAnsi="Calibri" w:eastAsia="MS Gothic" w:cs="Tahoma"/>
      <w:color w:themeColor="dark2" w:themeShade="bf" w:val="17365D"/>
      <w:spacing w:val="5"/>
      <w:kern w:val="2"/>
      <w:sz w:val="52"/>
      <w:szCs w:val="52"/>
    </w:rPr>
  </w:style>
  <w:style w:type="character" w:styleId="SubtitleChar" w:customStyle="1">
    <w:name w:val="Subtitle Char"/>
    <w:basedOn w:val="DefaultParagraphFont"/>
    <w:link w:val="Subtitle"/>
    <w:qFormat/>
    <w:rPr>
      <w:rFonts w:ascii="Calibri" w:hAnsi="Calibri" w:eastAsia="MS Gothic" w:cs="Tahoma"/>
      <w:i/>
      <w:iCs/>
      <w:color w:themeColor="accent1" w:val="4F81BD"/>
      <w:spacing w:val="15"/>
      <w:sz w:val="24"/>
      <w:szCs w:val="24"/>
    </w:rPr>
  </w:style>
  <w:style w:type="character" w:styleId="BodyTextChar" w:customStyle="1">
    <w:name w:val="Body Text Char"/>
    <w:basedOn w:val="DefaultParagraphFont"/>
    <w:qFormat/>
    <w:rPr/>
  </w:style>
  <w:style w:type="character" w:styleId="BodyText2Char" w:customStyle="1">
    <w:name w:val="Body Text 2 Char"/>
    <w:basedOn w:val="DefaultParagraphFont"/>
    <w:link w:val="BodyText2"/>
    <w:qFormat/>
    <w:rPr/>
  </w:style>
  <w:style w:type="character" w:styleId="BodyText3Char" w:customStyle="1">
    <w:name w:val="Body Text 3 Char"/>
    <w:basedOn w:val="DefaultParagraphFont"/>
    <w:link w:val="BodyText3"/>
    <w:qFormat/>
    <w:rPr>
      <w:sz w:val="16"/>
      <w:szCs w:val="16"/>
    </w:rPr>
  </w:style>
  <w:style w:type="character" w:styleId="MacroTextChar" w:customStyle="1">
    <w:name w:val="Macro Text Char"/>
    <w:basedOn w:val="DefaultParagraphFont"/>
    <w:link w:val="MacroText"/>
    <w:qFormat/>
    <w:rPr>
      <w:rFonts w:ascii="Courier" w:hAnsi="Courier"/>
      <w:sz w:val="20"/>
      <w:szCs w:val="20"/>
    </w:rPr>
  </w:style>
  <w:style w:type="character" w:styleId="QuoteChar" w:customStyle="1">
    <w:name w:val="Quote Char"/>
    <w:basedOn w:val="DefaultParagraphFont"/>
    <w:link w:val="Quote"/>
    <w:qFormat/>
    <w:rPr>
      <w:i/>
      <w:iCs/>
      <w:color w:themeColor="dark1" w:val="000000"/>
    </w:rPr>
  </w:style>
  <w:style w:type="character" w:styleId="Heading4Char" w:customStyle="1">
    <w:name w:val="Heading 4 Char"/>
    <w:basedOn w:val="DefaultParagraphFont"/>
    <w:link w:val="Heading4"/>
    <w:qFormat/>
    <w:rPr>
      <w:rFonts w:ascii="Calibri" w:hAnsi="Calibri" w:eastAsia="MS Gothic" w:cs="Tahoma"/>
      <w:b/>
      <w:bCs/>
      <w:i/>
      <w:iCs/>
      <w:color w:themeColor="accent1" w:val="4F81BD"/>
    </w:rPr>
  </w:style>
  <w:style w:type="character" w:styleId="Heading5Char" w:customStyle="1">
    <w:name w:val="Heading 5 Char"/>
    <w:basedOn w:val="DefaultParagraphFont"/>
    <w:link w:val="Heading5"/>
    <w:qFormat/>
    <w:rPr>
      <w:rFonts w:ascii="Calibri" w:hAnsi="Calibri" w:eastAsia="MS Gothic" w:cs="Tahoma"/>
      <w:color w:themeColor="accent1" w:themeShade="7f" w:val="243F60"/>
    </w:rPr>
  </w:style>
  <w:style w:type="character" w:styleId="Heading6Char" w:customStyle="1">
    <w:name w:val="Heading 6 Char"/>
    <w:basedOn w:val="DefaultParagraphFont"/>
    <w:link w:val="Heading6"/>
    <w:qFormat/>
    <w:rPr>
      <w:rFonts w:ascii="Calibri" w:hAnsi="Calibri" w:eastAsia="MS Gothic" w:cs="Tahoma"/>
      <w:i/>
      <w:iCs/>
      <w:color w:themeColor="accent1" w:themeShade="7f" w:val="243F60"/>
    </w:rPr>
  </w:style>
  <w:style w:type="character" w:styleId="Heading7Char" w:customStyle="1">
    <w:name w:val="Heading 7 Char"/>
    <w:basedOn w:val="DefaultParagraphFont"/>
    <w:link w:val="Heading7"/>
    <w:qFormat/>
    <w:rPr>
      <w:rFonts w:ascii="Calibri" w:hAnsi="Calibri" w:eastAsia="MS Gothic" w:cs="Tahoma"/>
      <w:i/>
      <w:iCs/>
      <w:color w:themeColor="dark1" w:themeTint="bf" w:val="404040"/>
    </w:rPr>
  </w:style>
  <w:style w:type="character" w:styleId="Heading8Char" w:customStyle="1">
    <w:name w:val="Heading 8 Char"/>
    <w:basedOn w:val="DefaultParagraphFont"/>
    <w:link w:val="Heading8"/>
    <w:qFormat/>
    <w:rPr>
      <w:rFonts w:ascii="Calibri" w:hAnsi="Calibri" w:eastAsia="MS Gothic" w:cs="Tahoma"/>
      <w:color w:themeColor="accent1" w:val="4F81BD"/>
      <w:sz w:val="20"/>
      <w:szCs w:val="20"/>
    </w:rPr>
  </w:style>
  <w:style w:type="character" w:styleId="Heading9Char" w:customStyle="1">
    <w:name w:val="Heading 9 Char"/>
    <w:basedOn w:val="DefaultParagraphFont"/>
    <w:link w:val="Heading9"/>
    <w:qFormat/>
    <w:rPr>
      <w:rFonts w:ascii="Calibri" w:hAnsi="Calibri" w:eastAsia="MS Gothic"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customStyle="1">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oSpacingChar" w:customStyle="1">
    <w:name w:val="No Spacing Char"/>
    <w:basedOn w:val="DefaultParagraphFont"/>
    <w:link w:val="NoSpacing"/>
    <w:uiPriority w:val="1"/>
    <w:rsid w:val="00696d43"/>
    <w:rPr/>
  </w:style>
  <w:style w:type="character" w:styleId="Bullets">
    <w:name w:val="Bullets"/>
    <w:rPr>
      <w:rFonts w:ascii="OpenSymbol" w:hAnsi="OpenSymbol" w:eastAsia="OpenSymbol" w:cs="OpenSymbol"/>
    </w:rPr>
  </w:style>
  <w:style w:type="paragraph" w:styleId="Heading" w:customStyle="1">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customStyle="1">
    <w:name w:val="Index"/>
    <w:basedOn w:val="Normal"/>
    <w:qFormat/>
    <w:pPr>
      <w:suppressLineNumbers/>
    </w:pPr>
    <w:rPr>
      <w:rFonts w:cs="Arial Unicode MS"/>
    </w:rPr>
  </w:style>
  <w:style w:type="paragraph" w:styleId="HeaderandFooter" w:customStyle="1">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NoSpacing">
    <w:name w:val="No Spacing"/>
    <w:link w:val="NoSpacingChar"/>
    <w:uiPriority w:val="1"/>
    <w:qFormat/>
    <w:pPr>
      <w:widowControl/>
      <w:suppressAutoHyphens w:val="true"/>
      <w:bidi w:val="0"/>
      <w:spacing w:before="0" w:after="0"/>
      <w:jc w:val="start"/>
    </w:pPr>
    <w:rPr>
      <w:rFonts w:ascii="Cambria" w:hAnsi="Cambria" w:eastAsia="MS Mincho" w:cs="Tahoma"/>
      <w:color w:val="auto"/>
      <w:kern w:val="0"/>
      <w:sz w:val="22"/>
      <w:szCs w:val="22"/>
      <w:lang w:val="en-US" w:eastAsia="en-US" w:bidi="ar-SA"/>
    </w:rPr>
  </w:style>
  <w:style w:type="paragraph" w:styleId="Title">
    <w:name w:val="Title"/>
    <w:basedOn w:val="Normal"/>
    <w:next w:val="Normal"/>
    <w:link w:val="TitleChar"/>
    <w:uiPriority w:val="10"/>
    <w:qFormat/>
    <w:pPr>
      <w:pBdr>
        <w:bottom w:val="single" w:sz="8" w:space="4" w:color="4F81BD"/>
      </w:pBdr>
      <w:spacing w:lineRule="auto" w:line="240" w:before="0" w:after="300"/>
      <w:contextualSpacing/>
    </w:pPr>
    <w:rPr>
      <w:rFonts w:eastAsia="MS Gothic"/>
      <w:color w:themeColor="dark2" w:themeShade="bf" w:val="17365D"/>
      <w:spacing w:val="5"/>
      <w:kern w:val="2"/>
      <w:sz w:val="52"/>
      <w:szCs w:val="52"/>
    </w:rPr>
  </w:style>
  <w:style w:type="paragraph" w:styleId="Subtitle">
    <w:name w:val="Subtitle"/>
    <w:basedOn w:val="Normal"/>
    <w:next w:val="Normal"/>
    <w:link w:val="SubtitleChar"/>
    <w:uiPriority w:val="11"/>
    <w:qFormat/>
    <w:pPr/>
    <w:rPr>
      <w:rFonts w:eastAsia="MS Gothic"/>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1"/>
      </w:numPr>
      <w:spacing w:before="0" w:after="200"/>
      <w:contextualSpacing/>
    </w:pPr>
    <w:rPr/>
  </w:style>
  <w:style w:type="paragraph" w:styleId="ListBullet2">
    <w:name w:val="List Bullet 2"/>
    <w:basedOn w:val="Normal"/>
    <w:pPr>
      <w:numPr>
        <w:ilvl w:val="0"/>
        <w:numId w:val="2"/>
      </w:numPr>
      <w:spacing w:before="0" w:after="200"/>
      <w:contextualSpacing/>
    </w:pPr>
    <w:rPr/>
  </w:style>
  <w:style w:type="paragraph" w:styleId="ListBullet3">
    <w:name w:val="List Bullet 3"/>
    <w:basedOn w:val="Normal"/>
    <w:pPr>
      <w:numPr>
        <w:ilvl w:val="0"/>
        <w:numId w:val="3"/>
      </w:numPr>
      <w:spacing w:before="0" w:after="200"/>
      <w:contextualSpacing/>
    </w:pPr>
    <w:rPr/>
  </w:style>
  <w:style w:type="paragraph" w:styleId="ListNumber">
    <w:name w:val="List Number"/>
    <w:basedOn w:val="Normal"/>
    <w:pPr>
      <w:numPr>
        <w:ilvl w:val="0"/>
        <w:numId w:val="4"/>
      </w:numPr>
      <w:spacing w:before="0" w:after="200"/>
      <w:contextualSpacing/>
    </w:pPr>
    <w:rPr/>
  </w:style>
  <w:style w:type="paragraph" w:styleId="ListNumber2">
    <w:name w:val="List Number 2"/>
    <w:basedOn w:val="Normal"/>
    <w:pPr>
      <w:numPr>
        <w:ilvl w:val="0"/>
        <w:numId w:val="5"/>
      </w:numPr>
      <w:spacing w:before="0" w:after="200"/>
      <w:contextualSpacing/>
    </w:pPr>
    <w:rPr/>
  </w:style>
  <w:style w:type="paragraph" w:styleId="ListNumber3">
    <w:name w:val="List Number 3"/>
    <w:basedOn w:val="Normal"/>
    <w:pPr>
      <w:numPr>
        <w:ilvl w:val="0"/>
        <w:numId w:val="6"/>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MS Mincho" w:cs="Tahoma"/>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NormalWeb">
    <w:name w:val="Normal (Web)"/>
    <w:basedOn w:val="Normal"/>
    <w:uiPriority w:val="99"/>
    <w:semiHidden/>
    <w:unhideWhenUsed/>
    <w:rsid w:val="00696d43"/>
    <w:pPr/>
    <w:rPr>
      <w:rFonts w:ascii="Times New Roman" w:hAnsi="Times New Roman" w:cs="Times New Roman"/>
      <w:sz w:val="24"/>
      <w:szCs w:val="24"/>
    </w:rPr>
  </w:style>
  <w:style w:type="paragraph" w:styleId="FrameContents">
    <w:name w:val="Frame Contents"/>
    <w:basedOn w:val="Normal"/>
    <w:pPr/>
    <w:rPr/>
  </w:style>
  <w:style w:type="paragraph" w:styleId="FrameContentsuser">
    <w:name w:val="Frame Contents (user)"/>
    <w:basedOn w:val="Normal"/>
    <w:pPr/>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214</TotalTime>
  <Application>LibreOffice/26.8.0.3$MacOSX_AARCH64 LibreOffice_project/bce0998afefdbc355585ca324285661a2170ba77</Application>
  <AppVersion>15.0000</AppVersion>
  <Pages>23</Pages>
  <Words>4581</Words>
  <Characters>27812</Characters>
  <CharactersWithSpaces>31734</CharactersWithSpaces>
  <Paragraphs>645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2026-10-06T11:18:12Z</dcterms:modified>
  <cp:revision>40</cp:revision>
  <dc:subject>Ana M. Valencia,</dc:subject>
  <dc:title>Report on Step 3: Advanced Modeling, Interpretation and Conclusions</dc:title>
</cp:coreProperties>
</file>

<file path=docProps/custom.xml><?xml version="1.0" encoding="utf-8"?>
<Properties xmlns="http://schemas.openxmlformats.org/officeDocument/2006/custom-properties" xmlns:vt="http://schemas.openxmlformats.org/officeDocument/2006/docPropsVTypes"/>
</file>