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sz w:val="32"/>
          <w:szCs w:val="32"/>
        </w:rPr>
        <w:t xml:space="preserve">Лабораторна робота №4</w:t>
      </w:r>
    </w:p>
    <w:p>
      <w:pPr>
        <w:spacing w:after="100" w:before="0"/>
        <w:jc w:val="center"/>
      </w:pPr>
      <w:r>
        <w:rPr>
          <w:rFonts w:ascii="Arial" w:cs="Arial" w:eastAsia="Arial" w:hAnsi="Arial"/>
          <w:b/>
          <w:bCs/>
          <w:color w:val="2E75B6"/>
          <w:sz w:val="26"/>
          <w:szCs w:val="26"/>
        </w:rPr>
        <w:t xml:space="preserve">Risk Management &amp; Engineering Resilience</w:t>
      </w:r>
    </w:p>
    <w:p>
      <w:pPr>
        <w:spacing w:after="400" w:before="0"/>
        <w:jc w:val="center"/>
      </w:pPr>
      <w:r>
        <w:rPr>
          <w:rFonts w:ascii="Arial" w:cs="Arial" w:eastAsia="Arial" w:hAnsi="Arial"/>
          <w:i/>
          <w:iCs/>
          <w:sz w:val="22"/>
          <w:szCs w:val="22"/>
        </w:rPr>
        <w:t xml:space="preserve">Проєкт: BookOff  |  Стек: Flutter · Node.js · PostgreSQL · Redis · Docker · GitHub Actions</w:t>
      </w:r>
    </w:p>
    <w:p>
      <w:pPr>
        <w:pStyle w:val="Heading1"/>
        <w:spacing w:after="150" w:before="300"/>
      </w:pPr>
      <w:r>
        <w:rPr>
          <w:rFonts w:ascii="Arial" w:cs="Arial" w:eastAsia="Arial" w:hAnsi="Arial"/>
          <w:b/>
          <w:bCs/>
          <w:sz w:val="28"/>
          <w:szCs w:val="28"/>
        </w:rPr>
        <w:t xml:space="preserve">Завдання 1. Реєстр ідентифікованих ризиків</w:t>
      </w:r>
    </w:p>
    <w:p>
      <w:pPr>
        <w:spacing w:after="80" w:before="80"/>
      </w:pPr>
      <w:r>
        <w:rPr>
          <w:rFonts w:ascii="Arial" w:cs="Arial" w:eastAsia="Arial" w:hAnsi="Arial"/>
          <w:i/>
          <w:iCs/>
          <w:sz w:val="22"/>
          <w:szCs w:val="22"/>
        </w:rPr>
        <w:t xml:space="preserve">Шаблон: Через (ПРИЧИНА) може статися (ПОДІЯ), що призведе до (НАСЛІДОК).</w:t>
      </w:r>
    </w:p>
    <w:p>
      <w:r>
        <w:t xml:space="preserve"/>
      </w:r>
    </w:p>
    <w:p>
      <w:pPr>
        <w:pStyle w:val="Heading2"/>
        <w:spacing w:after="100" w:before="200"/>
      </w:pPr>
      <w:r>
        <w:rPr>
          <w:rFonts w:ascii="Arial" w:cs="Arial" w:eastAsia="Arial" w:hAnsi="Arial"/>
          <w:b/>
          <w:bCs/>
          <w:sz w:val="24"/>
          <w:szCs w:val="24"/>
        </w:rPr>
        <w:t xml:space="preserve">Технічні ризики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ID</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Формулювання ризику</w:t>
            </w:r>
          </w:p>
        </w:tc>
      </w:tr>
      <w:tr>
        <w:tc>
          <w:tcPr>
            <w:tcW w:type="dxa" w:w="700"/>
            <w:tcBorders>
              <w:top w:val="single" w:color="999999" w:sz="1"/>
              <w:left w:val="single" w:color="999999" w:sz="1"/>
              <w:bottom w:val="single" w:color="999999" w:sz="1"/>
              <w:right w:val="single" w:color="999999" w:sz="1"/>
            </w:tcBorders>
            <w:shd w:fill="E8F4E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T1</w:t>
            </w:r>
          </w:p>
        </w:tc>
        <w:tc>
          <w:tcPr>
            <w:tcW w:type="dxa" w:w="8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Через нестабільність стороннього сервісу Google Books API може статися збій або таймаут ендпоінту GET /api/books/search, що призведе до повної недоступності функції пошуку книг для користувачів.</w:t>
            </w:r>
          </w:p>
        </w:tc>
      </w:tr>
      <w:tr>
        <w:tc>
          <w:tcPr>
            <w:tcW w:type="dxa" w:w="700"/>
            <w:tcBorders>
              <w:top w:val="single" w:color="999999" w:sz="1"/>
              <w:left w:val="single" w:color="999999" w:sz="1"/>
              <w:bottom w:val="single" w:color="999999" w:sz="1"/>
              <w:right w:val="single" w:color="999999" w:sz="1"/>
            </w:tcBorders>
            <w:shd w:fill="E8F4E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T2</w:t>
            </w:r>
          </w:p>
        </w:tc>
        <w:tc>
          <w:tcPr>
            <w:tcW w:type="dxa" w:w="8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Через конфлікти версій ключових Flutter-залежностей (go_router, riverpod, flutter_secure_storage) при оновленні пакетів може статися неможливість компіляції мобільного додатку (build failure), що призведе до блокування роботи команди та затримки релізу спринту.</w:t>
            </w:r>
          </w:p>
        </w:tc>
      </w:tr>
      <w:tr>
        <w:tc>
          <w:tcPr>
            <w:tcW w:type="dxa" w:w="700"/>
            <w:tcBorders>
              <w:top w:val="single" w:color="999999" w:sz="1"/>
              <w:left w:val="single" w:color="999999" w:sz="1"/>
              <w:bottom w:val="single" w:color="999999" w:sz="1"/>
              <w:right w:val="single" w:color="999999" w:sz="1"/>
            </w:tcBorders>
            <w:shd w:fill="E8F4E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T3</w:t>
            </w:r>
          </w:p>
        </w:tc>
        <w:tc>
          <w:tcPr>
            <w:tcW w:type="dxa" w:w="8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Через відсутність або некоректне налаштування Redis-кешування може статися перевищення ліміту безкоштовних запитів до Google Books API, що призведе до блокування API-ключа та паралічу основного функціоналу додатку.</w:t>
            </w:r>
          </w:p>
        </w:tc>
      </w:tr>
      <w:tr>
        <w:tc>
          <w:tcPr>
            <w:tcW w:type="dxa" w:w="700"/>
            <w:tcBorders>
              <w:top w:val="single" w:color="999999" w:sz="1"/>
              <w:left w:val="single" w:color="999999" w:sz="1"/>
              <w:bottom w:val="single" w:color="999999" w:sz="1"/>
              <w:right w:val="single" w:color="999999" w:sz="1"/>
            </w:tcBorders>
            <w:shd w:fill="E8F4E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T4</w:t>
            </w:r>
          </w:p>
        </w:tc>
        <w:tc>
          <w:tcPr>
            <w:tcW w:type="dxa" w:w="8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Через некоректну обробку асинхронних станів (race condition) у Riverpod при оновленні статусу книги може статися відправка дублюючих запитів на бекенд, що призведе до появи дублікатів у таблиці user_books та порушення цілісності даних користувача.</w:t>
            </w:r>
          </w:p>
        </w:tc>
      </w:tr>
      <w:tr>
        <w:tc>
          <w:tcPr>
            <w:tcW w:type="dxa" w:w="700"/>
            <w:tcBorders>
              <w:top w:val="single" w:color="999999" w:sz="1"/>
              <w:left w:val="single" w:color="999999" w:sz="1"/>
              <w:bottom w:val="single" w:color="999999" w:sz="1"/>
              <w:right w:val="single" w:color="999999" w:sz="1"/>
            </w:tcBorders>
            <w:shd w:fill="E8F4E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T5</w:t>
            </w:r>
          </w:p>
        </w:tc>
        <w:tc>
          <w:tcPr>
            <w:tcW w:type="dxa" w:w="8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Через відсутність оптимізованих індексів у PostgreSQL на зв'язній таблиці user_books може статися критична деградація швидкості JOIN-запитів при зростанні обсягу даних, що призведе до порушення SLA (час відповіді &gt; 2 с) та зависання клієнтського UI.</w:t>
            </w:r>
          </w:p>
        </w:tc>
      </w:tr>
    </w:tbl>
    <w:p>
      <w:r>
        <w:t xml:space="preserve"/>
      </w:r>
    </w:p>
    <w:p>
      <w:pPr>
        <w:pStyle w:val="Heading2"/>
        <w:spacing w:after="100" w:before="200"/>
      </w:pPr>
      <w:r>
        <w:rPr>
          <w:rFonts w:ascii="Arial" w:cs="Arial" w:eastAsia="Arial" w:hAnsi="Arial"/>
          <w:b/>
          <w:bCs/>
          <w:sz w:val="24"/>
          <w:szCs w:val="24"/>
        </w:rPr>
        <w:t xml:space="preserve">Проєктні / Управлінські ризики (Project/Management)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ID</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Формулювання ризику</w:t>
            </w:r>
          </w:p>
        </w:tc>
      </w:tr>
      <w:tr>
        <w:tc>
          <w:tcPr>
            <w:tcW w:type="dxa" w:w="700"/>
            <w:tcBorders>
              <w:top w:val="single" w:color="999999" w:sz="1"/>
              <w:left w:val="single" w:color="999999" w:sz="1"/>
              <w:bottom w:val="single" w:color="999999" w:sz="1"/>
              <w:right w:val="single" w:color="999999" w:sz="1"/>
            </w:tcBorders>
            <w:shd w:fill="FFF9E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PM1</w:t>
            </w:r>
          </w:p>
        </w:tc>
        <w:tc>
          <w:tcPr>
            <w:tcW w:type="dxa" w:w="8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Через недостатній досвід команди з технологіями Flutter та Riverpod може статися систематична недооцінка складності задач, що призведе до зриву дедлайнів спринту та накопичення технічного боргу.</w:t>
            </w:r>
          </w:p>
        </w:tc>
      </w:tr>
      <w:tr>
        <w:tc>
          <w:tcPr>
            <w:tcW w:type="dxa" w:w="700"/>
            <w:tcBorders>
              <w:top w:val="single" w:color="999999" w:sz="1"/>
              <w:left w:val="single" w:color="999999" w:sz="1"/>
              <w:bottom w:val="single" w:color="999999" w:sz="1"/>
              <w:right w:val="single" w:color="999999" w:sz="1"/>
            </w:tcBorders>
            <w:shd w:fill="FFF9E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PM2</w:t>
            </w:r>
          </w:p>
        </w:tc>
        <w:tc>
          <w:tcPr>
            <w:tcW w:type="dxa" w:w="8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Через непередбачену відсутність Backend Engineer (наприклад, хвороба або переїзд) може статися блокування розробки критичних API-ендпоінтів, що призведе до неможливості виконати Sprint Backlog у встановлений строк.</w:t>
            </w:r>
          </w:p>
        </w:tc>
      </w:tr>
      <w:tr>
        <w:tc>
          <w:tcPr>
            <w:tcW w:type="dxa" w:w="700"/>
            <w:tcBorders>
              <w:top w:val="single" w:color="999999" w:sz="1"/>
              <w:left w:val="single" w:color="999999" w:sz="1"/>
              <w:bottom w:val="single" w:color="999999" w:sz="1"/>
              <w:right w:val="single" w:color="999999" w:sz="1"/>
            </w:tcBorders>
            <w:shd w:fill="FFF9E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PM3</w:t>
            </w:r>
          </w:p>
        </w:tc>
        <w:tc>
          <w:tcPr>
            <w:tcW w:type="dxa" w:w="8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Через нечітко описані вимоги до UX екранів бібліотеки (поведінка TabBar, CRUD операції) може статися необхідність багаторазового редизайну Flutter-компонентів, що призведе до перевитрат capacity розробників на переробки понад закладені 30%.</w:t>
            </w:r>
          </w:p>
        </w:tc>
      </w:tr>
    </w:tbl>
    <w:p>
      <w:r>
        <w:t xml:space="preserve"/>
      </w:r>
    </w:p>
    <w:p>
      <w:pPr>
        <w:pStyle w:val="Heading2"/>
        <w:spacing w:after="100" w:before="200"/>
      </w:pPr>
      <w:r>
        <w:rPr>
          <w:rFonts w:ascii="Arial" w:cs="Arial" w:eastAsia="Arial" w:hAnsi="Arial"/>
          <w:b/>
          <w:bCs/>
          <w:sz w:val="24"/>
          <w:szCs w:val="24"/>
        </w:rPr>
        <w:t xml:space="preserve">Бізнес / Зовнішні ризики (Business/External)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ID</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Формулювання ризику</w:t>
            </w:r>
          </w:p>
        </w:tc>
      </w:tr>
      <w:tr>
        <w:tc>
          <w:tcPr>
            <w:tcW w:type="dxa" w:w="700"/>
            <w:tcBorders>
              <w:top w:val="single" w:color="999999" w:sz="1"/>
              <w:left w:val="single" w:color="999999" w:sz="1"/>
              <w:bottom w:val="single" w:color="999999" w:sz="1"/>
              <w:right w:val="single" w:color="999999" w:sz="1"/>
            </w:tcBorders>
            <w:shd w:fill="F0E6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BE1</w:t>
            </w:r>
          </w:p>
        </w:tc>
        <w:tc>
          <w:tcPr>
            <w:tcW w:type="dxa" w:w="8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Через раптову зміну політики або умов використання Google Books API може статися обмеження або повне відкликання доступу до сервісу, що призведе до необхідності термінового пошуку та інтеграції нового постачальника даних поза бюджетом.</w:t>
            </w:r>
          </w:p>
        </w:tc>
      </w:tr>
      <w:tr>
        <w:tc>
          <w:tcPr>
            <w:tcW w:type="dxa" w:w="700"/>
            <w:tcBorders>
              <w:top w:val="single" w:color="999999" w:sz="1"/>
              <w:left w:val="single" w:color="999999" w:sz="1"/>
              <w:bottom w:val="single" w:color="999999" w:sz="1"/>
              <w:right w:val="single" w:color="999999" w:sz="1"/>
            </w:tcBorders>
            <w:shd w:fill="F0E6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BE2</w:t>
            </w:r>
          </w:p>
        </w:tc>
        <w:tc>
          <w:tcPr>
            <w:tcW w:type="dxa" w:w="8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Через агресивний вихід конкурентного читацького додатку на ринок може статися відтік цільової аудиторії, що призведе до недосягнення стратегічної метрики у 100 активних користувачів для стадії MVP.</w:t>
            </w:r>
          </w:p>
        </w:tc>
      </w:tr>
    </w:tbl>
    <w:p>
      <w:r>
        <w:t xml:space="preserve"/>
      </w:r>
    </w:p>
    <w:p>
      <w:r>
        <w:br w:type="page"/>
      </w:r>
    </w:p>
    <w:p>
      <w:pPr>
        <w:pStyle w:val="Heading1"/>
        <w:spacing w:after="150" w:before="300"/>
      </w:pPr>
      <w:r>
        <w:rPr>
          <w:rFonts w:ascii="Arial" w:cs="Arial" w:eastAsia="Arial" w:hAnsi="Arial"/>
          <w:b/>
          <w:bCs/>
          <w:sz w:val="28"/>
          <w:szCs w:val="28"/>
        </w:rPr>
        <w:t xml:space="preserve">Завдання 2. Матриця оцінки ризиків (Risk Scoring)</w:t>
      </w:r>
    </w:p>
    <w:p>
      <w:pPr>
        <w:spacing w:after="80" w:before="80"/>
      </w:pPr>
      <w:r>
        <w:rPr>
          <w:rFonts w:ascii="Arial" w:cs="Arial" w:eastAsia="Arial" w:hAnsi="Arial"/>
          <w:sz w:val="22"/>
          <w:szCs w:val="22"/>
        </w:rPr>
        <w:t xml:space="preserve">Оцінка ймовірності (P) та впливу (I) за шкалою 1–5. Risk Score = P × I.</w:t>
      </w:r>
    </w:p>
    <w:p>
      <w:pPr>
        <w:spacing w:after="80" w:before="80"/>
      </w:pPr>
      <w:r>
        <w:rPr>
          <w:rFonts w:ascii="Arial" w:cs="Arial" w:eastAsia="Arial" w:hAnsi="Arial"/>
          <w:i/>
          <w:iCs/>
          <w:sz w:val="22"/>
          <w:szCs w:val="22"/>
        </w:rPr>
        <w:t xml:space="preserve">Технічні ризики оцінено на основі SD з ЛР№3: найвищий SD=2.83 (CI/CD, BOOK-39) → P=4 для T2; SD=2.14 (Бібліотека) та SD=2.06 (Пошук) → P=3 для T1, T3, T4, T5.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900"/>
        <w:gridCol w:w="900"/>
        <w:gridCol w:w="900"/>
        <w:gridCol w:w="2260"/>
        <w:gridCol w:w="1400"/>
      </w:tblGrid>
      <w:tr>
        <w:trPr>
          <w:tblHeader/>
        </w:trPr>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ID</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Категорія</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 (1–5)</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 (1–5)</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Score</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Risk Owner</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SD-основа</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Technical</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Borders>
              <w:top w:val="single" w:color="999999" w:sz="1"/>
              <w:left w:val="single" w:color="999999" w:sz="1"/>
              <w:bottom w:val="single" w:color="999999" w:sz="1"/>
              <w:right w:val="single" w:color="999999" w:sz="1"/>
            </w:tcBorders>
            <w:shd w:fill="FFBB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Backend Engineer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SD=2.06 (BOOK-26)</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Technical</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Borders>
              <w:top w:val="single" w:color="999999" w:sz="1"/>
              <w:left w:val="single" w:color="999999" w:sz="1"/>
              <w:bottom w:val="single" w:color="999999" w:sz="1"/>
              <w:right w:val="single" w:color="999999" w:sz="1"/>
            </w:tcBorders>
            <w:shd w:fill="FF66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16</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Frontend Engineer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SD=2.83 (BOOK-39)</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Technical</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w:t>
            </w:r>
          </w:p>
        </w:tc>
        <w:tc>
          <w:tcPr>
            <w:tcBorders>
              <w:top w:val="single" w:color="999999" w:sz="1"/>
              <w:left w:val="single" w:color="999999" w:sz="1"/>
              <w:bottom w:val="single" w:color="999999" w:sz="1"/>
              <w:right w:val="single" w:color="999999" w:sz="1"/>
            </w:tcBorders>
            <w:shd w:fill="FF66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15</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Backend Engineer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SD=2.06 (BOOK-26)</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Technical</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Borders>
              <w:top w:val="single" w:color="999999" w:sz="1"/>
              <w:left w:val="single" w:color="999999" w:sz="1"/>
              <w:bottom w:val="single" w:color="999999" w:sz="1"/>
              <w:right w:val="single" w:color="999999" w:sz="1"/>
            </w:tcBorders>
            <w:shd w:fill="FFBB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Frontend Engineer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SD=2.14 (BOOK-22)</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T5</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Technical</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DB Engineer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SD=2.14 (BOOK-22)</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PM1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Project</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Borders>
              <w:top w:val="single" w:color="999999" w:sz="1"/>
              <w:left w:val="single" w:color="999999" w:sz="1"/>
              <w:bottom w:val="single" w:color="999999" w:sz="1"/>
              <w:right w:val="single" w:color="999999" w:sz="1"/>
            </w:tcBorders>
            <w:shd w:fill="FFBB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Project Manager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PM2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Project</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Project Manager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PM3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Project</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Project Manager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BE1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w:t>
            </w:r>
          </w:p>
        </w:tc>
        <w:tc>
          <w:tcPr>
            <w:tcBorders>
              <w:top w:val="single" w:color="999999" w:sz="1"/>
              <w:left w:val="single" w:color="999999" w:sz="1"/>
              <w:bottom w:val="single" w:color="999999" w:sz="1"/>
              <w:right w:val="single" w:color="999999" w:sz="1"/>
            </w:tcBorders>
            <w:shd w:fill="FFBB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Project Manager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BE2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Project Manager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r>
    </w:tbl>
    <w:p>
      <w:r>
        <w:t xml:space="preserve"/>
      </w:r>
    </w:p>
    <w:p>
      <w:pPr>
        <w:spacing w:after="80" w:before="80"/>
      </w:pPr>
      <w:r>
        <w:rPr>
          <w:rFonts w:ascii="Arial" w:cs="Arial" w:eastAsia="Arial" w:hAnsi="Arial"/>
          <w:b/>
          <w:bCs/>
          <w:sz w:val="22"/>
          <w:szCs w:val="22"/>
        </w:rPr>
        <w:t xml:space="preserve">Легенда кольорів: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tblGrid>
      <w:tr>
        <w:tc>
          <w:tcPr>
            <w:tcBorders>
              <w:top w:val="single" w:color="999999" w:sz="1"/>
              <w:left w:val="single" w:color="999999" w:sz="1"/>
              <w:bottom w:val="single" w:color="999999" w:sz="1"/>
              <w:right w:val="single" w:color="999999" w:sz="1"/>
            </w:tcBorders>
            <w:shd w:fill="FF66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15–25</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Червона зона — критичні ризики, потребують негайних дій</w:t>
            </w:r>
          </w:p>
        </w:tc>
      </w:tr>
      <w:tr>
        <w:tc>
          <w:tcPr>
            <w:tcBorders>
              <w:top w:val="single" w:color="999999" w:sz="1"/>
              <w:left w:val="single" w:color="999999" w:sz="1"/>
              <w:bottom w:val="single" w:color="999999" w:sz="1"/>
              <w:right w:val="single" w:color="999999" w:sz="1"/>
            </w:tcBorders>
            <w:shd w:fill="FFBB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10–14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Помаранчева зона — ризики під постійним контролем</w:t>
            </w:r>
          </w:p>
        </w:tc>
      </w:tr>
      <w:tr>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5–9</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Жовта зона — помірні ризики</w:t>
            </w:r>
          </w:p>
        </w:tc>
      </w:tr>
      <w:tr>
        <w:tc>
          <w:tcPr>
            <w:tcBorders>
              <w:top w:val="single" w:color="999999" w:sz="1"/>
              <w:left w:val="single" w:color="999999" w:sz="1"/>
              <w:bottom w:val="single" w:color="999999" w:sz="1"/>
              <w:right w:val="single" w:color="999999" w:sz="1"/>
            </w:tcBorders>
            <w:shd w:fill="AAFFA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Зелена зона — прийнятні ризики</w:t>
            </w:r>
          </w:p>
        </w:tc>
      </w:tr>
    </w:tbl>
    <w:p>
      <w:r>
        <w:t xml:space="preserve"/>
      </w:r>
    </w:p>
    <w:p>
      <w:pPr>
        <w:pStyle w:val="Heading2"/>
        <w:spacing w:after="100" w:before="200"/>
      </w:pPr>
      <w:r>
        <w:rPr>
          <w:rFonts w:ascii="Arial" w:cs="Arial" w:eastAsia="Arial" w:hAnsi="Arial"/>
          <w:b/>
          <w:bCs/>
          <w:sz w:val="24"/>
          <w:szCs w:val="24"/>
        </w:rPr>
        <w:t xml:space="preserve">Heat Map (теплова карта)</w:t>
      </w:r>
    </w:p>
    <w:p>
      <w:pPr>
        <w:spacing w:after="80" w:before="80"/>
      </w:pPr>
      <w:r>
        <w:rPr>
          <w:rFonts w:ascii="Arial" w:cs="Arial" w:eastAsia="Arial" w:hAnsi="Arial"/>
          <w:sz w:val="22"/>
          <w:szCs w:val="22"/>
        </w:rPr>
        <w:t xml:space="preserve">По вертикалі — Вплив (I), по горизонталі — Ймовірність (P). У клітинках вказано Score та ризики.</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620"/>
        <w:gridCol w:w="1620"/>
        <w:gridCol w:w="1620"/>
        <w:gridCol w:w="1620"/>
        <w:gridCol w:w="1620"/>
      </w:tblGrid>
      <w:tr>
        <w:trPr>
          <w:tblHeader/>
        </w:trPr>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 \ P</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P=1</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P=2</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P=3</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P=4</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P=5</w:t>
            </w:r>
          </w:p>
        </w:tc>
      </w:tr>
      <w:tr>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I=5</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Borders>
              <w:top w:val="single" w:color="999999" w:sz="1"/>
              <w:left w:val="single" w:color="999999" w:sz="1"/>
              <w:bottom w:val="single" w:color="999999" w:sz="1"/>
              <w:right w:val="single" w:color="999999" w:sz="1"/>
            </w:tcBorders>
            <w:shd w:fill="FFBB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p>
            <w:pPr>
              <w:jc w:val="center"/>
            </w:pPr>
            <w:r>
              <w:rPr>
                <w:rFonts w:ascii="Arial" w:cs="Arial" w:eastAsia="Arial" w:hAnsi="Arial"/>
                <w:i/>
                <w:iCs/>
                <w:sz w:val="18"/>
                <w:szCs w:val="18"/>
              </w:rPr>
              <w:t xml:space="preserve">BE1</w:t>
            </w:r>
          </w:p>
        </w:tc>
        <w:tc>
          <w:tcPr>
            <w:tcBorders>
              <w:top w:val="single" w:color="999999" w:sz="1"/>
              <w:left w:val="single" w:color="999999" w:sz="1"/>
              <w:bottom w:val="single" w:color="999999" w:sz="1"/>
              <w:right w:val="single" w:color="999999" w:sz="1"/>
            </w:tcBorders>
            <w:shd w:fill="FF66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15</w:t>
            </w:r>
          </w:p>
          <w:p>
            <w:pPr>
              <w:jc w:val="center"/>
            </w:pPr>
            <w:r>
              <w:rPr>
                <w:rFonts w:ascii="Arial" w:cs="Arial" w:eastAsia="Arial" w:hAnsi="Arial"/>
                <w:i/>
                <w:iCs/>
                <w:sz w:val="18"/>
                <w:szCs w:val="18"/>
              </w:rPr>
              <w:t xml:space="preserve">T3</w:t>
            </w:r>
          </w:p>
        </w:tc>
        <w:tc>
          <w:tcPr>
            <w:tcBorders>
              <w:top w:val="single" w:color="999999" w:sz="1"/>
              <w:left w:val="single" w:color="999999" w:sz="1"/>
              <w:bottom w:val="single" w:color="999999" w:sz="1"/>
              <w:right w:val="single" w:color="999999" w:sz="1"/>
            </w:tcBorders>
            <w:shd w:fill="FF66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20</w:t>
            </w:r>
          </w:p>
        </w:tc>
        <w:tc>
          <w:tcPr>
            <w:tcBorders>
              <w:top w:val="single" w:color="999999" w:sz="1"/>
              <w:left w:val="single" w:color="999999" w:sz="1"/>
              <w:bottom w:val="single" w:color="999999" w:sz="1"/>
              <w:right w:val="single" w:color="999999" w:sz="1"/>
            </w:tcBorders>
            <w:shd w:fill="FF66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25</w:t>
            </w:r>
          </w:p>
        </w:tc>
      </w:tr>
      <w:tr>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I=4</w:t>
            </w:r>
          </w:p>
        </w:tc>
        <w:tc>
          <w:tcPr>
            <w:tcBorders>
              <w:top w:val="single" w:color="999999" w:sz="1"/>
              <w:left w:val="single" w:color="999999" w:sz="1"/>
              <w:bottom w:val="single" w:color="999999" w:sz="1"/>
              <w:right w:val="single" w:color="999999" w:sz="1"/>
            </w:tcBorders>
            <w:shd w:fill="AAFFA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p>
            <w:pPr>
              <w:jc w:val="center"/>
            </w:pPr>
            <w:r>
              <w:rPr>
                <w:rFonts w:ascii="Arial" w:cs="Arial" w:eastAsia="Arial" w:hAnsi="Arial"/>
                <w:i/>
                <w:iCs/>
                <w:sz w:val="18"/>
                <w:szCs w:val="18"/>
              </w:rPr>
              <w:t xml:space="preserve">PM2, BE2</w:t>
            </w:r>
          </w:p>
        </w:tc>
        <w:tc>
          <w:tcPr>
            <w:tcBorders>
              <w:top w:val="single" w:color="999999" w:sz="1"/>
              <w:left w:val="single" w:color="999999" w:sz="1"/>
              <w:bottom w:val="single" w:color="999999" w:sz="1"/>
              <w:right w:val="single" w:color="999999" w:sz="1"/>
            </w:tcBorders>
            <w:shd w:fill="FFBB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w:t>
            </w:r>
          </w:p>
          <w:p>
            <w:pPr>
              <w:jc w:val="center"/>
            </w:pPr>
            <w:r>
              <w:rPr>
                <w:rFonts w:ascii="Arial" w:cs="Arial" w:eastAsia="Arial" w:hAnsi="Arial"/>
                <w:i/>
                <w:iCs/>
                <w:sz w:val="18"/>
                <w:szCs w:val="18"/>
              </w:rPr>
              <w:t xml:space="preserve">T1, T4</w:t>
            </w:r>
          </w:p>
        </w:tc>
        <w:tc>
          <w:tcPr>
            <w:tcBorders>
              <w:top w:val="single" w:color="999999" w:sz="1"/>
              <w:left w:val="single" w:color="999999" w:sz="1"/>
              <w:bottom w:val="single" w:color="999999" w:sz="1"/>
              <w:right w:val="single" w:color="999999" w:sz="1"/>
            </w:tcBorders>
            <w:shd w:fill="FF66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16</w:t>
            </w:r>
          </w:p>
          <w:p>
            <w:pPr>
              <w:jc w:val="center"/>
            </w:pPr>
            <w:r>
              <w:rPr>
                <w:rFonts w:ascii="Arial" w:cs="Arial" w:eastAsia="Arial" w:hAnsi="Arial"/>
                <w:i/>
                <w:iCs/>
                <w:sz w:val="18"/>
                <w:szCs w:val="18"/>
              </w:rPr>
              <w:t xml:space="preserve">T2</w:t>
            </w:r>
          </w:p>
        </w:tc>
        <w:tc>
          <w:tcPr>
            <w:tcBorders>
              <w:top w:val="single" w:color="999999" w:sz="1"/>
              <w:left w:val="single" w:color="999999" w:sz="1"/>
              <w:bottom w:val="single" w:color="999999" w:sz="1"/>
              <w:right w:val="single" w:color="999999" w:sz="1"/>
            </w:tcBorders>
            <w:shd w:fill="FF66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20</w:t>
            </w:r>
          </w:p>
        </w:tc>
      </w:tr>
      <w:tr>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I=3</w:t>
            </w:r>
          </w:p>
        </w:tc>
        <w:tc>
          <w:tcPr>
            <w:tcBorders>
              <w:top w:val="single" w:color="999999" w:sz="1"/>
              <w:left w:val="single" w:color="999999" w:sz="1"/>
              <w:bottom w:val="single" w:color="999999" w:sz="1"/>
              <w:right w:val="single" w:color="999999" w:sz="1"/>
            </w:tcBorders>
            <w:shd w:fill="AAFFA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w:t>
            </w:r>
          </w:p>
          <w:p>
            <w:pPr>
              <w:jc w:val="center"/>
            </w:pPr>
            <w:r>
              <w:rPr>
                <w:rFonts w:ascii="Arial" w:cs="Arial" w:eastAsia="Arial" w:hAnsi="Arial"/>
                <w:i/>
                <w:iCs/>
                <w:sz w:val="18"/>
                <w:szCs w:val="18"/>
              </w:rPr>
              <w:t xml:space="preserve">T5, PM3</w:t>
            </w:r>
          </w:p>
        </w:tc>
        <w:tc>
          <w:tcPr>
            <w:tcBorders>
              <w:top w:val="single" w:color="999999" w:sz="1"/>
              <w:left w:val="single" w:color="999999" w:sz="1"/>
              <w:bottom w:val="single" w:color="999999" w:sz="1"/>
              <w:right w:val="single" w:color="999999" w:sz="1"/>
            </w:tcBorders>
            <w:shd w:fill="FFBB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w:t>
            </w:r>
          </w:p>
          <w:p>
            <w:pPr>
              <w:jc w:val="center"/>
            </w:pPr>
            <w:r>
              <w:rPr>
                <w:rFonts w:ascii="Arial" w:cs="Arial" w:eastAsia="Arial" w:hAnsi="Arial"/>
                <w:i/>
                <w:iCs/>
                <w:sz w:val="18"/>
                <w:szCs w:val="18"/>
              </w:rPr>
              <w:t xml:space="preserve">PM1</w:t>
            </w:r>
          </w:p>
        </w:tc>
        <w:tc>
          <w:tcPr>
            <w:tcBorders>
              <w:top w:val="single" w:color="999999" w:sz="1"/>
              <w:left w:val="single" w:color="999999" w:sz="1"/>
              <w:bottom w:val="single" w:color="999999" w:sz="1"/>
              <w:right w:val="single" w:color="999999" w:sz="1"/>
            </w:tcBorders>
            <w:shd w:fill="FF66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15</w:t>
            </w:r>
          </w:p>
        </w:tc>
      </w:tr>
      <w:tr>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I=2</w:t>
            </w:r>
          </w:p>
        </w:tc>
        <w:tc>
          <w:tcPr>
            <w:tcBorders>
              <w:top w:val="single" w:color="999999" w:sz="1"/>
              <w:left w:val="single" w:color="999999" w:sz="1"/>
              <w:bottom w:val="single" w:color="999999" w:sz="1"/>
              <w:right w:val="single" w:color="999999" w:sz="1"/>
            </w:tcBorders>
            <w:shd w:fill="AAFFA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Borders>
              <w:top w:val="single" w:color="999999" w:sz="1"/>
              <w:left w:val="single" w:color="999999" w:sz="1"/>
              <w:bottom w:val="single" w:color="999999" w:sz="1"/>
              <w:right w:val="single" w:color="999999" w:sz="1"/>
            </w:tcBorders>
            <w:shd w:fill="AAFFA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Borders>
              <w:top w:val="single" w:color="999999" w:sz="1"/>
              <w:left w:val="single" w:color="999999" w:sz="1"/>
              <w:bottom w:val="single" w:color="999999" w:sz="1"/>
              <w:right w:val="single" w:color="999999" w:sz="1"/>
            </w:tcBorders>
            <w:shd w:fill="FFBB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r>
      <w:tr>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I=1</w:t>
            </w:r>
          </w:p>
        </w:tc>
        <w:tc>
          <w:tcPr>
            <w:tcBorders>
              <w:top w:val="single" w:color="999999" w:sz="1"/>
              <w:left w:val="single" w:color="999999" w:sz="1"/>
              <w:bottom w:val="single" w:color="999999" w:sz="1"/>
              <w:right w:val="single" w:color="999999" w:sz="1"/>
            </w:tcBorders>
            <w:shd w:fill="AAFFA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Borders>
              <w:top w:val="single" w:color="999999" w:sz="1"/>
              <w:left w:val="single" w:color="999999" w:sz="1"/>
              <w:bottom w:val="single" w:color="999999" w:sz="1"/>
              <w:right w:val="single" w:color="999999" w:sz="1"/>
            </w:tcBorders>
            <w:shd w:fill="AAFFA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Borders>
              <w:top w:val="single" w:color="999999" w:sz="1"/>
              <w:left w:val="single" w:color="999999" w:sz="1"/>
              <w:bottom w:val="single" w:color="999999" w:sz="1"/>
              <w:right w:val="single" w:color="999999" w:sz="1"/>
            </w:tcBorders>
            <w:shd w:fill="AAFFA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Borders>
              <w:top w:val="single" w:color="999999" w:sz="1"/>
              <w:left w:val="single" w:color="999999" w:sz="1"/>
              <w:bottom w:val="single" w:color="999999" w:sz="1"/>
              <w:right w:val="single" w:color="999999" w:sz="1"/>
            </w:tcBorders>
            <w:shd w:fill="AAFFA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r>
    </w:tbl>
    <w:p>
      <w:r>
        <w:t xml:space="preserve"/>
      </w:r>
    </w:p>
    <w:p>
      <w:pPr>
        <w:spacing w:after="80" w:before="80"/>
      </w:pPr>
      <w:r>
        <w:rPr>
          <w:rFonts w:ascii="Arial" w:cs="Arial" w:eastAsia="Arial" w:hAnsi="Arial"/>
          <w:color w:val="CC0000"/>
          <w:sz w:val="22"/>
          <w:szCs w:val="22"/>
        </w:rPr>
        <w:t xml:space="preserve">Червона зона (Score ≥15): T2 (Score=16) — конфлікт Flutter-залежностей (найвищий ризик); T3 (Score=15) — блокування API/Redis. Обидва ризики потребують негайної мітигації.</w:t>
      </w:r>
    </w:p>
    <w:p>
      <w:r>
        <w:br w:type="page"/>
      </w:r>
    </w:p>
    <w:p>
      <w:pPr>
        <w:pStyle w:val="Heading1"/>
        <w:spacing w:after="150" w:before="300"/>
      </w:pPr>
      <w:r>
        <w:rPr>
          <w:rFonts w:ascii="Arial" w:cs="Arial" w:eastAsia="Arial" w:hAnsi="Arial"/>
          <w:b/>
          <w:bCs/>
          <w:sz w:val="28"/>
          <w:szCs w:val="28"/>
        </w:rPr>
        <w:t xml:space="preserve">Завдання 3. Risk Register — стратегії реагування для топ-6 ризиків</w:t>
      </w:r>
    </w:p>
    <w:p>
      <w:pPr>
        <w:spacing w:after="80" w:before="80"/>
      </w:pPr>
      <w:r>
        <w:rPr>
          <w:rFonts w:ascii="Arial" w:cs="Arial" w:eastAsia="Arial" w:hAnsi="Arial"/>
          <w:i/>
          <w:iCs/>
          <w:sz w:val="22"/>
          <w:szCs w:val="22"/>
        </w:rPr>
        <w:t xml:space="preserve">Стратегія: Avoid / Mitigate / Transfer / Accept. Примітка: для стратегії Accept Residual Score не змінюється (ризик приймається, а не усувається).</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000"/>
        <w:gridCol w:w="1000"/>
        <w:gridCol w:w="3700"/>
        <w:gridCol w:w="600"/>
        <w:gridCol w:w="600"/>
        <w:gridCol w:w="920"/>
      </w:tblGrid>
      <w:tr>
        <w:trPr>
          <w:tblHeader/>
        </w:trPr>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ID</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Score</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Стратегія</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Дія / Інструмент</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Res.P</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Res.I</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Residual Score</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T2</w:t>
            </w:r>
          </w:p>
        </w:tc>
        <w:tc>
          <w:tcPr>
            <w:tcBorders>
              <w:top w:val="single" w:color="999999" w:sz="1"/>
              <w:left w:val="single" w:color="999999" w:sz="1"/>
              <w:bottom w:val="single" w:color="999999" w:sz="1"/>
              <w:right w:val="single" w:color="999999" w:sz="1"/>
            </w:tcBorders>
            <w:shd w:fill="FF66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16</w:t>
            </w:r>
          </w:p>
        </w:tc>
        <w:tc>
          <w:tcPr>
            <w:tcBorders>
              <w:top w:val="single" w:color="999999" w:sz="1"/>
              <w:left w:val="single" w:color="999999" w:sz="1"/>
              <w:bottom w:val="single" w:color="999999" w:sz="1"/>
              <w:right w:val="single" w:color="999999" w:sz="1"/>
            </w:tcBorders>
            <w:shd w:fill="E8F8E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Mitigate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Жорстка фіксація версій у pubspec.lock (version pinning) та налаштування GitHub Actions (CI) для перевірки збірки (build check) перед кожним Merge.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Borders>
              <w:top w:val="single" w:color="999999" w:sz="1"/>
              <w:left w:val="single" w:color="999999" w:sz="1"/>
              <w:bottom w:val="single" w:color="999999" w:sz="1"/>
              <w:right w:val="single" w:color="999999" w:sz="1"/>
            </w:tcBorders>
            <w:shd w:fill="AAFFA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T3</w:t>
            </w:r>
          </w:p>
        </w:tc>
        <w:tc>
          <w:tcPr>
            <w:tcBorders>
              <w:top w:val="single" w:color="999999" w:sz="1"/>
              <w:left w:val="single" w:color="999999" w:sz="1"/>
              <w:bottom w:val="single" w:color="999999" w:sz="1"/>
              <w:right w:val="single" w:color="999999" w:sz="1"/>
            </w:tcBorders>
            <w:shd w:fill="FF66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15</w:t>
            </w:r>
          </w:p>
        </w:tc>
        <w:tc>
          <w:tcPr>
            <w:tcBorders>
              <w:top w:val="single" w:color="999999" w:sz="1"/>
              <w:left w:val="single" w:color="999999" w:sz="1"/>
              <w:bottom w:val="single" w:color="999999" w:sz="1"/>
              <w:right w:val="single" w:color="999999" w:sz="1"/>
            </w:tcBorders>
            <w:shd w:fill="E8F8E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Mitigate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Впровадження кешування через Redis (ioredis) з TTL=300с та налаштування Rate Limiter на бекенді для захисту від лімітів Google API.</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T1</w:t>
            </w:r>
          </w:p>
        </w:tc>
        <w:tc>
          <w:tcPr>
            <w:tcBorders>
              <w:top w:val="single" w:color="999999" w:sz="1"/>
              <w:left w:val="single" w:color="999999" w:sz="1"/>
              <w:bottom w:val="single" w:color="999999" w:sz="1"/>
              <w:right w:val="single" w:color="999999" w:sz="1"/>
            </w:tcBorders>
            <w:shd w:fill="FFBB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w:t>
            </w:r>
          </w:p>
        </w:tc>
        <w:tc>
          <w:tcPr>
            <w:tcBorders>
              <w:top w:val="single" w:color="999999" w:sz="1"/>
              <w:left w:val="single" w:color="999999" w:sz="1"/>
              <w:bottom w:val="single" w:color="999999" w:sz="1"/>
              <w:right w:val="single" w:color="999999" w:sz="1"/>
            </w:tcBorders>
            <w:shd w:fill="E0F0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Transfer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Використання хмарного сервісу з фінансовим SLA (гарантія аптайму). Ризик недоступності інфраструктури передається постачальнику хмарних послуг.</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Borders>
              <w:top w:val="single" w:color="999999" w:sz="1"/>
              <w:left w:val="single" w:color="999999" w:sz="1"/>
              <w:bottom w:val="single" w:color="999999" w:sz="1"/>
              <w:right w:val="single" w:color="999999" w:sz="1"/>
            </w:tcBorders>
            <w:shd w:fill="AAFFA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T4</w:t>
            </w:r>
          </w:p>
        </w:tc>
        <w:tc>
          <w:tcPr>
            <w:tcBorders>
              <w:top w:val="single" w:color="999999" w:sz="1"/>
              <w:left w:val="single" w:color="999999" w:sz="1"/>
              <w:bottom w:val="single" w:color="999999" w:sz="1"/>
              <w:right w:val="single" w:color="999999" w:sz="1"/>
            </w:tcBorders>
            <w:shd w:fill="FFBB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w:t>
            </w:r>
          </w:p>
        </w:tc>
        <w:tc>
          <w:tcPr>
            <w:tcBorders>
              <w:top w:val="single" w:color="999999" w:sz="1"/>
              <w:left w:val="single" w:color="999999" w:sz="1"/>
              <w:bottom w:val="single" w:color="999999" w:sz="1"/>
              <w:right w:val="single" w:color="999999" w:sz="1"/>
            </w:tcBorders>
            <w:shd w:fill="E8F8E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Mitigate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Впровадження механізму Debounce (rxdart/flutter) на UI та оптимістичного блокування (optimistic locking) у PostgreSQL для усунення race conditions.</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Borders>
              <w:top w:val="single" w:color="999999" w:sz="1"/>
              <w:left w:val="single" w:color="999999" w:sz="1"/>
              <w:bottom w:val="single" w:color="999999" w:sz="1"/>
              <w:right w:val="single" w:color="999999" w:sz="1"/>
            </w:tcBorders>
            <w:shd w:fill="AAFFA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PM1</w:t>
            </w:r>
          </w:p>
        </w:tc>
        <w:tc>
          <w:tcPr>
            <w:tcBorders>
              <w:top w:val="single" w:color="999999" w:sz="1"/>
              <w:left w:val="single" w:color="999999" w:sz="1"/>
              <w:bottom w:val="single" w:color="999999" w:sz="1"/>
              <w:right w:val="single" w:color="999999" w:sz="1"/>
            </w:tcBorders>
            <w:shd w:fill="FFBB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w:t>
            </w:r>
          </w:p>
        </w:tc>
        <w:tc>
          <w:tcPr>
            <w:tcBorders>
              <w:top w:val="single" w:color="999999" w:sz="1"/>
              <w:left w:val="single" w:color="999999" w:sz="1"/>
              <w:bottom w:val="single" w:color="999999" w:sz="1"/>
              <w:right w:val="single" w:color="999999" w:sz="1"/>
            </w:tcBorders>
            <w:shd w:fill="FFFDE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Accept</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Ризик приймається. Створюється цільовий часовий резерв (Contingency Reserve) у 20% від Capacity на рефакторинг та навчання під час спринту.</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Borders>
              <w:top w:val="single" w:color="999999" w:sz="1"/>
              <w:left w:val="single" w:color="999999" w:sz="1"/>
              <w:bottom w:val="single" w:color="999999" w:sz="1"/>
              <w:right w:val="single" w:color="999999" w:sz="1"/>
            </w:tcBorders>
            <w:shd w:fill="FFBB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BE1</w:t>
            </w:r>
          </w:p>
        </w:tc>
        <w:tc>
          <w:tcPr>
            <w:tcBorders>
              <w:top w:val="single" w:color="999999" w:sz="1"/>
              <w:left w:val="single" w:color="999999" w:sz="1"/>
              <w:bottom w:val="single" w:color="999999" w:sz="1"/>
              <w:right w:val="single" w:color="999999" w:sz="1"/>
            </w:tcBorders>
            <w:shd w:fill="FFBB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Borders>
              <w:top w:val="single" w:color="999999" w:sz="1"/>
              <w:left w:val="single" w:color="999999" w:sz="1"/>
              <w:bottom w:val="single" w:color="999999" w:sz="1"/>
              <w:right w:val="single" w:color="999999" w:sz="1"/>
            </w:tcBorders>
            <w:shd w:fill="F8E0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Avoid</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sz w:val="20"/>
                <w:szCs w:val="20"/>
              </w:rPr>
              <w:t xml:space="preserve">Патерн Dependency Injection: абстракція IBookSearchService знімає жорстку прив'язку (vendor-lock) до Google Books — провайдер змінюється без зміни бізнес-логіки.</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r>
    </w:tbl>
    <w:p>
      <w:r>
        <w:t xml:space="preserve"/>
      </w:r>
    </w:p>
    <w:p>
      <w:pPr>
        <w:spacing w:after="80" w:before="80"/>
      </w:pPr>
      <w:r>
        <w:rPr>
          <w:rFonts w:ascii="Arial" w:cs="Arial" w:eastAsia="Arial" w:hAnsi="Arial"/>
          <w:b/>
          <w:bCs/>
          <w:sz w:val="22"/>
          <w:szCs w:val="22"/>
        </w:rPr>
        <w:t xml:space="preserve">Інсайт по стратегіях:</w:t>
      </w:r>
    </w:p>
    <w:p>
      <w:pPr>
        <w:pStyle w:val="ListParagraph"/>
        <w:numPr>
          <w:ilvl w:val="0"/>
          <w:numId w:val="2"/>
        </w:numPr>
        <w:spacing w:after="40" w:before="40"/>
      </w:pPr>
      <w:r>
        <w:rPr>
          <w:rFonts w:ascii="Arial" w:cs="Arial" w:eastAsia="Arial" w:hAnsi="Arial"/>
          <w:sz w:val="22"/>
          <w:szCs w:val="22"/>
        </w:rPr>
        <w:t xml:space="preserve">Mitigate (T2, T3, T4): інженерні інструменти (pubspec.lock + CI, Redis Rate Limiter, Debounce + optimistic locking) знижують P до 1.</w:t>
      </w:r>
    </w:p>
    <w:p>
      <w:pPr>
        <w:pStyle w:val="ListParagraph"/>
        <w:numPr>
          <w:ilvl w:val="0"/>
          <w:numId w:val="2"/>
        </w:numPr>
        <w:spacing w:after="40" w:before="40"/>
      </w:pPr>
      <w:r>
        <w:rPr>
          <w:rFonts w:ascii="Arial" w:cs="Arial" w:eastAsia="Arial" w:hAnsi="Arial"/>
          <w:sz w:val="22"/>
          <w:szCs w:val="22"/>
        </w:rPr>
        <w:t xml:space="preserve">Accept (PM1): ризик прийнято — Residual Score залишається 12 (незмінний). Покривається часовим резервом 20% від Capacity.</w:t>
      </w:r>
    </w:p>
    <w:p>
      <w:pPr>
        <w:pStyle w:val="ListParagraph"/>
        <w:numPr>
          <w:ilvl w:val="0"/>
          <w:numId w:val="2"/>
        </w:numPr>
        <w:spacing w:after="40" w:before="40"/>
      </w:pPr>
      <w:r>
        <w:rPr>
          <w:rFonts w:ascii="Arial" w:cs="Arial" w:eastAsia="Arial" w:hAnsi="Arial"/>
          <w:sz w:val="22"/>
          <w:szCs w:val="22"/>
        </w:rPr>
        <w:t xml:space="preserve">Transfer (T1): відповідальність за аптайм інфраструктури передається хмарному провайдеру (SLA).</w:t>
      </w:r>
    </w:p>
    <w:p>
      <w:pPr>
        <w:pStyle w:val="ListParagraph"/>
        <w:numPr>
          <w:ilvl w:val="0"/>
          <w:numId w:val="2"/>
        </w:numPr>
        <w:spacing w:after="40" w:before="40"/>
      </w:pPr>
      <w:r>
        <w:rPr>
          <w:rFonts w:ascii="Arial" w:cs="Arial" w:eastAsia="Arial" w:hAnsi="Arial"/>
          <w:sz w:val="22"/>
          <w:szCs w:val="22"/>
        </w:rPr>
        <w:t xml:space="preserve">Avoid (BE1): абстракція IBookSearchService (DI-патерн) усуває vendor-lock на Google Books, P падає до 1.</w:t>
      </w:r>
    </w:p>
    <w:p>
      <w:r>
        <w:br w:type="page"/>
      </w:r>
    </w:p>
    <w:p>
      <w:pPr>
        <w:pStyle w:val="Heading1"/>
        <w:spacing w:after="150" w:before="300"/>
      </w:pPr>
      <w:r>
        <w:rPr>
          <w:rFonts w:ascii="Arial" w:cs="Arial" w:eastAsia="Arial" w:hAnsi="Arial"/>
          <w:b/>
          <w:bCs/>
          <w:sz w:val="28"/>
          <w:szCs w:val="28"/>
        </w:rPr>
        <w:t xml:space="preserve">Завдання 6. Математичне моделювання резервів (Risk Exposure &amp; Buffer)</w:t>
      </w:r>
    </w:p>
    <w:p>
      <w:pPr>
        <w:pStyle w:val="Heading2"/>
        <w:spacing w:after="100" w:before="200"/>
      </w:pPr>
      <w:r>
        <w:rPr>
          <w:rFonts w:ascii="Arial" w:cs="Arial" w:eastAsia="Arial" w:hAnsi="Arial"/>
          <w:b/>
          <w:bCs/>
          <w:sz w:val="24"/>
          <w:szCs w:val="24"/>
        </w:rPr>
        <w:t xml:space="preserve">6.1 Вхідні дані з ЛР№3</w:t>
      </w:r>
    </w:p>
    <w:p>
      <w:pPr>
        <w:spacing w:after="80" w:before="80"/>
      </w:pPr>
      <w:r>
        <w:rPr>
          <w:rFonts w:ascii="Arial" w:cs="Arial" w:eastAsia="Arial" w:hAnsi="Arial"/>
          <w:sz w:val="22"/>
          <w:szCs w:val="22"/>
        </w:rPr>
        <w:t xml:space="preserve">PERT-оцінки з розділу 4.3–4.4 ЛР№3 (E, SD, P_pert для кожної 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100"/>
        <w:gridCol w:w="1100"/>
        <w:gridCol w:w="1400"/>
        <w:gridCol w:w="1260"/>
      </w:tblGrid>
      <w:tr>
        <w:trPr>
          <w:tblHeader/>
        </w:trPr>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US</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Назва</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 (год)</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SD (год)</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P_pert (год)</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 – E (год)</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BOOK-26</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Smart-пошук</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30.66</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2.06</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50</w:t>
            </w:r>
          </w:p>
        </w:tc>
        <w:tc>
          <w:tcPr>
            <w:tcBorders>
              <w:top w:val="single" w:color="999999" w:sz="1"/>
              <w:left w:val="single" w:color="999999" w:sz="1"/>
              <w:bottom w:val="single" w:color="999999" w:sz="1"/>
              <w:right w:val="single" w:color="999999" w:sz="1"/>
            </w:tcBorders>
            <w:shd w:fill="FFFDE0"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19.34</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BOOK-18</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UI + Навігація</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45.83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2.50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74</w:t>
            </w:r>
          </w:p>
        </w:tc>
        <w:tc>
          <w:tcPr>
            <w:tcBorders>
              <w:top w:val="single" w:color="999999" w:sz="1"/>
              <w:left w:val="single" w:color="999999" w:sz="1"/>
              <w:bottom w:val="single" w:color="999999" w:sz="1"/>
              <w:right w:val="single" w:color="999999" w:sz="1"/>
            </w:tcBorders>
            <w:shd w:fill="FFFDE0"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28.17</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BOOK-22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Цифрова бібліотека</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32.66</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2.14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53</w:t>
            </w:r>
          </w:p>
        </w:tc>
        <w:tc>
          <w:tcPr>
            <w:tcBorders>
              <w:top w:val="single" w:color="999999" w:sz="1"/>
              <w:left w:val="single" w:color="999999" w:sz="1"/>
              <w:bottom w:val="single" w:color="999999" w:sz="1"/>
              <w:right w:val="single" w:color="999999" w:sz="1"/>
            </w:tcBorders>
            <w:shd w:fill="FFFDE0"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20.34</w:t>
            </w:r>
          </w:p>
        </w:tc>
      </w:tr>
    </w:tbl>
    <w:p>
      <w:r>
        <w:t xml:space="preserve"/>
      </w:r>
    </w:p>
    <w:p>
      <w:pPr>
        <w:pStyle w:val="Heading2"/>
        <w:spacing w:after="100" w:before="200"/>
      </w:pPr>
      <w:r>
        <w:rPr>
          <w:rFonts w:ascii="Arial" w:cs="Arial" w:eastAsia="Arial" w:hAnsi="Arial"/>
          <w:b/>
          <w:bCs/>
          <w:sz w:val="24"/>
          <w:szCs w:val="24"/>
        </w:rPr>
        <w:t xml:space="preserve">6.2 Конверсія оцінок та розрахунок Risk Exposure (RE)</w:t>
      </w:r>
    </w:p>
    <w:p>
      <w:pPr>
        <w:spacing w:after="80" w:before="80"/>
      </w:pPr>
      <w:r>
        <w:rPr>
          <w:rFonts w:ascii="Arial" w:cs="Arial" w:eastAsia="Arial" w:hAnsi="Arial"/>
          <w:sz w:val="22"/>
          <w:szCs w:val="22"/>
        </w:rPr>
        <w:t xml:space="preserve">Оцінки P та I синхронізовано з Матрицею ризиків (Завдання 2). RE = P(%) × Impact(год).</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350"/>
        <w:gridCol w:w="1400"/>
        <w:gridCol w:w="450"/>
        <w:gridCol w:w="550"/>
        <w:gridCol w:w="450"/>
        <w:gridCol w:w="1350"/>
        <w:gridCol w:w="800"/>
        <w:gridCol w:w="560"/>
      </w:tblGrid>
      <w:tr>
        <w:trPr>
          <w:tblHeader/>
        </w:trPr>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ID</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Ризик</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US</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P-бал</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 (%)</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I-бал</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Формула Impact</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Impact (год)</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 (год)</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Збій Google Books API</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Smart-пошук (BOOK-26)</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 – E) + SD</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21.40</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10.70</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Конфлікт Flutter-залежностей</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UI + Навігація (BOOK-18)</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 – E) + SD</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30.67</w:t>
            </w:r>
          </w:p>
        </w:tc>
        <w:tc>
          <w:tcPr>
            <w:tcBorders>
              <w:top w:val="single" w:color="999999" w:sz="1"/>
              <w:left w:val="single" w:color="999999" w:sz="1"/>
              <w:bottom w:val="single" w:color="999999" w:sz="1"/>
              <w:right w:val="single" w:color="999999" w:sz="1"/>
            </w:tcBorders>
            <w:shd w:fill="FFBB6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21.47</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Блокування Redis/API-ліміт</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Smart-пошук (BOOK-26)</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 (повний час US)</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30.66</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15.33</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Race condition Riverpod</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Цифрова бібліотека (BOOK-22)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 – E) + SD</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22.48</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11.24</w:t>
            </w:r>
          </w:p>
        </w:tc>
      </w:tr>
      <w:tr>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T5</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Повільні запити PostgreSQL</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Цифрова бібліотека (BOOK-22)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 – 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20.34</w:t>
            </w:r>
          </w:p>
        </w:tc>
        <w:tc>
          <w:tcPr>
            <w:tcBorders>
              <w:top w:val="single" w:color="999999" w:sz="1"/>
              <w:left w:val="single" w:color="999999" w:sz="1"/>
              <w:bottom w:val="single" w:color="999999" w:sz="1"/>
              <w:right w:val="single" w:color="999999" w:sz="1"/>
            </w:tcBorders>
            <w:shd w:fill="FFEE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10.17</w:t>
            </w:r>
          </w:p>
        </w:tc>
      </w:tr>
      <w:tr>
        <w:tc>
          <w:tcPr>
            <w:gridSpan w:val="8"/>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pPr>
              <w:jc w:val="right"/>
            </w:pPr>
            <w:r>
              <w:rPr>
                <w:rFonts w:ascii="Arial" w:cs="Arial" w:eastAsia="Arial" w:hAnsi="Arial"/>
                <w:b/>
                <w:bCs/>
                <w:sz w:val="20"/>
                <w:szCs w:val="20"/>
              </w:rPr>
              <w:t xml:space="preserve">Сумарний Contingency Reserve (EMV) =</w:t>
            </w:r>
          </w:p>
        </w:tc>
        <w:tc>
          <w:tcPr>
            <w:tcBorders>
              <w:top w:val="single" w:color="999999" w:sz="1"/>
              <w:left w:val="single" w:color="999999" w:sz="1"/>
              <w:bottom w:val="single" w:color="999999" w:sz="1"/>
              <w:right w:val="single" w:color="999999" w:sz="1"/>
            </w:tcBorders>
            <w:shd w:fill="FFD70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68.91 год</w:t>
            </w:r>
          </w:p>
        </w:tc>
      </w:tr>
    </w:tbl>
    <w:p>
      <w:r>
        <w:t xml:space="preserve"/>
      </w:r>
    </w:p>
    <w:p>
      <w:pPr>
        <w:pStyle w:val="Heading2"/>
        <w:spacing w:after="100" w:before="200"/>
      </w:pPr>
      <w:r>
        <w:rPr>
          <w:rFonts w:ascii="Arial" w:cs="Arial" w:eastAsia="Arial" w:hAnsi="Arial"/>
          <w:b/>
          <w:bCs/>
          <w:sz w:val="24"/>
          <w:szCs w:val="24"/>
        </w:rPr>
        <w:t xml:space="preserve">6.3 Аналіз критичності буфера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Показник</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Значення</w:t>
            </w:r>
          </w:p>
        </w:tc>
        <w:tc>
          <w:tcPr>
            <w:gridSpan w:val="1"/>
            <w:tcBorders>
              <w:top w:val="single" w:color="999999" w:sz="1"/>
              <w:left w:val="single" w:color="999999" w:sz="1"/>
              <w:bottom w:val="single" w:color="999999" w:sz="1"/>
              <w:right w:val="single" w:color="999999" w:sz="1"/>
            </w:tcBorders>
            <w:shd w:fill="C5DC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Статус</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Real Capacity (ЛР№3)</w:t>
            </w:r>
          </w:p>
        </w:tc>
        <w:tc>
          <w:tcPr>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152 год</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Contingency Reserve (EMV)</w:t>
            </w:r>
          </w:p>
        </w:tc>
        <w:tc>
          <w:tcPr>
            <w:tcBorders>
              <w:top w:val="single" w:color="999999" w:sz="1"/>
              <w:left w:val="single" w:color="999999" w:sz="1"/>
              <w:bottom w:val="single" w:color="999999" w:sz="1"/>
              <w:right w:val="single" w:color="999999" w:sz="1"/>
            </w:tcBorders>
            <w:shd w:fill="FFFDE0"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68.91 год</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Буфер / Capacity</w:t>
            </w:r>
          </w:p>
        </w:tc>
        <w:tc>
          <w:tcPr>
            <w:tcBorders>
              <w:top w:val="single" w:color="999999" w:sz="1"/>
              <w:left w:val="single" w:color="999999" w:sz="1"/>
              <w:bottom w:val="single" w:color="999999" w:sz="1"/>
              <w:right w:val="single" w:color="999999" w:sz="1"/>
            </w:tcBorders>
            <w:shd w:fill="FF88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45.3%</w:t>
            </w:r>
          </w:p>
        </w:tc>
        <w:tc>
          <w:tcPr>
            <w:tcBorders>
              <w:top w:val="single" w:color="999999" w:sz="1"/>
              <w:left w:val="single" w:color="999999" w:sz="1"/>
              <w:bottom w:val="single" w:color="999999" w:sz="1"/>
              <w:right w:val="single" w:color="999999" w:sz="1"/>
            </w:tcBorders>
            <w:shd w:fill="FF888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 At Risk (&gt; 20%)</w:t>
            </w:r>
          </w:p>
        </w:tc>
      </w:tr>
    </w:tbl>
    <w:p>
      <w:r>
        <w:t xml:space="preserve"/>
      </w:r>
    </w:p>
    <w:p>
      <w:pPr>
        <w:spacing w:after="80" w:before="80"/>
      </w:pPr>
      <w:r>
        <w:rPr>
          <w:rFonts w:ascii="Arial" w:cs="Arial" w:eastAsia="Arial" w:hAnsi="Arial"/>
          <w:b/>
          <w:bCs/>
          <w:color w:val="CC0000"/>
          <w:sz w:val="22"/>
          <w:szCs w:val="22"/>
        </w:rPr>
        <w:t xml:space="preserve">Висновок: Буфер становить 45.3% від Capacity (порогове значення: 20%). Статус проєкту офіційно змінюється на «At Risk». Це прямий математичний наслідок великого розриву між Песимістичною та Очікуваною оцінками в ЛР№3.</w:t>
      </w:r>
    </w:p>
    <w:p>
      <w:r>
        <w:t xml:space="preserve"/>
      </w:r>
    </w:p>
    <w:p>
      <w:pPr>
        <w:pStyle w:val="Heading2"/>
        <w:spacing w:after="100" w:before="200"/>
      </w:pPr>
      <w:r>
        <w:rPr>
          <w:rFonts w:ascii="Arial" w:cs="Arial" w:eastAsia="Arial" w:hAnsi="Arial"/>
          <w:b/>
          <w:bCs/>
          <w:sz w:val="24"/>
          <w:szCs w:val="24"/>
        </w:rPr>
        <w:t xml:space="preserve">6.4 Рекомендація: скорочення Scope (Scope Reduction)</w:t>
      </w:r>
    </w:p>
    <w:p>
      <w:pPr>
        <w:spacing w:after="80" w:before="80"/>
      </w:pPr>
      <w:r>
        <w:rPr>
          <w:rFonts w:ascii="Arial" w:cs="Arial" w:eastAsia="Arial" w:hAnsi="Arial"/>
          <w:sz w:val="22"/>
          <w:szCs w:val="22"/>
        </w:rPr>
        <w:t xml:space="preserve">Причина перевищення буфера: найбільший внесок у RE дає T2 (RE=21.47 год, пов'язаний з BOOK-18 UI+Навігація) через найвищий SD=2.83. Крім того, T3 (RE=15.33 год) та T1 (RE=10.70 год) прив'язані до фічі BOOK-26 «Smart-пошук».</w:t>
      </w:r>
    </w:p>
    <w:p>
      <w:r>
        <w:t xml:space="preserve"/>
      </w:r>
    </w:p>
    <w:p>
      <w:pPr>
        <w:spacing w:after="80" w:before="80"/>
      </w:pPr>
      <w:r>
        <w:rPr>
          <w:rFonts w:ascii="Arial" w:cs="Arial" w:eastAsia="Arial" w:hAnsi="Arial"/>
          <w:sz w:val="22"/>
          <w:szCs w:val="22"/>
        </w:rPr>
        <w:t xml:space="preserve">Управлінське рішення: Перенести US №9 «Як читач, я хочу шукати книги за назвою» (8 SP, E=30.66 год) до наступного спринту.</w:t>
      </w:r>
    </w:p>
    <w:p>
      <w:r>
        <w:t xml:space="preserve"/>
      </w:r>
    </w:p>
    <w:p>
      <w:pPr>
        <w:spacing w:after="80" w:before="80"/>
      </w:pPr>
      <w:r>
        <w:rPr>
          <w:rFonts w:ascii="Arial" w:cs="Arial" w:eastAsia="Arial" w:hAnsi="Arial"/>
          <w:b/>
          <w:bCs/>
          <w:sz w:val="22"/>
          <w:szCs w:val="22"/>
        </w:rPr>
        <w:t xml:space="preserve">Обґрунтування:</w:t>
      </w:r>
    </w:p>
    <w:p>
      <w:pPr>
        <w:pStyle w:val="ListParagraph"/>
        <w:numPr>
          <w:ilvl w:val="0"/>
          <w:numId w:val="2"/>
        </w:numPr>
        <w:spacing w:after="40" w:before="40"/>
      </w:pPr>
      <w:r>
        <w:rPr>
          <w:rFonts w:ascii="Arial" w:cs="Arial" w:eastAsia="Arial" w:hAnsi="Arial"/>
          <w:sz w:val="22"/>
          <w:szCs w:val="22"/>
        </w:rPr>
        <w:t xml:space="preserve">Пошук через сторонній API — корисна, але не критична для запуску фіча. Бібліотека (US №5) та авторизація (US №13) мають вищий пріоритет для активації перших 100 користувачів.</w:t>
      </w:r>
    </w:p>
    <w:p>
      <w:pPr>
        <w:pStyle w:val="ListParagraph"/>
        <w:numPr>
          <w:ilvl w:val="0"/>
          <w:numId w:val="2"/>
        </w:numPr>
        <w:spacing w:after="40" w:before="40"/>
      </w:pPr>
      <w:r>
        <w:rPr>
          <w:rFonts w:ascii="Arial" w:cs="Arial" w:eastAsia="Arial" w:hAnsi="Arial"/>
          <w:sz w:val="22"/>
          <w:szCs w:val="22"/>
        </w:rPr>
        <w:t xml:space="preserve">Видалення US №9 прибирає ризики T1 і T3 зі спринту, знижуючи буфер на 26.03 год: 68.91 – 26.03 = 42.88 год → 28.2% від Capacity.</w:t>
      </w:r>
    </w:p>
    <w:p>
      <w:pPr>
        <w:pStyle w:val="ListParagraph"/>
        <w:numPr>
          <w:ilvl w:val="0"/>
          <w:numId w:val="2"/>
        </w:numPr>
        <w:spacing w:after="40" w:before="40"/>
      </w:pPr>
      <w:r>
        <w:rPr>
          <w:rFonts w:ascii="Arial" w:cs="Arial" w:eastAsia="Arial" w:hAnsi="Arial"/>
          <w:sz w:val="22"/>
          <w:szCs w:val="22"/>
        </w:rPr>
        <w:t xml:space="preserve">Оскільки оновлений буфер (42.88 год, 28.2%) все ще &gt; 20%, команда не бере нових фіч. Весь вивільнений час спрямовується на мітигацію T2: налаштування CI/CD (pubspec.lock + build check), що збиває P з 4 до 1 та виводить проєкт у Green Zone.</w:t>
      </w:r>
    </w:p>
    <w:p>
      <w:r>
        <w:t xml:space="preserve"/>
      </w:r>
    </w:p>
    <w:p>
      <w:pPr>
        <w:spacing w:after="80" w:before="80"/>
      </w:pPr>
      <w:r>
        <w:rPr>
          <w:rFonts w:ascii="Arial" w:cs="Arial" w:eastAsia="Arial" w:hAnsi="Arial"/>
          <w:i/>
          <w:iCs/>
          <w:sz w:val="22"/>
          <w:szCs w:val="22"/>
        </w:rPr>
        <w:t xml:space="preserve">Оновлений Sprint Backlog після Scope Reduction: US №5 (5 SP, 32.66 год) + US №13 (8 SP, 18.51 год) + технічна задача мітигації T2 (~8 год) = 59.17 год при Real Capacity 152 год. Завантаженість: ~39%.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2026-04-14T16:56:25.844Z</dcterms:created>
  <dcterms:modified xsi:type="dcterms:W3CDTF">2026-04-14T16:56:25.845Z</dcterms:modified>
</cp:coreProperties>
</file>

<file path=docProps/custom.xml><?xml version="1.0" encoding="utf-8"?>
<Properties xmlns="http://schemas.openxmlformats.org/officeDocument/2006/custom-properties" xmlns:vt="http://schemas.openxmlformats.org/officeDocument/2006/docPropsVTypes"/>
</file>