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0"/>
      </w:pPr>
      <w:r>
        <w:rPr>
          <w:rFonts w:ascii="Calibri" w:hAnsi="Calibri"/>
          <w:b/>
          <w:sz w:val="34"/>
        </w:rPr>
        <w:t>MELDA AKAN</w:t>
      </w:r>
    </w:p>
    <w:p>
      <w:pPr>
        <w:jc w:val="center"/>
        <w:spacing w:before="0" w:after="0"/>
      </w:pPr>
      <w:r>
        <w:rPr>
          <w:rFonts w:ascii="Calibri" w:hAnsi="Calibri"/>
          <w:sz w:val="20"/>
        </w:rPr>
        <w:t>Address: Arlington, Virginia, USA</w:t>
      </w:r>
    </w:p>
    <w:p>
      <w:pPr>
        <w:jc w:val="center"/>
        <w:spacing w:before="0" w:after="60"/>
      </w:pPr>
      <w:r>
        <w:rPr>
          <w:rFonts w:ascii="Calibri" w:hAnsi="Calibri"/>
          <w:sz w:val="20"/>
        </w:rPr>
        <w:t>Tel: (571) 622 7403  |  Email: melda_akan@gwu.edu  |  https://www.linkedin.com/in/mkarasahin/</w:t>
      </w:r>
    </w:p>
    <w:p>
      <w:pPr>
        <w:spacing w:before="0" w:after="60"/>
      </w:pPr>
      <w:r>
        <w:rPr>
          <w:rFonts w:ascii="Calibri" w:hAnsi="Calibri"/>
          <w:i/>
          <w:sz w:val="20"/>
        </w:rPr>
        <w:t>Applied economist with extensive experience in investment analysis, strategic business development, and global stakeholder management, leveraging data-driven insights to foster sustainable development and market creation. Proven ability to translate complex financial offerings and technical infrastructure needs into impactful, scalable solutions, with a strong focus on emerging markets and cross-functional leadership. Committed to driving private sector engagement and innovation within the waste sector, aligning with IFC's mission to address global development challenges.</w:t>
      </w:r>
    </w:p>
    <w:p>
      <w:pPr>
        <w:spacing w:before="80" w:after="20"/>
        <w:pBdr>
          <w:bottom w:val="single" w:sz="6" w:space="1" w:color="000000"/>
        </w:pBdr>
      </w:pPr>
      <w:r>
        <w:rPr>
          <w:rFonts w:ascii="Calibri" w:hAnsi="Calibri"/>
          <w:b/>
          <w:sz w:val="22"/>
        </w:rPr>
        <w:t>EXPERIENCE</w:t>
      </w:r>
    </w:p>
    <w:p>
      <w:pPr>
        <w:spacing w:before="40" w:after="0"/>
        <w:tabs>
          <w:tab w:val="right" w:pos="10800"/>
        </w:tabs>
      </w:pPr>
      <w:r>
        <w:rPr>
          <w:rFonts w:ascii="Calibri" w:hAnsi="Calibri"/>
          <w:b/>
          <w:sz w:val="20"/>
        </w:rPr>
        <w:t>THE WORLD BANK</w:t>
      </w:r>
      <w:r>
        <w:tab/>
      </w:r>
      <w:r>
        <w:rPr>
          <w:rFonts w:ascii="Calibri" w:hAnsi="Calibri"/>
          <w:b/>
          <w:sz w:val="20"/>
        </w:rPr>
        <w:t>Washington, DC</w:t>
      </w:r>
    </w:p>
    <w:p>
      <w:pPr>
        <w:spacing w:before="0" w:after="0"/>
        <w:tabs>
          <w:tab w:val="right" w:pos="10800"/>
        </w:tabs>
      </w:pPr>
      <w:r>
        <w:rPr>
          <w:rFonts w:ascii="Calibri" w:hAnsi="Calibri"/>
          <w:b/>
          <w:sz w:val="20"/>
        </w:rPr>
        <w:t>Summer Research and Analytics Consultant</w:t>
      </w:r>
      <w:r>
        <w:tab/>
      </w:r>
      <w:r>
        <w:rPr>
          <w:rFonts w:ascii="Calibri" w:hAnsi="Calibri"/>
          <w:sz w:val="20"/>
        </w:rPr>
        <w:t>May 2025 – August 2025</w:t>
      </w:r>
    </w:p>
    <w:p>
      <w:pPr>
        <w:pStyle w:val="ListBullet"/>
        <w:spacing w:before="0" w:after="0"/>
      </w:pPr>
      <w:r>
        <w:rPr>
          <w:rFonts w:ascii="Calibri" w:hAnsi="Calibri"/>
          <w:sz w:val="20"/>
        </w:rPr>
        <w:t>Facilitated the digital transformation of financial data management and visualization systems, leading the migration of 300+ reporting templates from Excel to an AI-driven platform, which reduced processing time by 40% and enhanced real-time outcome tracking for annual financial close.</w:t>
      </w:r>
    </w:p>
    <w:p>
      <w:pPr>
        <w:pStyle w:val="ListBullet"/>
        <w:spacing w:before="0" w:after="0"/>
      </w:pPr>
      <w:r>
        <w:rPr>
          <w:rFonts w:ascii="Calibri" w:hAnsi="Calibri"/>
          <w:sz w:val="20"/>
        </w:rPr>
        <w:t>Produced analytical reports and disclosures that strengthened accountability and transparency, aligning financial performance narratives with World Bank Group (WBG) policy and outcome-oriented reporting frameworks relevant to development finance.</w:t>
      </w:r>
    </w:p>
    <w:p>
      <w:pPr>
        <w:pStyle w:val="ListBullet"/>
        <w:spacing w:before="0" w:after="0"/>
      </w:pPr>
      <w:r>
        <w:rPr>
          <w:rFonts w:ascii="Calibri" w:hAnsi="Calibri"/>
          <w:sz w:val="20"/>
        </w:rPr>
        <w:t>Analyzed and synthesized complex financial and economic data to identify key performance drivers, providing strategic insights that informed high-level decision-making and supported development outcomes.</w:t>
      </w:r>
    </w:p>
    <w:p>
      <w:pPr>
        <w:pStyle w:val="ListBullet"/>
        <w:spacing w:before="0" w:after="0"/>
      </w:pPr>
      <w:r>
        <w:rPr>
          <w:rFonts w:ascii="Calibri" w:hAnsi="Calibri"/>
          <w:sz w:val="20"/>
        </w:rPr>
        <w:t>Supported institutional reporting and governance-ready deliverables by coordinating inputs across diverse teams, standardizing templates, and improving quality control for leadership-facing materials.</w:t>
      </w:r>
    </w:p>
    <w:p>
      <w:pPr>
        <w:pStyle w:val="ListBullet"/>
        <w:spacing w:before="0" w:after="0"/>
      </w:pPr>
      <w:r>
        <w:rPr>
          <w:rFonts w:ascii="Calibri" w:hAnsi="Calibri"/>
          <w:sz w:val="20"/>
        </w:rPr>
        <w:t>Tracked progress across multiple workstreams, proactively flagged risks, and ensured timely follow-through with stakeholders to maintain project schedules under tight deadlines, fostering efficient operational delivery.</w:t>
      </w:r>
    </w:p>
    <w:p>
      <w:pPr>
        <w:spacing w:before="40" w:after="0"/>
        <w:tabs>
          <w:tab w:val="right" w:pos="10800"/>
        </w:tabs>
      </w:pPr>
      <w:r>
        <w:rPr>
          <w:rFonts w:ascii="Calibri" w:hAnsi="Calibri"/>
          <w:b/>
          <w:sz w:val="20"/>
        </w:rPr>
        <w:t>THE GEORGE WASHINGTON UNIVERSITY</w:t>
      </w:r>
      <w:r>
        <w:tab/>
      </w:r>
      <w:r>
        <w:rPr>
          <w:rFonts w:ascii="Calibri" w:hAnsi="Calibri"/>
          <w:b/>
          <w:sz w:val="20"/>
        </w:rPr>
        <w:t>Washington, DC</w:t>
      </w:r>
    </w:p>
    <w:p>
      <w:pPr>
        <w:spacing w:before="0" w:after="0"/>
        <w:tabs>
          <w:tab w:val="right" w:pos="10800"/>
        </w:tabs>
      </w:pPr>
      <w:r>
        <w:rPr>
          <w:rFonts w:ascii="Calibri" w:hAnsi="Calibri"/>
          <w:b/>
          <w:sz w:val="20"/>
        </w:rPr>
        <w:t>Graduate Research Assistant</w:t>
      </w:r>
      <w:r>
        <w:tab/>
      </w:r>
      <w:r>
        <w:rPr>
          <w:rFonts w:ascii="Calibri" w:hAnsi="Calibri"/>
          <w:sz w:val="20"/>
        </w:rPr>
        <w:t>January 2024 – Present</w:t>
      </w:r>
    </w:p>
    <w:p>
      <w:pPr>
        <w:pStyle w:val="ListBullet"/>
        <w:spacing w:before="0" w:after="0"/>
      </w:pPr>
      <w:r>
        <w:rPr>
          <w:rFonts w:ascii="Calibri" w:hAnsi="Calibri"/>
          <w:sz w:val="20"/>
        </w:rPr>
        <w:t>Built and maintained large-scale SIPP (Survey of Income and Program Participation) microdata across multiple panels (1983–2024; 25M+ observations) in Stata, implementing reproducible scripts for merges, recodes, and panel harmonization.</w:t>
      </w:r>
    </w:p>
    <w:p>
      <w:pPr>
        <w:pStyle w:val="ListBullet"/>
        <w:spacing w:before="0" w:after="0"/>
      </w:pPr>
      <w:r>
        <w:rPr>
          <w:rFonts w:ascii="Calibri" w:hAnsi="Calibri"/>
          <w:sz w:val="20"/>
        </w:rPr>
        <w:t>Conducted comprehensive policy analysis of Australia’s family tax benefit system, evaluating its historical development, policy frameworks, and fiscal impact to inform research on social protection and women’s labor force participation.</w:t>
      </w:r>
    </w:p>
    <w:p>
      <w:pPr>
        <w:pStyle w:val="ListBullet"/>
        <w:spacing w:before="0" w:after="0"/>
      </w:pPr>
      <w:r>
        <w:rPr>
          <w:rFonts w:ascii="Calibri" w:hAnsi="Calibri"/>
          <w:sz w:val="20"/>
        </w:rPr>
        <w:t>Designed and executed rigorous quality-control checks, including missing-code audits and cross-year comparability checks in R, ensuring publication-ready reliability and producing concise data notes for collaborators.</w:t>
      </w:r>
    </w:p>
    <w:p>
      <w:pPr>
        <w:pStyle w:val="ListBullet"/>
        <w:spacing w:before="0" w:after="0"/>
      </w:pPr>
      <w:r>
        <w:rPr>
          <w:rFonts w:ascii="Calibri" w:hAnsi="Calibri"/>
          <w:sz w:val="20"/>
        </w:rPr>
        <w:t>Identified, harmonized, and extracted complex severance-related variables across survey years, constructing a consistent annual time series to support empirical analysis of labor-market outcomes and related policy questions.</w:t>
      </w:r>
    </w:p>
    <w:p>
      <w:pPr>
        <w:pStyle w:val="ListBullet"/>
        <w:spacing w:before="0" w:after="0"/>
      </w:pPr>
      <w:r>
        <w:rPr>
          <w:rFonts w:ascii="Calibri" w:hAnsi="Calibri"/>
          <w:sz w:val="20"/>
        </w:rPr>
        <w:t>Synthesized extensive literature reviews and cross-country policy comparisons into structured reports and policy memos, translating technical findings into clear summaries for academic and non-technical audiences.</w:t>
      </w:r>
    </w:p>
    <w:p>
      <w:pPr>
        <w:spacing w:before="40" w:after="0"/>
        <w:tabs>
          <w:tab w:val="right" w:pos="10800"/>
        </w:tabs>
      </w:pPr>
      <w:r>
        <w:rPr>
          <w:rFonts w:ascii="Calibri" w:hAnsi="Calibri"/>
          <w:b/>
          <w:sz w:val="20"/>
        </w:rPr>
        <w:t>TURKISH AIRLINES</w:t>
      </w:r>
      <w:r>
        <w:tab/>
      </w:r>
      <w:r>
        <w:rPr>
          <w:rFonts w:ascii="Calibri" w:hAnsi="Calibri"/>
          <w:b/>
          <w:sz w:val="20"/>
        </w:rPr>
        <w:t>Istanbul, Turkey</w:t>
      </w:r>
    </w:p>
    <w:p>
      <w:pPr>
        <w:spacing w:before="0" w:after="0"/>
        <w:tabs>
          <w:tab w:val="right" w:pos="10800"/>
        </w:tabs>
      </w:pPr>
      <w:r>
        <w:rPr>
          <w:rFonts w:ascii="Calibri" w:hAnsi="Calibri"/>
          <w:b/>
          <w:sz w:val="20"/>
        </w:rPr>
        <w:t>Senior Global Corporate Account Manager</w:t>
      </w:r>
      <w:r>
        <w:tab/>
      </w:r>
      <w:r>
        <w:rPr>
          <w:rFonts w:ascii="Calibri" w:hAnsi="Calibri"/>
          <w:sz w:val="20"/>
        </w:rPr>
        <w:t>May 2019 – March 2022</w:t>
      </w:r>
    </w:p>
    <w:p>
      <w:pPr>
        <w:spacing w:before="0" w:after="0"/>
        <w:tabs>
          <w:tab w:val="right" w:pos="10800"/>
        </w:tabs>
      </w:pPr>
      <w:r>
        <w:rPr>
          <w:rFonts w:ascii="Calibri" w:hAnsi="Calibri"/>
          <w:b/>
          <w:sz w:val="20"/>
        </w:rPr>
        <w:t>Global Corporate Account Manager</w:t>
      </w:r>
      <w:r>
        <w:tab/>
      </w:r>
      <w:r>
        <w:rPr>
          <w:rFonts w:ascii="Calibri" w:hAnsi="Calibri"/>
          <w:sz w:val="20"/>
        </w:rPr>
        <w:t>May 2016 – May 2019</w:t>
      </w:r>
    </w:p>
    <w:p>
      <w:pPr>
        <w:pStyle w:val="ListBullet"/>
        <w:spacing w:before="0" w:after="0"/>
      </w:pPr>
      <w:r>
        <w:rPr>
          <w:rFonts w:ascii="Calibri" w:hAnsi="Calibri"/>
          <w:sz w:val="20"/>
        </w:rPr>
        <w:t>Managed strategic relationships with Fortune 500 corporate clients, including Google and Mastercard, and global Travel Management Companies (TMCs) across 35+ markets, serving as the primary liaison for commercial negotiations and performance oversight.</w:t>
      </w:r>
    </w:p>
    <w:p>
      <w:pPr>
        <w:pStyle w:val="ListBullet"/>
        <w:spacing w:before="0" w:after="0"/>
      </w:pPr>
      <w:r>
        <w:rPr>
          <w:rFonts w:ascii="Calibri" w:hAnsi="Calibri"/>
          <w:sz w:val="20"/>
        </w:rPr>
        <w:t>Led contract negotiation processes for enterprise agreements, assessing commercial and operational risks, and developing mitigation strategies to protect service quality and optimize financial outcomes for a global portfolio.</w:t>
      </w:r>
    </w:p>
    <w:p>
      <w:pPr>
        <w:pStyle w:val="ListBullet"/>
        <w:spacing w:before="0" w:after="0"/>
      </w:pPr>
      <w:r>
        <w:rPr>
          <w:rFonts w:ascii="Calibri" w:hAnsi="Calibri"/>
          <w:sz w:val="20"/>
        </w:rPr>
        <w:t>Launched a new Small and Medium-sized Enterprise (SME)-focused digital product by coordinating local sales teams and partnering with IT, driving digital transformation in client onboarding and service delivery, resulting in 10,000 new clients within 3 months.</w:t>
      </w:r>
    </w:p>
    <w:p>
      <w:pPr>
        <w:pStyle w:val="ListBullet"/>
        <w:spacing w:before="0" w:after="0"/>
      </w:pPr>
      <w:r>
        <w:rPr>
          <w:rFonts w:ascii="Calibri" w:hAnsi="Calibri"/>
          <w:sz w:val="20"/>
        </w:rPr>
        <w:t>Developed comprehensive dashboards by analyzing corporate travel policies and revenue potential across 35+ markets, increasing revenue on targeted routes by over 20% for three consecutive years without escalating incentive costs.</w:t>
      </w:r>
    </w:p>
    <w:p>
      <w:pPr>
        <w:pStyle w:val="ListBullet"/>
        <w:spacing w:before="0" w:after="0"/>
      </w:pPr>
      <w:r>
        <w:rPr>
          <w:rFonts w:ascii="Calibri" w:hAnsi="Calibri"/>
          <w:sz w:val="20"/>
        </w:rPr>
        <w:t>Planned and executed the Turkish Airlines Corporate Club Conference, hosting 1,200 business travel experts from 75 countries, managing all logistics, vendor coordination, and on-site protocol for high-level stakeholders.</w:t>
      </w:r>
    </w:p>
    <w:p>
      <w:pPr>
        <w:pStyle w:val="ListBullet"/>
        <w:spacing w:before="0" w:after="0"/>
      </w:pPr>
      <w:r>
        <w:rPr>
          <w:rFonts w:ascii="Calibri" w:hAnsi="Calibri"/>
          <w:sz w:val="20"/>
        </w:rPr>
        <w:t>Coordinated with the data warehouse team to resolve missing or incorrect customer, sales, and flight records, utilizing VBA to flag anomalies and validate data, thereby improving reporting accuracy for business analysis.</w:t>
      </w:r>
    </w:p>
    <w:p>
      <w:pPr>
        <w:spacing w:before="40" w:after="0"/>
        <w:tabs>
          <w:tab w:val="right" w:pos="10800"/>
        </w:tabs>
      </w:pPr>
      <w:r>
        <w:rPr>
          <w:rFonts w:ascii="Calibri" w:hAnsi="Calibri"/>
          <w:b/>
          <w:sz w:val="20"/>
        </w:rPr>
        <w:t>SIEMENS</w:t>
      </w:r>
      <w:r>
        <w:tab/>
      </w:r>
      <w:r>
        <w:rPr>
          <w:rFonts w:ascii="Calibri" w:hAnsi="Calibri"/>
          <w:b/>
          <w:sz w:val="20"/>
        </w:rPr>
        <w:t>Istanbul, Turkey</w:t>
      </w:r>
    </w:p>
    <w:p>
      <w:pPr>
        <w:spacing w:before="0" w:after="0"/>
        <w:tabs>
          <w:tab w:val="right" w:pos="10800"/>
        </w:tabs>
      </w:pPr>
      <w:r>
        <w:rPr>
          <w:rFonts w:ascii="Calibri" w:hAnsi="Calibri"/>
          <w:b/>
          <w:sz w:val="20"/>
        </w:rPr>
        <w:t>Marketing &amp; Proposal Manager</w:t>
      </w:r>
      <w:r>
        <w:tab/>
      </w:r>
      <w:r>
        <w:rPr>
          <w:rFonts w:ascii="Calibri" w:hAnsi="Calibri"/>
          <w:sz w:val="20"/>
        </w:rPr>
        <w:t>May 2013 – May 2016</w:t>
      </w:r>
    </w:p>
    <w:p>
      <w:pPr>
        <w:pStyle w:val="ListBullet"/>
        <w:spacing w:before="0" w:after="0"/>
      </w:pPr>
      <w:r>
        <w:rPr>
          <w:rFonts w:ascii="Calibri" w:hAnsi="Calibri"/>
          <w:sz w:val="20"/>
        </w:rPr>
        <w:t>Developed compliance-ready infrastructure proposals, preparing over 25 solution bids for EMEA and Turkish smart grid clients that incorporated national grid codes, technical standards, and utility procurement rules, relevant for municipal and environmental infrastructure.</w:t>
      </w:r>
    </w:p>
    <w:p>
      <w:pPr>
        <w:pStyle w:val="ListBullet"/>
        <w:spacing w:before="0" w:after="0"/>
      </w:pPr>
      <w:r>
        <w:rPr>
          <w:rFonts w:ascii="Calibri" w:hAnsi="Calibri"/>
          <w:sz w:val="20"/>
        </w:rPr>
        <w:t>Conducted in-depth market, competitor, and portfolio analysis to identify strategic opportunities and inform business planning within the smart grid and energy solutions sectors, supporting Siemens' global strategy for energy transition and digital transformation.</w:t>
      </w:r>
    </w:p>
    <w:p>
      <w:pPr>
        <w:pStyle w:val="ListBullet"/>
        <w:spacing w:before="0" w:after="0"/>
      </w:pPr>
      <w:r>
        <w:rPr>
          <w:rFonts w:ascii="Calibri" w:hAnsi="Calibri"/>
          <w:sz w:val="20"/>
        </w:rPr>
        <w:t>Represented technical, commercial, and financial aspects during negotiations with international clients such as Saudi Aramco and TANAP, navigating complex country-specific regulatory and approval processes for energy projects.</w:t>
      </w:r>
    </w:p>
    <w:p>
      <w:pPr>
        <w:pStyle w:val="ListBullet"/>
        <w:spacing w:before="0" w:after="0"/>
      </w:pPr>
      <w:r>
        <w:rPr>
          <w:rFonts w:ascii="Calibri" w:hAnsi="Calibri"/>
          <w:sz w:val="20"/>
        </w:rPr>
        <w:t>Crafted detailed business cases for energy infrastructure initiatives, integrating commercial, technical, and financial considerations to directly contribute to Siemens' strategic positioning and project win rates in the energy sector.</w:t>
      </w:r>
    </w:p>
    <w:p>
      <w:pPr>
        <w:pStyle w:val="ListBullet"/>
        <w:spacing w:before="0" w:after="0"/>
      </w:pPr>
      <w:r>
        <w:rPr>
          <w:rFonts w:ascii="Calibri" w:hAnsi="Calibri"/>
          <w:sz w:val="20"/>
        </w:rPr>
        <w:t>Collaborated with regional teams and sector specialists to design tailored energy and digital grid solutions, enhancing project success rates and supporting sustainable infrastructure development.</w:t>
      </w:r>
    </w:p>
    <w:p>
      <w:pPr>
        <w:spacing w:before="80" w:after="20"/>
        <w:pBdr>
          <w:bottom w:val="single" w:sz="6" w:space="1" w:color="000000"/>
        </w:pBdr>
      </w:pPr>
      <w:r>
        <w:rPr>
          <w:rFonts w:ascii="Calibri" w:hAnsi="Calibri"/>
          <w:b/>
          <w:sz w:val="22"/>
        </w:rPr>
        <w:t>EDUCATION</w:t>
      </w:r>
    </w:p>
    <w:p>
      <w:pPr>
        <w:spacing w:before="40" w:after="0"/>
        <w:tabs>
          <w:tab w:val="right" w:pos="10800"/>
        </w:tabs>
      </w:pPr>
      <w:r>
        <w:rPr>
          <w:rFonts w:ascii="Calibri" w:hAnsi="Calibri"/>
          <w:b/>
          <w:sz w:val="20"/>
        </w:rPr>
        <w:t>THE GEORGE WASHINGTON UNIVERSITY (4.00/4.00 GPA)</w:t>
      </w:r>
      <w:r>
        <w:tab/>
      </w:r>
      <w:r>
        <w:rPr>
          <w:rFonts w:ascii="Calibri" w:hAnsi="Calibri"/>
          <w:b/>
          <w:sz w:val="20"/>
        </w:rPr>
        <w:t>Washington, DC</w:t>
      </w:r>
    </w:p>
    <w:p>
      <w:pPr>
        <w:spacing w:before="0" w:after="0"/>
        <w:tabs>
          <w:tab w:val="right" w:pos="10800"/>
        </w:tabs>
      </w:pPr>
      <w:r>
        <w:rPr>
          <w:rFonts w:ascii="Calibri" w:hAnsi="Calibri"/>
          <w:b/>
          <w:sz w:val="20"/>
        </w:rPr>
        <w:t>Applied Economics (MS)</w:t>
      </w:r>
      <w:r>
        <w:tab/>
      </w:r>
      <w:r>
        <w:rPr>
          <w:rFonts w:ascii="Calibri" w:hAnsi="Calibri"/>
          <w:sz w:val="20"/>
        </w:rPr>
        <w:t>January 2024 – December 2025 (Expected)</w:t>
      </w:r>
    </w:p>
    <w:p>
      <w:pPr>
        <w:pStyle w:val="ListBullet"/>
        <w:spacing w:before="0" w:after="0"/>
      </w:pPr>
      <w:r>
        <w:rPr>
          <w:rFonts w:ascii="Calibri" w:hAnsi="Calibri"/>
          <w:sz w:val="20"/>
        </w:rPr>
        <w:t>Global Leaders Fellowship Awardee</w:t>
      </w:r>
    </w:p>
    <w:p>
      <w:pPr>
        <w:pStyle w:val="ListBullet"/>
        <w:spacing w:before="0" w:after="0"/>
      </w:pPr>
      <w:r>
        <w:rPr>
          <w:rFonts w:ascii="Calibri" w:hAnsi="Calibri"/>
          <w:sz w:val="20"/>
        </w:rPr>
        <w:t>International Business Ethics and Sustainability Case Competition Winner (2025)</w:t>
      </w:r>
    </w:p>
    <w:p>
      <w:pPr>
        <w:pStyle w:val="ListBullet"/>
        <w:spacing w:before="0" w:after="0"/>
      </w:pPr>
      <w:r>
        <w:rPr>
          <w:rFonts w:ascii="Calibri" w:hAnsi="Calibri"/>
          <w:sz w:val="20"/>
        </w:rPr>
        <w:t>Relevant Coursework: Applied Financial Analysis, Quantitative Risk Management, Time Series, Applied Macroeconomics, Statistics, Econometrics, Applied Microeconomics, Finance 360, International Banking</w:t>
      </w:r>
    </w:p>
    <w:p>
      <w:pPr>
        <w:spacing w:before="40" w:after="0"/>
        <w:tabs>
          <w:tab w:val="right" w:pos="10800"/>
        </w:tabs>
      </w:pPr>
      <w:r>
        <w:rPr>
          <w:rFonts w:ascii="Calibri" w:hAnsi="Calibri"/>
          <w:b/>
          <w:sz w:val="20"/>
        </w:rPr>
        <w:t>THE GEORGE WASHINGTON UNIVERSITY (3.70/4.00 GPA)</w:t>
      </w:r>
      <w:r>
        <w:tab/>
      </w:r>
      <w:r>
        <w:rPr>
          <w:rFonts w:ascii="Calibri" w:hAnsi="Calibri"/>
          <w:b/>
          <w:sz w:val="20"/>
        </w:rPr>
        <w:t>Washington, DC</w:t>
      </w:r>
    </w:p>
    <w:p>
      <w:pPr>
        <w:spacing w:before="0" w:after="0"/>
        <w:tabs>
          <w:tab w:val="right" w:pos="10800"/>
        </w:tabs>
      </w:pPr>
      <w:r>
        <w:rPr>
          <w:rFonts w:ascii="Calibri" w:hAnsi="Calibri"/>
          <w:b/>
          <w:sz w:val="20"/>
        </w:rPr>
        <w:t>International Exchange Student – Economics (BA)</w:t>
      </w:r>
      <w:r>
        <w:tab/>
      </w:r>
      <w:r>
        <w:rPr>
          <w:rFonts w:ascii="Calibri" w:hAnsi="Calibri"/>
          <w:sz w:val="20"/>
        </w:rPr>
        <w:t>August 2022 – May 2023</w:t>
      </w:r>
    </w:p>
    <w:p>
      <w:pPr>
        <w:pStyle w:val="ListBullet"/>
        <w:spacing w:before="0" w:after="0"/>
      </w:pPr>
      <w:r>
        <w:rPr>
          <w:rFonts w:ascii="Calibri" w:hAnsi="Calibri"/>
          <w:sz w:val="20"/>
        </w:rPr>
        <w:t>International Exchange Student Scholarship</w:t>
      </w:r>
    </w:p>
    <w:p>
      <w:pPr>
        <w:pStyle w:val="ListBullet"/>
        <w:spacing w:before="0" w:after="0"/>
      </w:pPr>
      <w:r>
        <w:rPr>
          <w:rFonts w:ascii="Calibri" w:hAnsi="Calibri"/>
          <w:sz w:val="20"/>
        </w:rPr>
        <w:t>NWC (New Venture Competition) Semi-finalist</w:t>
      </w:r>
    </w:p>
    <w:p>
      <w:pPr>
        <w:pStyle w:val="ListBullet"/>
        <w:spacing w:before="0" w:after="0"/>
      </w:pPr>
      <w:r>
        <w:rPr>
          <w:rFonts w:ascii="Calibri" w:hAnsi="Calibri"/>
          <w:sz w:val="20"/>
        </w:rPr>
        <w:t>Relevant Coursework: Portfolio Management, Financial Economics, Econometrics, Financial Management and Markets, Economic Development, Public Finance and Taxation, Entrepreneurial Leadership</w:t>
      </w:r>
    </w:p>
    <w:p>
      <w:pPr>
        <w:spacing w:before="40" w:after="0"/>
        <w:tabs>
          <w:tab w:val="right" w:pos="10800"/>
        </w:tabs>
      </w:pPr>
      <w:r>
        <w:rPr>
          <w:rFonts w:ascii="Calibri" w:hAnsi="Calibri"/>
          <w:b/>
          <w:sz w:val="20"/>
        </w:rPr>
        <w:t>BOGAZICI UNIVERSITY (3.34/4.00 GPA)</w:t>
      </w:r>
      <w:r>
        <w:tab/>
      </w:r>
      <w:r>
        <w:rPr>
          <w:rFonts w:ascii="Calibri" w:hAnsi="Calibri"/>
          <w:b/>
          <w:sz w:val="20"/>
        </w:rPr>
        <w:t>Istanbul, Turkey</w:t>
      </w:r>
    </w:p>
    <w:p>
      <w:pPr>
        <w:spacing w:before="0" w:after="0"/>
        <w:tabs>
          <w:tab w:val="right" w:pos="10800"/>
        </w:tabs>
      </w:pPr>
      <w:r>
        <w:rPr>
          <w:rFonts w:ascii="Calibri" w:hAnsi="Calibri"/>
          <w:b/>
          <w:sz w:val="20"/>
        </w:rPr>
        <w:t>Economics (BA)</w:t>
      </w:r>
      <w:r>
        <w:tab/>
      </w:r>
      <w:r>
        <w:rPr>
          <w:rFonts w:ascii="Calibri" w:hAnsi="Calibri"/>
          <w:sz w:val="20"/>
        </w:rPr>
        <w:t>August 2020 – December 2024</w:t>
      </w:r>
    </w:p>
    <w:p>
      <w:pPr>
        <w:pStyle w:val="ListBullet"/>
        <w:spacing w:before="0" w:after="0"/>
      </w:pPr>
      <w:r>
        <w:rPr>
          <w:rFonts w:ascii="Calibri" w:hAnsi="Calibri"/>
          <w:sz w:val="20"/>
        </w:rPr>
        <w:t>Ranked as the top university in Turkey</w:t>
      </w:r>
    </w:p>
    <w:p>
      <w:pPr>
        <w:pStyle w:val="ListBullet"/>
        <w:spacing w:before="0" w:after="0"/>
      </w:pPr>
      <w:r>
        <w:rPr>
          <w:rFonts w:ascii="Calibri" w:hAnsi="Calibri"/>
          <w:sz w:val="20"/>
        </w:rPr>
        <w:t>Relevant Coursework: Computing for Economists (R), Chinese I-II, Macroeconomics I-II, Management Simulation, Microeconomics I-II, Statistics I-II, Game Theory, International Economics</w:t>
      </w:r>
    </w:p>
    <w:p>
      <w:pPr>
        <w:spacing w:before="40" w:after="0"/>
        <w:tabs>
          <w:tab w:val="right" w:pos="10800"/>
        </w:tabs>
      </w:pPr>
      <w:r>
        <w:rPr>
          <w:rFonts w:ascii="Calibri" w:hAnsi="Calibri"/>
          <w:b/>
          <w:sz w:val="20"/>
        </w:rPr>
        <w:t>YILDIZ TECHNICAL UNIVERSITY (3.93/4.00 GPA)</w:t>
      </w:r>
      <w:r>
        <w:tab/>
      </w:r>
      <w:r>
        <w:rPr>
          <w:rFonts w:ascii="Calibri" w:hAnsi="Calibri"/>
          <w:b/>
          <w:sz w:val="20"/>
        </w:rPr>
        <w:t>Istanbul, Turkey</w:t>
      </w:r>
    </w:p>
    <w:p>
      <w:pPr>
        <w:spacing w:before="0" w:after="0"/>
        <w:tabs>
          <w:tab w:val="right" w:pos="10800"/>
        </w:tabs>
      </w:pPr>
      <w:r>
        <w:rPr>
          <w:rFonts w:ascii="Calibri" w:hAnsi="Calibri"/>
          <w:b/>
          <w:sz w:val="20"/>
        </w:rPr>
        <w:t>Innovation, Administration and Entrepreneurship (MBA)</w:t>
      </w:r>
      <w:r>
        <w:tab/>
      </w:r>
      <w:r>
        <w:rPr>
          <w:rFonts w:ascii="Calibri" w:hAnsi="Calibri"/>
          <w:sz w:val="20"/>
        </w:rPr>
        <w:t>January 2016 – July 2018</w:t>
      </w:r>
    </w:p>
    <w:p>
      <w:pPr>
        <w:pStyle w:val="ListBullet"/>
        <w:spacing w:before="0" w:after="0"/>
      </w:pPr>
      <w:r>
        <w:rPr>
          <w:rFonts w:ascii="Calibri" w:hAnsi="Calibri"/>
          <w:sz w:val="20"/>
        </w:rPr>
        <w:t>Dean’s list (2016 &amp; 2017)</w:t>
      </w:r>
    </w:p>
    <w:p>
      <w:pPr>
        <w:pStyle w:val="ListBullet"/>
        <w:spacing w:before="0" w:after="0"/>
      </w:pPr>
      <w:r>
        <w:rPr>
          <w:rFonts w:ascii="Calibri" w:hAnsi="Calibri"/>
          <w:sz w:val="20"/>
        </w:rPr>
        <w:t>Relevant Coursework: Project Management, Strategic Management, Cultural Differences in Business</w:t>
      </w:r>
    </w:p>
    <w:p>
      <w:pPr>
        <w:spacing w:before="40" w:after="0"/>
        <w:tabs>
          <w:tab w:val="right" w:pos="10800"/>
        </w:tabs>
      </w:pPr>
      <w:r>
        <w:rPr>
          <w:rFonts w:ascii="Calibri" w:hAnsi="Calibri"/>
          <w:b/>
          <w:sz w:val="20"/>
        </w:rPr>
        <w:t>ISTANBUL TECHNICAL UNIVERSITY (3.16/4.00 GPA)</w:t>
      </w:r>
      <w:r>
        <w:tab/>
      </w:r>
      <w:r>
        <w:rPr>
          <w:rFonts w:ascii="Calibri" w:hAnsi="Calibri"/>
          <w:b/>
          <w:sz w:val="20"/>
        </w:rPr>
        <w:t>Istanbul, Turkey</w:t>
      </w:r>
    </w:p>
    <w:p>
      <w:pPr>
        <w:spacing w:before="0" w:after="0"/>
        <w:tabs>
          <w:tab w:val="right" w:pos="10800"/>
        </w:tabs>
      </w:pPr>
      <w:r>
        <w:rPr>
          <w:rFonts w:ascii="Calibri" w:hAnsi="Calibri"/>
          <w:b/>
          <w:sz w:val="20"/>
        </w:rPr>
        <w:t>Electrical &amp; Energy Engineering (BS)</w:t>
      </w:r>
      <w:r>
        <w:tab/>
      </w:r>
      <w:r>
        <w:rPr>
          <w:rFonts w:ascii="Calibri" w:hAnsi="Calibri"/>
          <w:sz w:val="20"/>
        </w:rPr>
        <w:t>September 2008 – June 2013</w:t>
      </w:r>
    </w:p>
    <w:p>
      <w:pPr>
        <w:pStyle w:val="ListBullet"/>
        <w:spacing w:before="0" w:after="0"/>
      </w:pPr>
      <w:r>
        <w:rPr>
          <w:rFonts w:ascii="Calibri" w:hAnsi="Calibri"/>
          <w:sz w:val="20"/>
        </w:rPr>
        <w:t>Ranked as the top technical university in Istanbul and the top electrical engineering department in Turkey</w:t>
      </w:r>
    </w:p>
    <w:p>
      <w:pPr>
        <w:pStyle w:val="ListBullet"/>
        <w:spacing w:before="0" w:after="0"/>
      </w:pPr>
      <w:r>
        <w:rPr>
          <w:rFonts w:ascii="Calibri" w:hAnsi="Calibri"/>
          <w:sz w:val="20"/>
        </w:rPr>
        <w:t>Siemens Future Professionals Scholarship</w:t>
      </w:r>
    </w:p>
    <w:p>
      <w:pPr>
        <w:pStyle w:val="ListBullet"/>
        <w:spacing w:before="0" w:after="0"/>
      </w:pPr>
      <w:r>
        <w:rPr>
          <w:rFonts w:ascii="Calibri" w:hAnsi="Calibri"/>
          <w:sz w:val="20"/>
        </w:rPr>
        <w:t>Finansbank Merit Based Scholarship</w:t>
      </w:r>
    </w:p>
    <w:p>
      <w:pPr>
        <w:pStyle w:val="ListBullet"/>
        <w:spacing w:before="0" w:after="0"/>
      </w:pPr>
      <w:r>
        <w:rPr>
          <w:rFonts w:ascii="Calibri" w:hAnsi="Calibri"/>
          <w:sz w:val="20"/>
        </w:rPr>
        <w:t>Relevant Coursework: Power Systems Modelling and Analysis, Electrical Distribution, Energy Market Pricing, Electrical Transmission Systems</w:t>
      </w:r>
    </w:p>
    <w:p>
      <w:pPr>
        <w:spacing w:before="80" w:after="20"/>
        <w:pBdr>
          <w:bottom w:val="single" w:sz="6" w:space="1" w:color="000000"/>
        </w:pBdr>
      </w:pPr>
      <w:r>
        <w:rPr>
          <w:rFonts w:ascii="Calibri" w:hAnsi="Calibri"/>
          <w:b/>
          <w:sz w:val="22"/>
        </w:rPr>
        <w:t>VOLUNTEER WORK</w:t>
      </w:r>
    </w:p>
    <w:p>
      <w:pPr>
        <w:spacing w:before="40" w:after="0"/>
        <w:tabs>
          <w:tab w:val="right" w:pos="10800"/>
        </w:tabs>
      </w:pPr>
      <w:r>
        <w:rPr>
          <w:rFonts w:ascii="Calibri" w:hAnsi="Calibri"/>
          <w:b/>
          <w:sz w:val="20"/>
        </w:rPr>
        <w:t>SIEMENS DIVERSITY CLUB</w:t>
      </w:r>
      <w:r>
        <w:tab/>
      </w:r>
      <w:r>
        <w:rPr>
          <w:rFonts w:ascii="Calibri" w:hAnsi="Calibri"/>
          <w:b/>
          <w:sz w:val="20"/>
        </w:rPr>
        <w:t>Istanbul, Turkey</w:t>
      </w:r>
    </w:p>
    <w:p>
      <w:pPr>
        <w:spacing w:before="0" w:after="0"/>
        <w:tabs>
          <w:tab w:val="right" w:pos="10800"/>
        </w:tabs>
      </w:pPr>
      <w:r>
        <w:rPr>
          <w:rFonts w:ascii="Calibri" w:hAnsi="Calibri"/>
          <w:b/>
          <w:sz w:val="20"/>
        </w:rPr>
        <w:t>Team Leader, Disabled Employee Committee</w:t>
      </w:r>
      <w:r>
        <w:tab/>
      </w:r>
      <w:r>
        <w:rPr>
          <w:rFonts w:ascii="Calibri" w:hAnsi="Calibri"/>
          <w:sz w:val="20"/>
        </w:rPr>
        <w:t>September 2014 – September 2015</w:t>
      </w:r>
    </w:p>
    <w:p>
      <w:pPr>
        <w:pStyle w:val="ListBullet"/>
        <w:spacing w:before="0" w:after="0"/>
      </w:pPr>
      <w:r>
        <w:rPr>
          <w:rFonts w:ascii="Calibri" w:hAnsi="Calibri"/>
          <w:sz w:val="20"/>
        </w:rPr>
        <w:t>Initiated and spearheaded a volunteer team focused on improving working conditions and accessibility for employees with disabilities, positively impacting over 100 individuals.</w:t>
      </w:r>
    </w:p>
    <w:p>
      <w:pPr>
        <w:pStyle w:val="ListBullet"/>
        <w:spacing w:before="0" w:after="0"/>
      </w:pPr>
      <w:r>
        <w:rPr>
          <w:rFonts w:ascii="Calibri" w:hAnsi="Calibri"/>
          <w:sz w:val="20"/>
        </w:rPr>
        <w:t>Launched a project to enable disabled candidates to apply for the same job advertisements on the company website, fostering a more inclusive recruitment process.</w:t>
      </w:r>
    </w:p>
    <w:p>
      <w:pPr>
        <w:spacing w:before="80" w:after="20"/>
        <w:pBdr>
          <w:bottom w:val="single" w:sz="6" w:space="1" w:color="000000"/>
        </w:pBdr>
      </w:pPr>
      <w:r>
        <w:rPr>
          <w:rFonts w:ascii="Calibri" w:hAnsi="Calibri"/>
          <w:b/>
          <w:sz w:val="22"/>
        </w:rPr>
        <w:t>SKILLS/ACTIVITIES</w:t>
      </w:r>
    </w:p>
    <w:p>
      <w:pPr>
        <w:pStyle w:val="ListBullet"/>
        <w:spacing w:before="0" w:after="0"/>
      </w:pPr>
      <w:r>
        <w:rPr>
          <w:rFonts w:ascii="Calibri" w:hAnsi="Calibri"/>
          <w:sz w:val="20"/>
        </w:rPr>
        <w:t>Technical skills: R, STATA, Python, Microsoft Office Tools, VBA, SQL, Power BI, MATLAB, Tableau, Canva, Prezi, Salesforce, Qualtrics, SPSS</w:t>
      </w:r>
    </w:p>
    <w:p>
      <w:pPr>
        <w:pStyle w:val="ListBullet"/>
        <w:spacing w:before="0" w:after="0"/>
      </w:pPr>
      <w:r>
        <w:rPr>
          <w:rFonts w:ascii="Calibri" w:hAnsi="Calibri"/>
          <w:sz w:val="20"/>
        </w:rPr>
        <w:t>Data skills: Data management; Processing, cleaning, transforming macroeconomic/microeconomic data; Working with large datasets; Data validation; AI-enabled analytics transformation; Database management; Data Quality Assurance (QA); Automated charting</w:t>
      </w:r>
    </w:p>
    <w:p>
      <w:pPr>
        <w:pStyle w:val="ListBullet"/>
        <w:spacing w:before="0" w:after="0"/>
      </w:pPr>
      <w:r>
        <w:rPr>
          <w:rFonts w:ascii="Calibri" w:hAnsi="Calibri"/>
          <w:sz w:val="20"/>
        </w:rPr>
        <w:t>Skills: Financial Planning &amp; Analysis, Financial reporting, Bloomberg Terminal, SAP, International Banking, Public Finance, Enterprise Valuation for M&amp;A</w:t>
      </w:r>
    </w:p>
    <w:p>
      <w:pPr>
        <w:pStyle w:val="ListBullet"/>
        <w:spacing w:before="0" w:after="0"/>
      </w:pPr>
      <w:r>
        <w:rPr>
          <w:rFonts w:ascii="Calibri" w:hAnsi="Calibri"/>
          <w:sz w:val="20"/>
        </w:rPr>
        <w:t>Go-to-Market Strategy, Market &amp; Competitive Intelligence, Pre-Sales Enablement (Demos/Presentations), RFP/RFQ &amp; Proposal Development, Pricing &amp; Commercial Strategy, Customer Feedback Loop, Stakeholder &amp; Partner Management, Cross-Cultural Communication, Digital Transformation, KPI Tracking &amp; Performance Reporting, CRM &amp; Pipeline Management, Contract Lifecycle Management, Process Improvement, PowerPoint Storytelling, Executive Communication, Strategic Analysis, Cross-Functional Project Management, Issue Tracking, Briefing/Memo Writing, Energy infrastructure, Utility regulation, Grid reliability, Procurement standards, Regulatory analysis, Economic development, MDB Ecosystem, Event &amp; meeting operations</w:t>
      </w:r>
    </w:p>
    <w:p>
      <w:pPr>
        <w:pStyle w:val="ListBullet"/>
        <w:spacing w:before="0" w:after="0"/>
      </w:pPr>
      <w:r>
        <w:rPr>
          <w:rFonts w:ascii="Calibri" w:hAnsi="Calibri"/>
          <w:sz w:val="20"/>
        </w:rPr>
        <w:t>Certifications: McKinsey Forward Program (2024), Build Project – Building 5 Year Financial Plan (2024), Build Project – Enterprise Valuation for M&amp;A (2024), Draper University Hero Leadership Program (2023), NABE - Communication for Economists (2025), Fundamentals of Business Travel Management – GBTA, Airline Marketing Introduction/Advanced – IATA Training, Negotiation Skills – GBTA Training</w:t>
      </w:r>
    </w:p>
    <w:p>
      <w:pPr>
        <w:pStyle w:val="ListBullet"/>
        <w:spacing w:before="0" w:after="0"/>
      </w:pPr>
      <w:r>
        <w:rPr>
          <w:rFonts w:ascii="Calibri" w:hAnsi="Calibri"/>
          <w:sz w:val="20"/>
        </w:rPr>
        <w:t>Language skills: Turkish (Native), English (Fluent), Chinese (Beginner)</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