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28612">
      <w:pPr>
        <w:pStyle w:val="6"/>
        <w:keepNext w:val="0"/>
        <w:keepLines w:val="0"/>
        <w:widowControl/>
        <w:suppressLineNumbers w:val="0"/>
        <w:shd w:val="clear" w:fill="F3F4F6"/>
        <w:spacing w:before="0" w:beforeAutospacing="0" w:after="0" w:afterAutospacing="0"/>
        <w:ind w:left="0" w:right="0" w:firstLine="0"/>
        <w:jc w:val="left"/>
        <w:rPr>
          <w:rFonts w:ascii="Arial" w:hAnsi="Arial" w:eastAsia="Arial" w:cs="Arial"/>
          <w:i w:val="0"/>
          <w:iCs w:val="0"/>
          <w:caps w:val="0"/>
          <w:color w:val="323A45"/>
          <w:spacing w:val="0"/>
          <w:sz w:val="16"/>
          <w:szCs w:val="16"/>
        </w:rPr>
      </w:pPr>
      <w:r>
        <w:rPr>
          <w:rStyle w:val="7"/>
          <w:rFonts w:ascii="Verdana" w:hAnsi="Verdana" w:eastAsia="Arial" w:cs="Verdana"/>
          <w:b/>
          <w:bCs/>
          <w:i w:val="0"/>
          <w:iCs w:val="0"/>
          <w:caps w:val="0"/>
          <w:color w:val="323A45"/>
          <w:spacing w:val="0"/>
          <w:sz w:val="36"/>
          <w:szCs w:val="36"/>
          <w:bdr w:val="none" w:color="auto" w:sz="0" w:space="0"/>
          <w:shd w:val="clear" w:fill="F3F4F6"/>
        </w:rPr>
        <w:t>Financial Officer / Data Science Officer</w:t>
      </w:r>
    </w:p>
    <w:tbl>
      <w:tblPr>
        <w:tblW w:w="690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4F6"/>
        <w:tblLayout w:type="autofit"/>
        <w:tblCellMar>
          <w:top w:w="0" w:type="dxa"/>
          <w:left w:w="0" w:type="dxa"/>
          <w:bottom w:w="0" w:type="dxa"/>
          <w:right w:w="0" w:type="dxa"/>
        </w:tblCellMar>
      </w:tblPr>
      <w:tblGrid>
        <w:gridCol w:w="2513"/>
        <w:gridCol w:w="4387"/>
      </w:tblGrid>
      <w:tr w14:paraId="3B7FF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4F6"/>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65AC0EDE">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Job #:</w:t>
            </w:r>
          </w:p>
        </w:tc>
        <w:tc>
          <w:tcPr>
            <w:tcW w:w="6480" w:type="dxa"/>
            <w:tcBorders>
              <w:bottom w:val="single" w:color="E4E7EC" w:sz="4" w:space="0"/>
            </w:tcBorders>
            <w:shd w:val="clear" w:color="auto" w:fill="F3F4F6"/>
            <w:vAlign w:val="center"/>
          </w:tcPr>
          <w:p w14:paraId="176E6D71">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req36024</w:t>
            </w:r>
          </w:p>
        </w:tc>
      </w:tr>
      <w:tr w14:paraId="388D3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48BC9456">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Organization:</w:t>
            </w:r>
          </w:p>
        </w:tc>
        <w:tc>
          <w:tcPr>
            <w:tcW w:w="6480" w:type="dxa"/>
            <w:tcBorders>
              <w:bottom w:val="single" w:color="E4E7EC" w:sz="4" w:space="0"/>
            </w:tcBorders>
            <w:shd w:val="clear" w:color="auto" w:fill="F3F4F6"/>
            <w:vAlign w:val="center"/>
          </w:tcPr>
          <w:p w14:paraId="4E6DF293">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World Bank</w:t>
            </w:r>
          </w:p>
        </w:tc>
      </w:tr>
      <w:tr w14:paraId="793EC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2194DCDD">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Sector:</w:t>
            </w:r>
          </w:p>
        </w:tc>
        <w:tc>
          <w:tcPr>
            <w:tcW w:w="6480" w:type="dxa"/>
            <w:tcBorders>
              <w:bottom w:val="single" w:color="E4E7EC" w:sz="4" w:space="0"/>
            </w:tcBorders>
            <w:shd w:val="clear" w:color="auto" w:fill="F3F4F6"/>
            <w:vAlign w:val="center"/>
          </w:tcPr>
          <w:p w14:paraId="710282B9">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Finance &amp; Accounting</w:t>
            </w:r>
          </w:p>
        </w:tc>
      </w:tr>
      <w:tr w14:paraId="2392E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2C48A818">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Grade:</w:t>
            </w:r>
          </w:p>
        </w:tc>
        <w:tc>
          <w:tcPr>
            <w:tcW w:w="6480" w:type="dxa"/>
            <w:tcBorders>
              <w:bottom w:val="single" w:color="E4E7EC" w:sz="4" w:space="0"/>
            </w:tcBorders>
            <w:shd w:val="clear" w:color="auto" w:fill="F3F4F6"/>
            <w:vAlign w:val="center"/>
          </w:tcPr>
          <w:p w14:paraId="62388903">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GF</w:t>
            </w:r>
          </w:p>
        </w:tc>
      </w:tr>
      <w:tr w14:paraId="7609F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21DCBA3E">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Term Duration:</w:t>
            </w:r>
            <w:r>
              <w:rPr>
                <w:rFonts w:hint="default" w:ascii="Arial" w:hAnsi="Arial" w:eastAsia="Arial" w:cs="Arial"/>
                <w:b/>
                <w:bCs/>
                <w:i w:val="0"/>
                <w:iCs w:val="0"/>
                <w:caps w:val="0"/>
                <w:color w:val="323A45"/>
                <w:spacing w:val="0"/>
                <w:kern w:val="0"/>
                <w:sz w:val="16"/>
                <w:szCs w:val="16"/>
                <w:lang w:val="en-US" w:eastAsia="zh-CN" w:bidi="ar"/>
              </w:rPr>
              <w:t> </w:t>
            </w:r>
          </w:p>
        </w:tc>
        <w:tc>
          <w:tcPr>
            <w:tcW w:w="6480" w:type="dxa"/>
            <w:tcBorders>
              <w:bottom w:val="single" w:color="E4E7EC" w:sz="4" w:space="0"/>
            </w:tcBorders>
            <w:shd w:val="clear" w:color="auto" w:fill="F3F4F6"/>
            <w:vAlign w:val="center"/>
          </w:tcPr>
          <w:p w14:paraId="36E2445F">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3 years 0 months</w:t>
            </w:r>
          </w:p>
        </w:tc>
      </w:tr>
      <w:tr w14:paraId="2AE01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01608B01">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Recruitment Type:</w:t>
            </w:r>
          </w:p>
        </w:tc>
        <w:tc>
          <w:tcPr>
            <w:tcW w:w="6480" w:type="dxa"/>
            <w:tcBorders>
              <w:bottom w:val="single" w:color="E4E7EC" w:sz="4" w:space="0"/>
            </w:tcBorders>
            <w:shd w:val="clear" w:color="auto" w:fill="F3F4F6"/>
            <w:vAlign w:val="center"/>
          </w:tcPr>
          <w:p w14:paraId="3C95B044">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International Recruitment</w:t>
            </w:r>
          </w:p>
        </w:tc>
      </w:tr>
      <w:tr w14:paraId="5A523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233F8815">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Location:</w:t>
            </w:r>
          </w:p>
        </w:tc>
        <w:tc>
          <w:tcPr>
            <w:tcW w:w="6480" w:type="dxa"/>
            <w:tcBorders>
              <w:bottom w:val="single" w:color="E4E7EC" w:sz="4" w:space="0"/>
            </w:tcBorders>
            <w:shd w:val="clear" w:color="auto" w:fill="F3F4F6"/>
            <w:vAlign w:val="center"/>
          </w:tcPr>
          <w:p w14:paraId="027913BF">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Washington, DC,United States</w:t>
            </w:r>
          </w:p>
        </w:tc>
      </w:tr>
      <w:tr w14:paraId="71D1D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0B995017">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Required Language(s):</w:t>
            </w:r>
          </w:p>
        </w:tc>
        <w:tc>
          <w:tcPr>
            <w:tcW w:w="6480" w:type="dxa"/>
            <w:tcBorders>
              <w:bottom w:val="single" w:color="E4E7EC" w:sz="4" w:space="0"/>
            </w:tcBorders>
            <w:shd w:val="clear" w:color="auto" w:fill="F3F4F6"/>
            <w:vAlign w:val="center"/>
          </w:tcPr>
          <w:p w14:paraId="70FE2AA5">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English</w:t>
            </w:r>
          </w:p>
        </w:tc>
      </w:tr>
      <w:tr w14:paraId="3F72A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4F6"/>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103A7638">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Preferred Language(s):</w:t>
            </w:r>
          </w:p>
        </w:tc>
        <w:tc>
          <w:tcPr>
            <w:tcW w:w="6480" w:type="dxa"/>
            <w:tcBorders>
              <w:bottom w:val="single" w:color="E4E7EC" w:sz="4" w:space="0"/>
            </w:tcBorders>
            <w:shd w:val="clear" w:color="auto" w:fill="F3F4F6"/>
            <w:vAlign w:val="center"/>
          </w:tcPr>
          <w:p w14:paraId="3F4B4A17">
            <w:pPr>
              <w:jc w:val="left"/>
              <w:rPr>
                <w:rFonts w:hint="default" w:ascii="Verdana" w:hAnsi="Verdana" w:eastAsia="Arial" w:cs="Verdana"/>
                <w:i w:val="0"/>
                <w:iCs w:val="0"/>
                <w:caps w:val="0"/>
                <w:color w:val="323A45"/>
                <w:spacing w:val="0"/>
                <w:sz w:val="16"/>
                <w:szCs w:val="16"/>
              </w:rPr>
            </w:pPr>
          </w:p>
        </w:tc>
      </w:tr>
      <w:tr w14:paraId="7A886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8" w:hRule="atLeast"/>
        </w:trPr>
        <w:tc>
          <w:tcPr>
            <w:tcW w:w="3360" w:type="dxa"/>
            <w:tcBorders>
              <w:bottom w:val="single" w:color="E4E7EC" w:sz="4" w:space="0"/>
            </w:tcBorders>
            <w:shd w:val="clear" w:color="auto" w:fill="F3F4F6"/>
            <w:vAlign w:val="center"/>
          </w:tcPr>
          <w:p w14:paraId="41632BD8">
            <w:pPr>
              <w:keepNext w:val="0"/>
              <w:keepLines w:val="0"/>
              <w:widowControl/>
              <w:suppressLineNumbers w:val="0"/>
              <w:spacing w:before="0" w:beforeAutospacing="0" w:after="0" w:afterAutospacing="0"/>
              <w:ind w:left="0" w:right="0"/>
              <w:jc w:val="left"/>
              <w:textAlignment w:val="center"/>
              <w:rPr>
                <w:rFonts w:hint="default" w:ascii="Arial" w:hAnsi="Arial" w:eastAsia="Arial" w:cs="Arial"/>
                <w:b/>
                <w:bCs/>
                <w:i w:val="0"/>
                <w:iCs w:val="0"/>
                <w:caps w:val="0"/>
                <w:color w:val="323A45"/>
                <w:spacing w:val="0"/>
                <w:sz w:val="16"/>
                <w:szCs w:val="16"/>
              </w:rPr>
            </w:pPr>
            <w:r>
              <w:rPr>
                <w:rFonts w:hint="default" w:ascii="Verdana" w:hAnsi="Verdana" w:eastAsia="Arial" w:cs="Verdana"/>
                <w:b/>
                <w:bCs/>
                <w:i w:val="0"/>
                <w:iCs w:val="0"/>
                <w:caps w:val="0"/>
                <w:color w:val="323A45"/>
                <w:spacing w:val="0"/>
                <w:kern w:val="0"/>
                <w:sz w:val="16"/>
                <w:szCs w:val="16"/>
                <w:bdr w:val="none" w:color="auto" w:sz="0" w:space="0"/>
                <w:lang w:val="en-US" w:eastAsia="zh-CN" w:bidi="ar"/>
              </w:rPr>
              <w:t>Closing Date:</w:t>
            </w:r>
          </w:p>
        </w:tc>
        <w:tc>
          <w:tcPr>
            <w:tcW w:w="6480" w:type="dxa"/>
            <w:tcBorders>
              <w:bottom w:val="single" w:color="E4E7EC" w:sz="4" w:space="0"/>
            </w:tcBorders>
            <w:shd w:val="clear" w:color="auto" w:fill="F3F4F6"/>
            <w:vAlign w:val="center"/>
          </w:tcPr>
          <w:p w14:paraId="1241502B">
            <w:pPr>
              <w:keepNext w:val="0"/>
              <w:keepLines w:val="0"/>
              <w:widowControl/>
              <w:suppressLineNumbers w:val="0"/>
              <w:spacing w:before="0" w:beforeAutospacing="0" w:after="0" w:afterAutospacing="0"/>
              <w:ind w:left="0" w:right="0"/>
              <w:jc w:val="left"/>
              <w:textAlignment w:val="center"/>
              <w:rPr>
                <w:rFonts w:hint="default" w:ascii="Verdana" w:hAnsi="Verdana" w:eastAsia="Arial" w:cs="Verdana"/>
                <w:i w:val="0"/>
                <w:iCs w:val="0"/>
                <w:caps w:val="0"/>
                <w:color w:val="323A45"/>
                <w:spacing w:val="0"/>
                <w:sz w:val="16"/>
                <w:szCs w:val="16"/>
              </w:rPr>
            </w:pPr>
            <w:r>
              <w:rPr>
                <w:rFonts w:hint="default" w:ascii="Verdana" w:hAnsi="Verdana" w:eastAsia="Arial" w:cs="Verdana"/>
                <w:i w:val="0"/>
                <w:iCs w:val="0"/>
                <w:caps w:val="0"/>
                <w:color w:val="323A45"/>
                <w:spacing w:val="0"/>
                <w:kern w:val="0"/>
                <w:sz w:val="16"/>
                <w:szCs w:val="16"/>
                <w:lang w:val="en-US" w:eastAsia="zh-CN" w:bidi="ar"/>
              </w:rPr>
              <w:t>4/6/2026 (MM/DD/YYYY) at 11:59pm UTC</w:t>
            </w:r>
          </w:p>
        </w:tc>
      </w:tr>
    </w:tbl>
    <w:p w14:paraId="426EC490">
      <w:pPr>
        <w:pStyle w:val="6"/>
        <w:keepNext w:val="0"/>
        <w:keepLines w:val="0"/>
        <w:widowControl/>
        <w:suppressLineNumbers w:val="0"/>
        <w:shd w:val="clear" w:fill="F3F4F6"/>
        <w:spacing w:before="0" w:beforeAutospacing="0" w:after="0" w:afterAutospacing="0"/>
        <w:ind w:left="0" w:right="0" w:firstLine="0"/>
        <w:rPr>
          <w:rFonts w:hint="default" w:ascii="Arial" w:hAnsi="Arial" w:eastAsia="Arial" w:cs="Arial"/>
          <w:i w:val="0"/>
          <w:iCs w:val="0"/>
          <w:caps w:val="0"/>
          <w:color w:val="323A45"/>
          <w:spacing w:val="0"/>
          <w:sz w:val="16"/>
          <w:szCs w:val="16"/>
        </w:rPr>
      </w:pPr>
      <w:r>
        <w:rPr>
          <w:rFonts w:hint="default" w:ascii="Verdana" w:hAnsi="Verdana" w:eastAsia="Arial" w:cs="Verdana"/>
          <w:b/>
          <w:bCs/>
          <w:i w:val="0"/>
          <w:iCs w:val="0"/>
          <w:caps w:val="0"/>
          <w:color w:val="323A45"/>
          <w:spacing w:val="0"/>
          <w:sz w:val="24"/>
          <w:szCs w:val="24"/>
          <w:bdr w:val="none" w:color="auto" w:sz="0" w:space="0"/>
          <w:shd w:val="clear" w:fill="F3F4F6"/>
        </w:rPr>
        <w:t>Description</w:t>
      </w:r>
    </w:p>
    <w:p w14:paraId="78A490E1">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Fonts w:hint="default" w:ascii="Verdana" w:hAnsi="Verdana" w:cs="Verdana"/>
          <w:i w:val="0"/>
          <w:iCs w:val="0"/>
          <w:caps w:val="0"/>
          <w:color w:val="323A45"/>
          <w:spacing w:val="0"/>
          <w:sz w:val="24"/>
          <w:szCs w:val="24"/>
          <w:bdr w:val="none" w:color="auto" w:sz="0" w:space="0"/>
          <w:shd w:val="clear" w:fill="F3F4F6"/>
        </w:rPr>
        <w:t>Do you want to build a career that is truly worthwhile? The World Bank Group is a unique global partnership of five institutions driven by a bold vision to create a world free of poverty on a livable planet. As one of the largest sources of funding and knowledge for developing countries, we help solve the world’s greatest development challenges. When you join the World Bank Group, you become part of a dynamic, diverse organization with 189 member countries and more than 120 offices worldwide. We work with public and private sector partners, invest in groundbreaking projects, and use data, research, and technology to bring tangible and transformative changes around the globe. For more information, visit </w:t>
      </w:r>
      <w:r>
        <w:rPr>
          <w:rFonts w:hint="default" w:ascii="Verdana" w:hAnsi="Verdana" w:cs="Verdana"/>
          <w:i w:val="0"/>
          <w:iCs w:val="0"/>
          <w:caps w:val="0"/>
          <w:color w:val="337AB7"/>
          <w:spacing w:val="0"/>
          <w:sz w:val="24"/>
          <w:szCs w:val="24"/>
          <w:u w:val="none"/>
          <w:bdr w:val="none" w:color="auto" w:sz="0" w:space="0"/>
          <w:shd w:val="clear" w:fill="F3F4F6"/>
        </w:rPr>
        <w:fldChar w:fldCharType="begin"/>
      </w:r>
      <w:r>
        <w:rPr>
          <w:rFonts w:hint="default" w:ascii="Verdana" w:hAnsi="Verdana" w:cs="Verdana"/>
          <w:i w:val="0"/>
          <w:iCs w:val="0"/>
          <w:caps w:val="0"/>
          <w:color w:val="337AB7"/>
          <w:spacing w:val="0"/>
          <w:sz w:val="24"/>
          <w:szCs w:val="24"/>
          <w:u w:val="none"/>
          <w:bdr w:val="none" w:color="auto" w:sz="0" w:space="0"/>
          <w:shd w:val="clear" w:fill="F3F4F6"/>
        </w:rPr>
        <w:instrText xml:space="preserve"> HYPERLINK "http://www.worldbank.org/" </w:instrText>
      </w:r>
      <w:r>
        <w:rPr>
          <w:rFonts w:hint="default" w:ascii="Verdana" w:hAnsi="Verdana" w:cs="Verdana"/>
          <w:i w:val="0"/>
          <w:iCs w:val="0"/>
          <w:caps w:val="0"/>
          <w:color w:val="337AB7"/>
          <w:spacing w:val="0"/>
          <w:sz w:val="24"/>
          <w:szCs w:val="24"/>
          <w:u w:val="none"/>
          <w:bdr w:val="none" w:color="auto" w:sz="0" w:space="0"/>
          <w:shd w:val="clear" w:fill="F3F4F6"/>
        </w:rPr>
        <w:fldChar w:fldCharType="separate"/>
      </w:r>
      <w:r>
        <w:rPr>
          <w:rStyle w:val="5"/>
          <w:rFonts w:hint="default" w:ascii="Verdana" w:hAnsi="Verdana" w:cs="Verdana"/>
          <w:i w:val="0"/>
          <w:iCs w:val="0"/>
          <w:caps w:val="0"/>
          <w:color w:val="337AB7"/>
          <w:spacing w:val="0"/>
          <w:sz w:val="24"/>
          <w:szCs w:val="24"/>
          <w:u w:val="none"/>
          <w:bdr w:val="none" w:color="auto" w:sz="0" w:space="0"/>
          <w:shd w:val="clear" w:fill="F3F4F6"/>
        </w:rPr>
        <w:t>www.worldbank.org</w:t>
      </w:r>
      <w:r>
        <w:rPr>
          <w:rFonts w:hint="default" w:ascii="Verdana" w:hAnsi="Verdana" w:cs="Verdana"/>
          <w:i w:val="0"/>
          <w:iCs w:val="0"/>
          <w:caps w:val="0"/>
          <w:color w:val="337AB7"/>
          <w:spacing w:val="0"/>
          <w:sz w:val="24"/>
          <w:szCs w:val="24"/>
          <w:u w:val="none"/>
          <w:bdr w:val="none" w:color="auto" w:sz="0" w:space="0"/>
          <w:shd w:val="clear" w:fill="F3F4F6"/>
        </w:rPr>
        <w:fldChar w:fldCharType="end"/>
      </w:r>
      <w:r>
        <w:rPr>
          <w:rFonts w:hint="default" w:ascii="Verdana" w:hAnsi="Verdana" w:cs="Verdana"/>
          <w:i w:val="0"/>
          <w:iCs w:val="0"/>
          <w:caps w:val="0"/>
          <w:color w:val="323A45"/>
          <w:spacing w:val="0"/>
          <w:sz w:val="24"/>
          <w:szCs w:val="24"/>
          <w:bdr w:val="none" w:color="auto" w:sz="0" w:space="0"/>
          <w:shd w:val="clear" w:fill="F3F4F6"/>
        </w:rPr>
        <w:t>.</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The Development Finance Vice-Presidency (DFi) is responsible for all aspects of corporate finance of IBRD, resource mobilization and management of the world’s largest concessional fund – IDA, and the financial management of grant contributions from development partners for Trust Funds (TFs) and Financial Intermediary Funds (FIFs). Given the nature of these activities, DFi works closely with the President's office, Executive Directors, WBG Senior Management, corporate and operations units across the WBG, funding partners and government officials. The VPU has two departments – </w:t>
      </w:r>
      <w:r>
        <w:rPr>
          <w:rFonts w:hint="default" w:ascii="Verdana" w:hAnsi="Verdana" w:cs="Verdana"/>
          <w:i w:val="0"/>
          <w:iCs w:val="0"/>
          <w:caps w:val="0"/>
          <w:color w:val="337AB7"/>
          <w:spacing w:val="0"/>
          <w:sz w:val="24"/>
          <w:szCs w:val="24"/>
          <w:u w:val="none"/>
          <w:bdr w:val="none" w:color="auto" w:sz="0" w:space="0"/>
          <w:shd w:val="clear" w:fill="F3F4F6"/>
        </w:rPr>
        <w:fldChar w:fldCharType="begin"/>
      </w:r>
      <w:r>
        <w:rPr>
          <w:rFonts w:hint="default" w:ascii="Verdana" w:hAnsi="Verdana" w:cs="Verdana"/>
          <w:i w:val="0"/>
          <w:iCs w:val="0"/>
          <w:caps w:val="0"/>
          <w:color w:val="337AB7"/>
          <w:spacing w:val="0"/>
          <w:sz w:val="24"/>
          <w:szCs w:val="24"/>
          <w:u w:val="none"/>
          <w:bdr w:val="none" w:color="auto" w:sz="0" w:space="0"/>
          <w:shd w:val="clear" w:fill="F3F4F6"/>
        </w:rPr>
        <w:instrText xml:space="preserve"> HYPERLINK "https://people.worldbank.org/people/search?page=1&amp;q=&amp;psort=relevance&amp;items=10&amp;rvpu=&amp;runit=&amp;rjob=Director, IDA Mobilization and IBRD Corporate Finance&amp;rinstitution=&amp;rlocation=&amp;raoe=&amp;rskill=&amp;rlanguage=" </w:instrText>
      </w:r>
      <w:r>
        <w:rPr>
          <w:rFonts w:hint="default" w:ascii="Verdana" w:hAnsi="Verdana" w:cs="Verdana"/>
          <w:i w:val="0"/>
          <w:iCs w:val="0"/>
          <w:caps w:val="0"/>
          <w:color w:val="337AB7"/>
          <w:spacing w:val="0"/>
          <w:sz w:val="24"/>
          <w:szCs w:val="24"/>
          <w:u w:val="none"/>
          <w:bdr w:val="none" w:color="auto" w:sz="0" w:space="0"/>
          <w:shd w:val="clear" w:fill="F3F4F6"/>
        </w:rPr>
        <w:fldChar w:fldCharType="separate"/>
      </w:r>
      <w:r>
        <w:rPr>
          <w:rStyle w:val="5"/>
          <w:rFonts w:hint="default" w:ascii="Verdana" w:hAnsi="Verdana" w:cs="Verdana"/>
          <w:i w:val="0"/>
          <w:iCs w:val="0"/>
          <w:caps w:val="0"/>
          <w:color w:val="auto"/>
          <w:spacing w:val="0"/>
          <w:sz w:val="24"/>
          <w:szCs w:val="24"/>
          <w:u w:val="none"/>
          <w:bdr w:val="none" w:color="auto" w:sz="0" w:space="0"/>
          <w:shd w:val="clear" w:fill="F3F4F6"/>
        </w:rPr>
        <w:t>IDA Mobilization and IBRD Corporate Finance</w:t>
      </w:r>
      <w:r>
        <w:rPr>
          <w:rFonts w:hint="default" w:ascii="Verdana" w:hAnsi="Verdana" w:cs="Verdana"/>
          <w:i w:val="0"/>
          <w:iCs w:val="0"/>
          <w:caps w:val="0"/>
          <w:color w:val="337AB7"/>
          <w:spacing w:val="0"/>
          <w:sz w:val="24"/>
          <w:szCs w:val="24"/>
          <w:u w:val="none"/>
          <w:bdr w:val="none" w:color="auto" w:sz="0" w:space="0"/>
          <w:shd w:val="clear" w:fill="F3F4F6"/>
        </w:rPr>
        <w:fldChar w:fldCharType="end"/>
      </w:r>
      <w:r>
        <w:rPr>
          <w:rFonts w:hint="default" w:ascii="Verdana" w:hAnsi="Verdana" w:cs="Verdana"/>
          <w:i w:val="0"/>
          <w:iCs w:val="0"/>
          <w:caps w:val="0"/>
          <w:color w:val="323A45"/>
          <w:spacing w:val="0"/>
          <w:sz w:val="24"/>
          <w:szCs w:val="24"/>
          <w:u w:val="single"/>
          <w:bdr w:val="none" w:color="auto" w:sz="0" w:space="0"/>
          <w:shd w:val="clear" w:fill="F3F4F6"/>
        </w:rPr>
        <w:t> </w:t>
      </w:r>
      <w:r>
        <w:rPr>
          <w:rFonts w:hint="default" w:ascii="Verdana" w:hAnsi="Verdana" w:cs="Verdana"/>
          <w:i w:val="0"/>
          <w:iCs w:val="0"/>
          <w:caps w:val="0"/>
          <w:color w:val="323A45"/>
          <w:spacing w:val="0"/>
          <w:sz w:val="24"/>
          <w:szCs w:val="24"/>
          <w:bdr w:val="none" w:color="auto" w:sz="0" w:space="0"/>
          <w:shd w:val="clear" w:fill="F3F4F6"/>
        </w:rPr>
        <w:t>(DFFPO) and Trust Funds and Partner Relations (DFTPR). </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One Unit under DFFPO is IBRD-IDA Corporate Finance (IICF). IICF’s main responsibilities include i) the replenishment and stewardship of IDA with primary focus on IDA’s medium- to long-term financial planning and sustainability, balance sheet optimizations, and overall balance sheet management, ii) IBRD’s medium- to long-term financial planning and sustainability, overall balance sheet management, and annual decisions on loan terms and income allocations, iii) developing innovative financial strategies, policies, and products to address unique challenges, and iv) managing IDA’s capital subscription and voting rights and related member relations and communications. To effectively deliver its work program, IICF is structured into four clusters: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b/>
          <w:bCs/>
          <w:i w:val="0"/>
          <w:iCs w:val="0"/>
          <w:caps w:val="0"/>
          <w:color w:val="323A45"/>
          <w:spacing w:val="0"/>
          <w:sz w:val="24"/>
          <w:szCs w:val="24"/>
          <w:bdr w:val="none" w:color="auto" w:sz="0" w:space="0"/>
          <w:shd w:val="clear" w:fill="F3F4F6"/>
        </w:rPr>
        <w:t>1. Financial Strategy and Policy:</w:t>
      </w:r>
      <w:r>
        <w:rPr>
          <w:rFonts w:hint="default" w:ascii="Verdana" w:hAnsi="Verdana" w:cs="Verdana"/>
          <w:i w:val="0"/>
          <w:iCs w:val="0"/>
          <w:caps w:val="0"/>
          <w:color w:val="323A45"/>
          <w:spacing w:val="0"/>
          <w:sz w:val="24"/>
          <w:szCs w:val="24"/>
          <w:bdr w:val="none" w:color="auto" w:sz="0" w:space="0"/>
          <w:shd w:val="clear" w:fill="F3F4F6"/>
        </w:rPr>
        <w:t> responsible for monitoring IBRD and IDA’s medium- and long-term financial outlook and setting financial strategies and policies to ensure IBRD and IDA’s financial strength and long-term financial sustainability. These policies include those related to loan pricing and repayment terms, capital management, income allocation, balance sheet management, as well as implementation of IDA’s relatively new hybrid financial model since it recently started issuing bonds in capital markets as a triple-A rated issuer. In addition, the team identifies income and balance sheet vulnerabilities; assesses the income and capital impact of any strategic decisions or new programs/initiatives; monitors the adequacy of income and capital to support lending and other development activities; and develops strategies for optimal use of capital as well as to address potential shortfalls in capital and income.</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b/>
          <w:bCs/>
          <w:i w:val="0"/>
          <w:iCs w:val="0"/>
          <w:caps w:val="0"/>
          <w:color w:val="323A45"/>
          <w:spacing w:val="0"/>
          <w:sz w:val="24"/>
          <w:szCs w:val="24"/>
          <w:bdr w:val="none" w:color="auto" w:sz="0" w:space="0"/>
          <w:shd w:val="clear" w:fill="F3F4F6"/>
        </w:rPr>
        <w:t>2. Strategic Initiatives:</w:t>
      </w:r>
      <w:r>
        <w:rPr>
          <w:rFonts w:hint="default" w:ascii="Verdana" w:hAnsi="Verdana" w:cs="Verdana"/>
          <w:i w:val="0"/>
          <w:iCs w:val="0"/>
          <w:caps w:val="0"/>
          <w:color w:val="323A45"/>
          <w:spacing w:val="0"/>
          <w:sz w:val="24"/>
          <w:szCs w:val="24"/>
          <w:bdr w:val="none" w:color="auto" w:sz="0" w:space="0"/>
          <w:shd w:val="clear" w:fill="F3F4F6"/>
        </w:rPr>
        <w:t> jointly with other relevant counterparts, undertakes strategic initiatives to advance corporate agenda with a primary focus on boosting IBRD and IDA’s financing capacity and developing solutions to address client needs. While the work program of this cluster is expected to be dynamic, it currently includes overseeing financial strategies and policies of IDA Replenishments, debt relief and arrears clearance, local currency financing, private capital mobilization/facilitation/enabling, IDA’s Private Sector Window (PSW), CRDCs (climate resilient debt clauses), hybrid capital, portfolio guarantee platform, at-risk financing, and other highly strategic initiatives as the team may undertake time to time.</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b/>
          <w:bCs/>
          <w:i w:val="0"/>
          <w:iCs w:val="0"/>
          <w:caps w:val="0"/>
          <w:color w:val="323A45"/>
          <w:spacing w:val="0"/>
          <w:sz w:val="24"/>
          <w:szCs w:val="24"/>
          <w:bdr w:val="none" w:color="auto" w:sz="0" w:space="0"/>
          <w:shd w:val="clear" w:fill="F3F4F6"/>
        </w:rPr>
        <w:t>3. IDA Capital: </w:t>
      </w:r>
      <w:r>
        <w:rPr>
          <w:rFonts w:hint="default" w:ascii="Verdana" w:hAnsi="Verdana" w:cs="Verdana"/>
          <w:i w:val="0"/>
          <w:iCs w:val="0"/>
          <w:caps w:val="0"/>
          <w:color w:val="323A45"/>
          <w:spacing w:val="0"/>
          <w:sz w:val="24"/>
          <w:szCs w:val="24"/>
          <w:bdr w:val="none" w:color="auto" w:sz="0" w:space="0"/>
          <w:shd w:val="clear" w:fill="F3F4F6"/>
        </w:rPr>
        <w:t>engages with IDA members on capital matters (subscriptions, contributions, encashments, among others), and contributes to the recording, accounting, and reporting of these.</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b/>
          <w:bCs/>
          <w:i w:val="0"/>
          <w:iCs w:val="0"/>
          <w:caps w:val="0"/>
          <w:color w:val="323A45"/>
          <w:spacing w:val="0"/>
          <w:sz w:val="24"/>
          <w:szCs w:val="24"/>
          <w:bdr w:val="none" w:color="auto" w:sz="0" w:space="0"/>
          <w:shd w:val="clear" w:fill="F3F4F6"/>
        </w:rPr>
        <w:t>4. Data &amp; Analytics: </w:t>
      </w:r>
      <w:r>
        <w:rPr>
          <w:rFonts w:hint="default" w:ascii="Verdana" w:hAnsi="Verdana" w:cs="Verdana"/>
          <w:i w:val="0"/>
          <w:iCs w:val="0"/>
          <w:caps w:val="0"/>
          <w:color w:val="323A45"/>
          <w:spacing w:val="0"/>
          <w:sz w:val="24"/>
          <w:szCs w:val="24"/>
          <w:bdr w:val="none" w:color="auto" w:sz="0" w:space="0"/>
          <w:shd w:val="clear" w:fill="F3F4F6"/>
        </w:rPr>
        <w:t>In support of above areas of responsibilities, the cluster establishes and maintains robust data and analytical infrastructure in the form of advanced financial models, databases, IT systems, and expertise to ensure robust support to the above-mentioned activities, in addition to providing critical data analytics for the benefit of WBG Senior Management. </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b/>
          <w:bCs/>
          <w:i w:val="0"/>
          <w:iCs w:val="0"/>
          <w:caps w:val="0"/>
          <w:color w:val="323A45"/>
          <w:spacing w:val="0"/>
          <w:sz w:val="24"/>
          <w:szCs w:val="24"/>
          <w:bdr w:val="none" w:color="auto" w:sz="0" w:space="0"/>
          <w:shd w:val="clear" w:fill="F3F4F6"/>
        </w:rPr>
        <w:t>Roles and Responsibilities</w:t>
      </w:r>
    </w:p>
    <w:p w14:paraId="3AD2CD1A">
      <w:pPr>
        <w:pStyle w:val="6"/>
        <w:keepNext w:val="0"/>
        <w:keepLines w:val="0"/>
        <w:widowControl/>
        <w:suppressLineNumbers w:val="0"/>
        <w:shd w:val="clear" w:fill="F3F4F6"/>
        <w:spacing w:before="0" w:beforeAutospacing="0" w:after="0" w:afterAutospacing="0" w:line="252" w:lineRule="atLeast"/>
        <w:ind w:left="0" w:right="-360" w:firstLine="0"/>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The selected candidate will work in the Data &amp; Analytics cluster and help support the other clusters as needed. Primary responsibilities will include:</w:t>
      </w:r>
      <w:r>
        <w:rPr>
          <w:rFonts w:hint="default" w:ascii="Verdana" w:hAnsi="Verdana" w:eastAsia="Arial" w:cs="Verdana"/>
          <w:i w:val="0"/>
          <w:iCs w:val="0"/>
          <w:caps w:val="0"/>
          <w:color w:val="323A45"/>
          <w:spacing w:val="0"/>
          <w:sz w:val="24"/>
          <w:szCs w:val="24"/>
          <w:bdr w:val="none" w:color="auto" w:sz="0" w:space="0"/>
          <w:shd w:val="clear" w:fill="F3F4F6"/>
        </w:rPr>
        <w:br w:type="textWrapping"/>
      </w:r>
      <w:r>
        <w:rPr>
          <w:rFonts w:hint="default" w:ascii="Verdana" w:hAnsi="Verdana" w:eastAsia="Arial" w:cs="Verdana"/>
          <w:i w:val="0"/>
          <w:iCs w:val="0"/>
          <w:caps w:val="0"/>
          <w:color w:val="323A45"/>
          <w:spacing w:val="0"/>
          <w:sz w:val="24"/>
          <w:szCs w:val="24"/>
          <w:bdr w:val="none" w:color="auto" w:sz="0" w:space="0"/>
          <w:shd w:val="clear" w:fill="F3F4F6"/>
        </w:rPr>
        <w:br w:type="textWrapping"/>
      </w:r>
      <w:r>
        <w:rPr>
          <w:rFonts w:hint="default" w:ascii="Verdana" w:hAnsi="Verdana" w:eastAsia="Arial" w:cs="Verdana"/>
          <w:i w:val="0"/>
          <w:iCs w:val="0"/>
          <w:caps w:val="0"/>
          <w:color w:val="323A45"/>
          <w:spacing w:val="0"/>
          <w:sz w:val="24"/>
          <w:szCs w:val="24"/>
          <w:bdr w:val="none" w:color="auto" w:sz="0" w:space="0"/>
          <w:shd w:val="clear" w:fill="F3F4F6"/>
        </w:rPr>
        <w:t>• Act as a primary analyst supporting the IBRD and IDA corporate balance sheet projection models and risk exposure models. These models make projections for capital adequacy, financing needs, and risk exposures (FX exposure, interest rate exposure, etc.). The analysis generated from the models is presented at the Asset Liability Management Committee and directly supports WBG senior leadership decisions.</w:t>
      </w:r>
    </w:p>
    <w:p w14:paraId="60DF0BAD">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Take responsibility for data cleaning, validation, and standardization of large, multi-source datasets and conduct routine quality assurance and reconciliation checks to ensure completeness, accuracy, and consistency of data used for reporting, dashboards, and analytical outputs.</w:t>
      </w:r>
    </w:p>
    <w:p w14:paraId="3C896390">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Play a key central role in the recurring WBG senior leadership reporting and help analyze key risk indicators, income, commitments, compliance with policy frameworks, and progress towards institutional targets.</w:t>
      </w:r>
    </w:p>
    <w:p w14:paraId="61834529">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Lead or contribute to technical enhancements to ongoing analytic responsibilities designed to increase process automation, centralize data, improve efficiency, and improve process controls.</w:t>
      </w:r>
    </w:p>
    <w:p w14:paraId="144D0AD3">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Contribute to developing, testing, or enhancing AI-assisted analytics (e.g. chatbots, virtual assistants, agent-based systems, intranet search).</w:t>
      </w:r>
    </w:p>
    <w:p w14:paraId="6C84C9DB">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Directly engage with IT for ongoing projects and provide input on design requirements and perform user acceptance testing.</w:t>
      </w:r>
    </w:p>
    <w:p w14:paraId="77A60AC2">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Lead or contribute to improvements in the reporting and visualization of the team’s analysis, including creating new dashboards or expanding existing dashboards.</w:t>
      </w:r>
    </w:p>
    <w:p w14:paraId="663CCD7C">
      <w:pPr>
        <w:pStyle w:val="6"/>
        <w:keepNext w:val="0"/>
        <w:keepLines w:val="0"/>
        <w:widowControl/>
        <w:suppressLineNumbers w:val="0"/>
        <w:shd w:val="clear" w:fill="F3F4F6"/>
        <w:spacing w:before="0" w:beforeAutospacing="0" w:after="0" w:afterAutospacing="0" w:line="252" w:lineRule="atLeast"/>
        <w:ind w:left="0" w:right="-360" w:firstLine="0"/>
        <w:jc w:val="both"/>
        <w:rPr>
          <w:rFonts w:hint="default" w:ascii="Arial" w:hAnsi="Arial" w:eastAsia="Arial" w:cs="Arial"/>
          <w:i w:val="0"/>
          <w:iCs w:val="0"/>
          <w:caps w:val="0"/>
          <w:color w:val="323A45"/>
          <w:spacing w:val="0"/>
          <w:sz w:val="16"/>
          <w:szCs w:val="16"/>
        </w:rPr>
      </w:pPr>
      <w:r>
        <w:rPr>
          <w:rFonts w:hint="default" w:ascii="Verdana" w:hAnsi="Verdana" w:eastAsia="Arial" w:cs="Verdana"/>
          <w:i w:val="0"/>
          <w:iCs w:val="0"/>
          <w:caps w:val="0"/>
          <w:color w:val="323A45"/>
          <w:spacing w:val="0"/>
          <w:sz w:val="24"/>
          <w:szCs w:val="24"/>
          <w:bdr w:val="none" w:color="auto" w:sz="0" w:space="0"/>
          <w:shd w:val="clear" w:fill="F3F4F6"/>
        </w:rPr>
        <w:t>• Engage with other areas of the WBG, strengthen relationships with stakeholders, and increase the depth and rigor of the team’s analysis.</w:t>
      </w:r>
    </w:p>
    <w:p w14:paraId="2358913F">
      <w:pPr>
        <w:keepNext w:val="0"/>
        <w:keepLines w:val="0"/>
        <w:widowControl/>
        <w:suppressLineNumbers w:val="0"/>
        <w:jc w:val="left"/>
      </w:pPr>
      <w:r>
        <w:rPr>
          <w:rFonts w:hint="default" w:ascii="Verdana" w:hAnsi="Verdana" w:eastAsia="Arial" w:cs="Verdana"/>
          <w:i w:val="0"/>
          <w:iCs w:val="0"/>
          <w:caps w:val="0"/>
          <w:color w:val="323A45"/>
          <w:spacing w:val="0"/>
          <w:kern w:val="0"/>
          <w:sz w:val="24"/>
          <w:szCs w:val="24"/>
          <w:bdr w:val="none" w:color="auto" w:sz="0" w:space="0"/>
          <w:shd w:val="clear" w:fill="F3F4F6"/>
          <w:lang w:val="en-US" w:eastAsia="zh-CN" w:bidi="ar"/>
        </w:rPr>
        <w:t>• Contribute to the ad hoc data and analysis requests used for high-level policy and research papers and/or presentations.</w:t>
      </w:r>
    </w:p>
    <w:p w14:paraId="5D97A8C5">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Fonts w:hint="default" w:ascii="Verdana" w:hAnsi="Verdana" w:cs="Verdana"/>
          <w:b/>
          <w:bCs/>
          <w:i w:val="0"/>
          <w:iCs w:val="0"/>
          <w:caps w:val="0"/>
          <w:color w:val="323A45"/>
          <w:spacing w:val="0"/>
          <w:sz w:val="24"/>
          <w:szCs w:val="24"/>
          <w:bdr w:val="none" w:color="auto" w:sz="0" w:space="0"/>
          <w:shd w:val="clear" w:fill="F3F4F6"/>
        </w:rPr>
        <w:t>Selection Criteria</w:t>
      </w:r>
    </w:p>
    <w:p w14:paraId="55F0DD37">
      <w:pPr>
        <w:pStyle w:val="6"/>
        <w:keepNext w:val="0"/>
        <w:keepLines w:val="0"/>
        <w:widowControl/>
        <w:suppressLineNumbers w:val="0"/>
        <w:shd w:val="clear" w:fill="F3F4F6"/>
        <w:spacing w:before="0" w:beforeAutospacing="0" w:after="168" w:afterAutospacing="0"/>
        <w:ind w:left="0" w:right="0" w:firstLine="0"/>
        <w:rPr>
          <w:rFonts w:hint="default" w:ascii="Verdana" w:hAnsi="Verdana" w:cs="Verdana"/>
          <w:i w:val="0"/>
          <w:iCs w:val="0"/>
          <w:caps w:val="0"/>
          <w:color w:val="323A45"/>
          <w:spacing w:val="0"/>
          <w:sz w:val="16"/>
          <w:szCs w:val="16"/>
        </w:rPr>
      </w:pPr>
      <w:r>
        <w:rPr>
          <w:rFonts w:hint="default" w:ascii="Verdana" w:hAnsi="Verdana" w:cs="Verdana"/>
          <w:i w:val="0"/>
          <w:iCs w:val="0"/>
          <w:caps w:val="0"/>
          <w:color w:val="323A45"/>
          <w:spacing w:val="0"/>
          <w:sz w:val="24"/>
          <w:szCs w:val="24"/>
          <w:bdr w:val="none" w:color="auto" w:sz="0" w:space="0"/>
          <w:shd w:val="clear" w:fill="F3F4F6"/>
        </w:rPr>
        <w:t>The ideal candidate should have a combination of the following experience and skills: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Master’s degree in Finance, Financial Engineering, Business Administration, Economics, Math, IT, or related field. Progress toward the CFA, PRM, or FRM is a plus.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At least 6 years of work experience with at least 3 years of direct experience in Banking, Corporate Finance, Treasury, Risk Management, or ALM.</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High analytical ability and critical thinking skills as demonstrated by work in relevant areas and/or academic qualifications.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Exhibit high intellectual curiosity and proactively investigate analytical topics to bring added depth, rigor, and value-added insight.</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Advanced background in statistical data analysis and other quantitative techniques with exposure to or use of statistical and machine-learning techniques (e.g., clustering, regression); knowledge of statistical high-level data analysis languages such as Matlab, R/RStudio, or QuantLib would be a strong plus.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Advanced skills and experience with large data sets and multiple databases with ability to extract, clean, validate, and analyze data using advanced Excel (Power Query), SQL, and Python. Broader experience with other object-oriented programming languages (VBA, Java, C++ etc.) is a plus.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Good knowledge of AI prompt engineering and ability to create AI agents to increase data availability and improve operating efficiency. </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Strong understanding financial product types including loans, bonds, swaps, forward agreements, and options.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Good familiarity with IDA financing instruments, allocation frameworks (PBA), and the replenishment process.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Strong ability to translate policy rules and operational guidelines into analytical logic and to produce decision-ready analysis for senior management and donors.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Strong knowledge of financial concepts including balance sheet management, ALM theories, yield curve bootstrapping, valuation methods, hedging practices, interest rate modeling, economic capital estimation, and/or financial risk measurement.</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Solid data visualization skills and associated experience with dashboarding tools (Power BI, Tableau, etc.) and the ability to design clear, intuitive outputs for non-technical audiences.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Good knowledge of other IT elements and tools useful to strengthen and automate analytic process (e.g. data modeling, webpage design, PL/SQL, Azure, Angular, DataBricks etc.)</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Good knowledge and prior experience with the World Bank or MDB financial policies and products is a plus.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Strong written and oral communication skills with the ability to communicate technical findings to non-technical stakeholders and the ability to create a clear analytic narrative by integrating data, visuals, and context into actionable insights and recommendations.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Good team player with ability to collaborate across policy, operations, and technical teams.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 Ability to work under pressure and deliver against tight deadlines.</w:t>
      </w:r>
    </w:p>
    <w:p w14:paraId="2C3C992E">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Style w:val="7"/>
          <w:rFonts w:hint="default" w:ascii="Verdana" w:hAnsi="Verdana" w:cs="Verdana"/>
          <w:b/>
          <w:bCs/>
          <w:i w:val="0"/>
          <w:iCs w:val="0"/>
          <w:caps w:val="0"/>
          <w:color w:val="323A45"/>
          <w:spacing w:val="0"/>
          <w:sz w:val="24"/>
          <w:szCs w:val="24"/>
          <w:bdr w:val="none" w:color="auto" w:sz="0" w:space="0"/>
          <w:shd w:val="clear" w:fill="F3F4F6"/>
        </w:rPr>
        <w:t>WBG Culture Attributes:</w:t>
      </w:r>
    </w:p>
    <w:p w14:paraId="250A7A0F">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Fonts w:hint="default" w:ascii="Verdana" w:hAnsi="Verdana" w:cs="Verdana"/>
          <w:i w:val="0"/>
          <w:iCs w:val="0"/>
          <w:caps w:val="0"/>
          <w:color w:val="323A45"/>
          <w:spacing w:val="0"/>
          <w:sz w:val="24"/>
          <w:szCs w:val="24"/>
          <w:bdr w:val="none" w:color="auto" w:sz="0" w:space="0"/>
          <w:shd w:val="clear" w:fill="F3F4F6"/>
        </w:rPr>
        <w:t>1. Sense of urgency: Anticipate and quickly respond to the needs of internal and external stakeholders.</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2. Thoughtful risk-taking: Challenge the status quo and push boundaries to achieve greater impact.</w:t>
      </w:r>
      <w:r>
        <w:rPr>
          <w:rFonts w:hint="default" w:ascii="Verdana" w:hAnsi="Verdana" w:cs="Verdana"/>
          <w:i w:val="0"/>
          <w:iCs w:val="0"/>
          <w:caps w:val="0"/>
          <w:color w:val="323A45"/>
          <w:spacing w:val="0"/>
          <w:sz w:val="24"/>
          <w:szCs w:val="24"/>
          <w:bdr w:val="none" w:color="auto" w:sz="0" w:space="0"/>
          <w:shd w:val="clear" w:fill="F3F4F6"/>
        </w:rPr>
        <w:br w:type="textWrapping"/>
      </w:r>
      <w:r>
        <w:rPr>
          <w:rFonts w:hint="default" w:ascii="Verdana" w:hAnsi="Verdana" w:cs="Verdana"/>
          <w:i w:val="0"/>
          <w:iCs w:val="0"/>
          <w:caps w:val="0"/>
          <w:color w:val="323A45"/>
          <w:spacing w:val="0"/>
          <w:sz w:val="24"/>
          <w:szCs w:val="24"/>
          <w:bdr w:val="none" w:color="auto" w:sz="0" w:space="0"/>
          <w:shd w:val="clear" w:fill="F3F4F6"/>
        </w:rPr>
        <w:t>3. Empowerment and accountability: Empower yourself and others to act and hold each other accountable for results.</w:t>
      </w:r>
    </w:p>
    <w:p w14:paraId="28828101">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Fonts w:hint="default" w:ascii="Verdana" w:hAnsi="Verdana" w:cs="Verdana"/>
          <w:i w:val="0"/>
          <w:iCs w:val="0"/>
          <w:caps w:val="0"/>
          <w:color w:val="0000EE"/>
          <w:spacing w:val="0"/>
          <w:sz w:val="16"/>
          <w:szCs w:val="16"/>
          <w:u w:val="none"/>
          <w:bdr w:val="none" w:color="auto" w:sz="0" w:space="0"/>
          <w:shd w:val="clear" w:fill="F3F4F6"/>
        </w:rPr>
        <w:fldChar w:fldCharType="begin"/>
      </w:r>
      <w:r>
        <w:rPr>
          <w:rFonts w:hint="default" w:ascii="Verdana" w:hAnsi="Verdana" w:cs="Verdana"/>
          <w:i w:val="0"/>
          <w:iCs w:val="0"/>
          <w:caps w:val="0"/>
          <w:color w:val="0000EE"/>
          <w:spacing w:val="0"/>
          <w:sz w:val="16"/>
          <w:szCs w:val="16"/>
          <w:u w:val="none"/>
          <w:bdr w:val="none" w:color="auto" w:sz="0" w:space="0"/>
          <w:shd w:val="clear" w:fill="F3F4F6"/>
        </w:rPr>
        <w:instrText xml:space="preserve"> HYPERLINK "https://thedocs.worldbank.org/en/doc/521791568041235683-0220012019/original/WBGCoreCompetenciesFinal.pdf" </w:instrText>
      </w:r>
      <w:r>
        <w:rPr>
          <w:rFonts w:hint="default" w:ascii="Verdana" w:hAnsi="Verdana" w:cs="Verdana"/>
          <w:i w:val="0"/>
          <w:iCs w:val="0"/>
          <w:caps w:val="0"/>
          <w:color w:val="0000EE"/>
          <w:spacing w:val="0"/>
          <w:sz w:val="16"/>
          <w:szCs w:val="16"/>
          <w:u w:val="none"/>
          <w:bdr w:val="none" w:color="auto" w:sz="0" w:space="0"/>
          <w:shd w:val="clear" w:fill="F3F4F6"/>
        </w:rPr>
        <w:fldChar w:fldCharType="separate"/>
      </w:r>
      <w:r>
        <w:rPr>
          <w:rStyle w:val="5"/>
          <w:rFonts w:hint="default" w:ascii="Verdana" w:hAnsi="Verdana" w:cs="Verdana"/>
          <w:i w:val="0"/>
          <w:iCs w:val="0"/>
          <w:caps w:val="0"/>
          <w:color w:val="0000EE"/>
          <w:spacing w:val="0"/>
          <w:sz w:val="24"/>
          <w:szCs w:val="24"/>
          <w:u w:val="single"/>
          <w:bdr w:val="none" w:color="auto" w:sz="0" w:space="0"/>
          <w:shd w:val="clear" w:fill="F3F4F6"/>
        </w:rPr>
        <w:t>World Bank Group Core Competencies</w:t>
      </w:r>
      <w:r>
        <w:rPr>
          <w:rFonts w:hint="default" w:ascii="Verdana" w:hAnsi="Verdana" w:cs="Verdana"/>
          <w:i w:val="0"/>
          <w:iCs w:val="0"/>
          <w:caps w:val="0"/>
          <w:color w:val="0000EE"/>
          <w:spacing w:val="0"/>
          <w:sz w:val="16"/>
          <w:szCs w:val="16"/>
          <w:u w:val="none"/>
          <w:bdr w:val="none" w:color="auto" w:sz="0" w:space="0"/>
          <w:shd w:val="clear" w:fill="F3F4F6"/>
        </w:rPr>
        <w:fldChar w:fldCharType="end"/>
      </w:r>
    </w:p>
    <w:p w14:paraId="7FA3B9A3">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Style w:val="4"/>
          <w:rFonts w:hint="default" w:ascii="Verdana" w:hAnsi="Verdana" w:cs="Verdana"/>
          <w:i w:val="0"/>
          <w:iCs w:val="0"/>
          <w:caps w:val="0"/>
          <w:color w:val="323A45"/>
          <w:spacing w:val="0"/>
          <w:sz w:val="24"/>
          <w:szCs w:val="24"/>
          <w:bdr w:val="none" w:color="auto" w:sz="0" w:space="0"/>
          <w:shd w:val="clear" w:fill="F3F4F6"/>
        </w:rPr>
        <w:t>The World Bank Group offers comprehensive benefits, including a retirement plan; medical, life and disability insurance; and paid leave, including parental leave, as well as reasonable accommodations for individuals with disabilities.</w:t>
      </w:r>
    </w:p>
    <w:p w14:paraId="62605586">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Style w:val="4"/>
          <w:rFonts w:hint="default" w:ascii="Verdana" w:hAnsi="Verdana" w:cs="Verdana"/>
          <w:i w:val="0"/>
          <w:iCs w:val="0"/>
          <w:caps w:val="0"/>
          <w:color w:val="323A45"/>
          <w:spacing w:val="0"/>
          <w:sz w:val="24"/>
          <w:szCs w:val="24"/>
          <w:bdr w:val="none" w:color="auto" w:sz="0" w:space="0"/>
          <w:shd w:val="clear" w:fill="F3F4F6"/>
        </w:rPr>
        <w:t>We are proud to be an equal opportunity and inclusive employer with a dedicated and committed workforce, and do not discriminate based on gender, gender identity, religion, race, ethnicity, sexual orientation, or disability.</w:t>
      </w:r>
    </w:p>
    <w:p w14:paraId="0A0D4B87">
      <w:pPr>
        <w:pStyle w:val="6"/>
        <w:keepNext w:val="0"/>
        <w:keepLines w:val="0"/>
        <w:widowControl/>
        <w:suppressLineNumbers w:val="0"/>
        <w:shd w:val="clear" w:fill="F3F4F6"/>
        <w:spacing w:before="0" w:beforeAutospacing="0" w:after="0" w:afterAutospacing="0"/>
        <w:ind w:left="0" w:right="0" w:firstLine="0"/>
        <w:rPr>
          <w:rFonts w:hint="default" w:ascii="Verdana" w:hAnsi="Verdana" w:cs="Verdana"/>
          <w:i w:val="0"/>
          <w:iCs w:val="0"/>
          <w:caps w:val="0"/>
          <w:color w:val="323A45"/>
          <w:spacing w:val="0"/>
          <w:sz w:val="16"/>
          <w:szCs w:val="16"/>
        </w:rPr>
      </w:pPr>
      <w:r>
        <w:rPr>
          <w:rStyle w:val="4"/>
          <w:rFonts w:hint="default" w:ascii="Verdana" w:hAnsi="Verdana" w:cs="Verdana"/>
          <w:i w:val="0"/>
          <w:iCs w:val="0"/>
          <w:caps w:val="0"/>
          <w:color w:val="323A45"/>
          <w:spacing w:val="0"/>
          <w:sz w:val="24"/>
          <w:szCs w:val="24"/>
          <w:bdr w:val="none" w:color="auto" w:sz="0" w:space="0"/>
          <w:shd w:val="clear" w:fill="F3F4F6"/>
        </w:rPr>
        <w:t>Learn more about working at the </w:t>
      </w:r>
      <w:r>
        <w:rPr>
          <w:rStyle w:val="4"/>
          <w:rFonts w:hint="default" w:ascii="Verdana" w:hAnsi="Verdana" w:cs="Verdana"/>
          <w:i w:val="0"/>
          <w:iCs w:val="0"/>
          <w:caps w:val="0"/>
          <w:color w:val="0000EE"/>
          <w:spacing w:val="0"/>
          <w:sz w:val="24"/>
          <w:szCs w:val="24"/>
          <w:u w:val="none"/>
          <w:bdr w:val="none" w:color="auto" w:sz="0" w:space="0"/>
          <w:shd w:val="clear" w:fill="F3F4F6"/>
        </w:rPr>
        <w:fldChar w:fldCharType="begin"/>
      </w:r>
      <w:r>
        <w:rPr>
          <w:rStyle w:val="4"/>
          <w:rFonts w:hint="default" w:ascii="Verdana" w:hAnsi="Verdana" w:cs="Verdana"/>
          <w:i w:val="0"/>
          <w:iCs w:val="0"/>
          <w:caps w:val="0"/>
          <w:color w:val="0000EE"/>
          <w:spacing w:val="0"/>
          <w:sz w:val="24"/>
          <w:szCs w:val="24"/>
          <w:u w:val="none"/>
          <w:bdr w:val="none" w:color="auto" w:sz="0" w:space="0"/>
          <w:shd w:val="clear" w:fill="F3F4F6"/>
        </w:rPr>
        <w:instrText xml:space="preserve"> HYPERLINK "https://www.worldbank.org/en/about/careers" </w:instrText>
      </w:r>
      <w:r>
        <w:rPr>
          <w:rStyle w:val="4"/>
          <w:rFonts w:hint="default" w:ascii="Verdana" w:hAnsi="Verdana" w:cs="Verdana"/>
          <w:i w:val="0"/>
          <w:iCs w:val="0"/>
          <w:caps w:val="0"/>
          <w:color w:val="0000EE"/>
          <w:spacing w:val="0"/>
          <w:sz w:val="24"/>
          <w:szCs w:val="24"/>
          <w:u w:val="none"/>
          <w:bdr w:val="none" w:color="auto" w:sz="0" w:space="0"/>
          <w:shd w:val="clear" w:fill="F3F4F6"/>
        </w:rPr>
        <w:fldChar w:fldCharType="separate"/>
      </w:r>
      <w:r>
        <w:rPr>
          <w:rStyle w:val="5"/>
          <w:rFonts w:hint="default" w:ascii="Verdana" w:hAnsi="Verdana" w:cs="Verdana"/>
          <w:i/>
          <w:iCs/>
          <w:caps w:val="0"/>
          <w:color w:val="0000EE"/>
          <w:spacing w:val="0"/>
          <w:sz w:val="24"/>
          <w:szCs w:val="24"/>
          <w:u w:val="none"/>
          <w:bdr w:val="none" w:color="auto" w:sz="0" w:space="0"/>
          <w:shd w:val="clear" w:fill="F3F4F6"/>
        </w:rPr>
        <w:t>World Bank</w:t>
      </w:r>
      <w:r>
        <w:rPr>
          <w:rStyle w:val="4"/>
          <w:rFonts w:hint="default" w:ascii="Verdana" w:hAnsi="Verdana" w:cs="Verdana"/>
          <w:i w:val="0"/>
          <w:iCs w:val="0"/>
          <w:caps w:val="0"/>
          <w:color w:val="0000EE"/>
          <w:spacing w:val="0"/>
          <w:sz w:val="24"/>
          <w:szCs w:val="24"/>
          <w:u w:val="none"/>
          <w:bdr w:val="none" w:color="auto" w:sz="0" w:space="0"/>
          <w:shd w:val="clear" w:fill="F3F4F6"/>
        </w:rPr>
        <w:fldChar w:fldCharType="end"/>
      </w:r>
      <w:r>
        <w:rPr>
          <w:rStyle w:val="4"/>
          <w:rFonts w:hint="default" w:ascii="Verdana" w:hAnsi="Verdana" w:cs="Verdana"/>
          <w:i w:val="0"/>
          <w:iCs w:val="0"/>
          <w:caps w:val="0"/>
          <w:color w:val="323A45"/>
          <w:spacing w:val="0"/>
          <w:sz w:val="24"/>
          <w:szCs w:val="24"/>
          <w:bdr w:val="none" w:color="auto" w:sz="0" w:space="0"/>
          <w:shd w:val="clear" w:fill="F3F4F6"/>
        </w:rPr>
        <w:t> and </w:t>
      </w:r>
      <w:r>
        <w:rPr>
          <w:rStyle w:val="4"/>
          <w:rFonts w:hint="default" w:ascii="Verdana" w:hAnsi="Verdana" w:cs="Verdana"/>
          <w:i w:val="0"/>
          <w:iCs w:val="0"/>
          <w:caps w:val="0"/>
          <w:color w:val="0000EE"/>
          <w:spacing w:val="0"/>
          <w:sz w:val="24"/>
          <w:szCs w:val="24"/>
          <w:u w:val="none"/>
          <w:bdr w:val="none" w:color="auto" w:sz="0" w:space="0"/>
          <w:shd w:val="clear" w:fill="F3F4F6"/>
        </w:rPr>
        <w:fldChar w:fldCharType="begin"/>
      </w:r>
      <w:r>
        <w:rPr>
          <w:rStyle w:val="4"/>
          <w:rFonts w:hint="default" w:ascii="Verdana" w:hAnsi="Verdana" w:cs="Verdana"/>
          <w:i w:val="0"/>
          <w:iCs w:val="0"/>
          <w:caps w:val="0"/>
          <w:color w:val="0000EE"/>
          <w:spacing w:val="0"/>
          <w:sz w:val="24"/>
          <w:szCs w:val="24"/>
          <w:u w:val="none"/>
          <w:bdr w:val="none" w:color="auto" w:sz="0" w:space="0"/>
          <w:shd w:val="clear" w:fill="F3F4F6"/>
        </w:rPr>
        <w:instrText xml:space="preserve"> HYPERLINK "https://www.ifc.org/en/home" </w:instrText>
      </w:r>
      <w:r>
        <w:rPr>
          <w:rStyle w:val="4"/>
          <w:rFonts w:hint="default" w:ascii="Verdana" w:hAnsi="Verdana" w:cs="Verdana"/>
          <w:i w:val="0"/>
          <w:iCs w:val="0"/>
          <w:caps w:val="0"/>
          <w:color w:val="0000EE"/>
          <w:spacing w:val="0"/>
          <w:sz w:val="24"/>
          <w:szCs w:val="24"/>
          <w:u w:val="none"/>
          <w:bdr w:val="none" w:color="auto" w:sz="0" w:space="0"/>
          <w:shd w:val="clear" w:fill="F3F4F6"/>
        </w:rPr>
        <w:fldChar w:fldCharType="separate"/>
      </w:r>
      <w:r>
        <w:rPr>
          <w:rStyle w:val="5"/>
          <w:rFonts w:hint="default" w:ascii="Verdana" w:hAnsi="Verdana" w:cs="Verdana"/>
          <w:i/>
          <w:iCs/>
          <w:caps w:val="0"/>
          <w:color w:val="0000EE"/>
          <w:spacing w:val="0"/>
          <w:sz w:val="24"/>
          <w:szCs w:val="24"/>
          <w:u w:val="none"/>
          <w:bdr w:val="none" w:color="auto" w:sz="0" w:space="0"/>
          <w:shd w:val="clear" w:fill="F3F4F6"/>
        </w:rPr>
        <w:t>IFC</w:t>
      </w:r>
      <w:r>
        <w:rPr>
          <w:rStyle w:val="4"/>
          <w:rFonts w:hint="default" w:ascii="Verdana" w:hAnsi="Verdana" w:cs="Verdana"/>
          <w:i w:val="0"/>
          <w:iCs w:val="0"/>
          <w:caps w:val="0"/>
          <w:color w:val="0000EE"/>
          <w:spacing w:val="0"/>
          <w:sz w:val="24"/>
          <w:szCs w:val="24"/>
          <w:u w:val="none"/>
          <w:bdr w:val="none" w:color="auto" w:sz="0" w:space="0"/>
          <w:shd w:val="clear" w:fill="F3F4F6"/>
        </w:rPr>
        <w:fldChar w:fldCharType="end"/>
      </w:r>
      <w:r>
        <w:rPr>
          <w:rStyle w:val="4"/>
          <w:rFonts w:hint="default" w:ascii="Verdana" w:hAnsi="Verdana" w:cs="Verdana"/>
          <w:i w:val="0"/>
          <w:iCs w:val="0"/>
          <w:caps w:val="0"/>
          <w:color w:val="323A45"/>
          <w:spacing w:val="0"/>
          <w:sz w:val="24"/>
          <w:szCs w:val="24"/>
          <w:bdr w:val="none" w:color="auto" w:sz="0" w:space="0"/>
          <w:shd w:val="clear" w:fill="F3F4F6"/>
        </w:rPr>
        <w:t> including our values and inspiring stories.</w:t>
      </w:r>
    </w:p>
    <w:p w14:paraId="42BE67B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AC1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2026-04-03T19:29:34Z</dcterms:created>
  <dc:creator>akanr</dc:creator>
  <cp:lastModifiedBy>Andrew Monett</cp:lastModifiedBy>
  <dcterms:modified xsi:type="dcterms:W3CDTF">2026-04-03T19:29:41Z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FDEEB7EAB0204D2EB26F55038752C60C_12</vt:lpwstr>
  </property>
</Properties>
</file>