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</w:pPr>
      <w:r>
        <w:rPr>
          <w:rFonts w:ascii="Calibri" w:hAnsi="Calibri"/>
          <w:b/>
          <w:sz w:val="34"/>
        </w:rPr>
        <w:t>MELDA AKAN</w:t>
      </w:r>
    </w:p>
    <w:p>
      <w:pPr>
        <w:jc w:val="center"/>
        <w:spacing w:before="0" w:after="0"/>
      </w:pPr>
      <w:r>
        <w:rPr>
          <w:rFonts w:ascii="Calibri" w:hAnsi="Calibri"/>
          <w:sz w:val="20"/>
        </w:rPr>
        <w:t>Address: Arlington, Virginia, USA</w:t>
      </w:r>
    </w:p>
    <w:p>
      <w:pPr>
        <w:jc w:val="center"/>
        <w:spacing w:before="0" w:after="60"/>
      </w:pPr>
      <w:r>
        <w:rPr>
          <w:rFonts w:ascii="Calibri" w:hAnsi="Calibri"/>
          <w:sz w:val="20"/>
        </w:rPr>
        <w:t>Tel: (571) 622 7403  |  Email: melda_akan@gwu.edu  |  https://www.linkedin.com/in/mkarasahin/</w:t>
      </w:r>
    </w:p>
    <w:p>
      <w:pPr>
        <w:spacing w:before="0" w:after="60"/>
      </w:pPr>
      <w:r>
        <w:rPr>
          <w:rFonts w:ascii="Calibri" w:hAnsi="Calibri"/>
          <w:i/>
          <w:sz w:val="20"/>
        </w:rPr>
        <w:t>An accomplished applied economist and data science professional with a Master's in Applied Economics and 6+ years of experience spanning institutional financial analytics, corporate finance strategy, and large-scale data management. Proven ability to support senior leadership at the World Bank by validating financial data, streamlining reporting, and contributing to the migration of analytical workflows to AI-enabled platforms. Adept at leveraging advanced quantitative methods and data visualization to drive robust financial planning, balance sheet optimization, and risk exposure modeling for critical decision-making.</w:t>
      </w:r>
    </w:p>
    <w:p>
      <w:pPr>
        <w:spacing w:before="80" w:after="2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EXPERIENCE</w:t>
      </w:r>
    </w:p>
    <w:p>
      <w:pPr>
        <w:spacing w:before="40" w:after="0"/>
        <w:tabs>
          <w:tab w:val="right" w:pos="10800"/>
        </w:tabs>
      </w:pPr>
      <w:r>
        <w:rPr>
          <w:rFonts w:ascii="Calibri" w:hAnsi="Calibri"/>
          <w:b/>
          <w:sz w:val="20"/>
        </w:rPr>
        <w:t>THE GEORGE WASHINGTON UNIVERSITY</w:t>
      </w:r>
      <w:r>
        <w:tab/>
      </w:r>
      <w:r>
        <w:rPr>
          <w:rFonts w:ascii="Calibri" w:hAnsi="Calibri"/>
          <w:b/>
          <w:sz w:val="20"/>
        </w:rPr>
        <w:t>Washington, DC</w:t>
      </w:r>
    </w:p>
    <w:p>
      <w:pPr>
        <w:spacing w:before="0" w:after="0"/>
        <w:tabs>
          <w:tab w:val="right" w:pos="10800"/>
        </w:tabs>
      </w:pPr>
      <w:r>
        <w:rPr>
          <w:rFonts w:ascii="Calibri" w:hAnsi="Calibri"/>
          <w:b/>
          <w:sz w:val="20"/>
        </w:rPr>
        <w:t>Graduate Research Assistant</w:t>
      </w:r>
      <w:r>
        <w:tab/>
      </w:r>
      <w:r>
        <w:rPr>
          <w:rFonts w:ascii="Calibri" w:hAnsi="Calibri"/>
          <w:sz w:val="20"/>
        </w:rPr>
        <w:t>January 2024 – January 2026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Built and cleaned large-scale SIPP microdata across panels (1983–2024; 25M+ observations) in Stata, implementing reproducible scripts for merges, recodes, and panel harmonization crucial for consistent macroeconomic and financial analysis.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Identified, harmonized, and extracted complex severance-related variables across years to construct a consistent annual time series for econometric and policy analysis.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Designed and ran rigorous quality-control checks (missing-code audits, cross-year comparability, outlier screening) in R to ensure publication-ready data reliability and integrity for analytical outputs.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Conducted in-depth policy analysis of Australia’s Family Tax Benefit system, assessing its development, policy frameworks, and fiscal impact to inform research on social protection and women’s labor participation.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Compiled a comprehensive report through literature review, cross-country policy comparison, and data collection to support faculty research on tax design, informing discussions on fiscal equity and efficiency.</w:t>
      </w:r>
    </w:p>
    <w:p>
      <w:pPr>
        <w:spacing w:before="40" w:after="0"/>
        <w:tabs>
          <w:tab w:val="right" w:pos="10800"/>
        </w:tabs>
      </w:pPr>
      <w:r>
        <w:rPr>
          <w:rFonts w:ascii="Calibri" w:hAnsi="Calibri"/>
          <w:b/>
          <w:sz w:val="20"/>
        </w:rPr>
        <w:t>THE WORLD BANK</w:t>
      </w:r>
      <w:r>
        <w:tab/>
      </w:r>
      <w:r>
        <w:rPr>
          <w:rFonts w:ascii="Calibri" w:hAnsi="Calibri"/>
          <w:b/>
          <w:sz w:val="20"/>
        </w:rPr>
        <w:t>Washington, DC</w:t>
      </w:r>
    </w:p>
    <w:p>
      <w:pPr>
        <w:spacing w:before="0" w:after="0"/>
        <w:tabs>
          <w:tab w:val="right" w:pos="10800"/>
        </w:tabs>
      </w:pPr>
      <w:r>
        <w:rPr>
          <w:rFonts w:ascii="Calibri" w:hAnsi="Calibri"/>
          <w:b/>
          <w:sz w:val="20"/>
        </w:rPr>
        <w:t>Research and Analytics Intern</w:t>
      </w:r>
      <w:r>
        <w:tab/>
      </w:r>
      <w:r>
        <w:rPr>
          <w:rFonts w:ascii="Calibri" w:hAnsi="Calibri"/>
          <w:sz w:val="20"/>
        </w:rPr>
        <w:t>May 2025 – August 2025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Supported institutional financial reporting analytics by validating data inputs, reconciling discrepancies, documenting assumptions, and summarizing key trends and performance drivers for WBG senior leadership reporting.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Contributed to the migration of 300+ financial reporting templates from Excel to an AI-enabled platform, performing user acceptance testing (UAT), tracking defects, and improving consistency, efficiency, and control in annual close reporting workflows.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Helped strengthen financial reporting processes through diligent data quality checks, proactive issue resolution, and developing user-oriented documentation to support adoption of new analytical workflows.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Collaborated effectively across business and technical teams to support reporting automation and improve reliability of financial information essential for senior leadership decision-making.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Supported institutional reporting and governance-ready deliverables by coordinating inputs across teams, standardizing templates, and improving quality control for leadership-facing materials.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Drafted and standardized reporting templates and background notes to support leadership decision-making and donor transparency.</w:t>
      </w:r>
    </w:p>
    <w:p>
      <w:pPr>
        <w:spacing w:before="40" w:after="0"/>
        <w:tabs>
          <w:tab w:val="right" w:pos="10800"/>
        </w:tabs>
      </w:pPr>
      <w:r>
        <w:rPr>
          <w:rFonts w:ascii="Calibri" w:hAnsi="Calibri"/>
          <w:b/>
          <w:sz w:val="20"/>
        </w:rPr>
        <w:t>TURKISH AIRLINES</w:t>
      </w:r>
      <w:r>
        <w:tab/>
      </w:r>
      <w:r>
        <w:rPr>
          <w:rFonts w:ascii="Calibri" w:hAnsi="Calibri"/>
          <w:b/>
          <w:sz w:val="20"/>
        </w:rPr>
        <w:t>Istanbul, Turkey</w:t>
      </w:r>
    </w:p>
    <w:p>
      <w:pPr>
        <w:spacing w:before="0" w:after="0"/>
        <w:tabs>
          <w:tab w:val="right" w:pos="10800"/>
        </w:tabs>
      </w:pPr>
      <w:r>
        <w:rPr>
          <w:rFonts w:ascii="Calibri" w:hAnsi="Calibri"/>
          <w:b/>
          <w:sz w:val="20"/>
        </w:rPr>
        <w:t>Senior Global Corporate Account Manager</w:t>
      </w:r>
      <w:r>
        <w:tab/>
      </w:r>
      <w:r>
        <w:rPr>
          <w:rFonts w:ascii="Calibri" w:hAnsi="Calibri"/>
          <w:sz w:val="20"/>
        </w:rPr>
        <w:t>May 2019 – March 2022</w:t>
      </w:r>
    </w:p>
    <w:p>
      <w:pPr>
        <w:spacing w:before="0" w:after="0"/>
        <w:tabs>
          <w:tab w:val="right" w:pos="10800"/>
        </w:tabs>
      </w:pPr>
      <w:r>
        <w:rPr>
          <w:rFonts w:ascii="Calibri" w:hAnsi="Calibri"/>
          <w:b/>
          <w:sz w:val="20"/>
        </w:rPr>
        <w:t>Global Corporate Account Manager</w:t>
      </w:r>
      <w:r>
        <w:tab/>
      </w:r>
      <w:r>
        <w:rPr>
          <w:rFonts w:ascii="Calibri" w:hAnsi="Calibri"/>
          <w:sz w:val="20"/>
        </w:rPr>
        <w:t>May 2016 – May 2019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Partnered with the data warehouse team to resolve missing or incorrect customer, sales, and flight records; used VBA to flag anomalies, validate inputs, and support timely corrections for data integrity.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Merged customer-based metadata and worldwide sales/flight datasets from multiple sources; performed data validation and quality checks, then shared validated extracts to support strategic projects and financial analysis.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Managed a 35+ market portfolio, analyzing corporate travel policies and revenue potential to guide commercial strategy and contribute to financial planning, delivering 20%+ route revenue growth for three consecutive years.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Launched a new SME-focused digital product by coordinating local sales teams and partnering with IT, driving a digital transformation in client onboarding and service delivery that resulted in 10,000 new clients within 3 months.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Coordinated high-stakes stakeholder events and meetings (clients, partners, senior executives), ensuring accurate communications and on-time deliverables for strategic initiatives.</w:t>
      </w:r>
    </w:p>
    <w:p>
      <w:pPr>
        <w:spacing w:before="40" w:after="0"/>
        <w:tabs>
          <w:tab w:val="right" w:pos="10800"/>
        </w:tabs>
      </w:pPr>
      <w:r>
        <w:rPr>
          <w:rFonts w:ascii="Calibri" w:hAnsi="Calibri"/>
          <w:b/>
          <w:sz w:val="20"/>
        </w:rPr>
        <w:t>SIEMENS</w:t>
      </w:r>
      <w:r>
        <w:tab/>
      </w:r>
      <w:r>
        <w:rPr>
          <w:rFonts w:ascii="Calibri" w:hAnsi="Calibri"/>
          <w:b/>
          <w:sz w:val="20"/>
        </w:rPr>
        <w:t>Istanbul, Turkey</w:t>
      </w:r>
    </w:p>
    <w:p>
      <w:pPr>
        <w:spacing w:before="0" w:after="0"/>
        <w:tabs>
          <w:tab w:val="right" w:pos="10800"/>
        </w:tabs>
      </w:pPr>
      <w:r>
        <w:rPr>
          <w:rFonts w:ascii="Calibri" w:hAnsi="Calibri"/>
          <w:b/>
          <w:sz w:val="20"/>
        </w:rPr>
        <w:t>Marketing &amp; Proposal Manager</w:t>
      </w:r>
      <w:r>
        <w:tab/>
      </w:r>
      <w:r>
        <w:rPr>
          <w:rFonts w:ascii="Calibri" w:hAnsi="Calibri"/>
          <w:sz w:val="20"/>
        </w:rPr>
        <w:t>May 2013 – May 2016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Defined and investigated market needs, trends, and portfolio opportunities to create and implement optimal business approaches, contributing to global marketing strategy bi-monthly.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Organized complex bid activities for the solutions team, ensuring the creation and maintenance of bid files; prepared more than 25 solution proposals for EMEA and Turkish smart grid clients.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Crafted detailed business cases for energy infrastructure initiatives, directly contributing to Siemens' global strategy within the energy sector and informing financial policy decisions.</w:t>
      </w:r>
    </w:p>
    <w:p>
      <w:pPr>
        <w:spacing w:before="80" w:after="2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EDUCATION</w:t>
      </w:r>
    </w:p>
    <w:p>
      <w:pPr>
        <w:spacing w:before="40" w:after="0"/>
        <w:tabs>
          <w:tab w:val="right" w:pos="10800"/>
        </w:tabs>
      </w:pPr>
      <w:r>
        <w:rPr>
          <w:rFonts w:ascii="Calibri" w:hAnsi="Calibri"/>
          <w:b/>
          <w:sz w:val="20"/>
        </w:rPr>
        <w:t>THE GEORGE WASHINGTON UNIVERSITY (3.97 GPA)</w:t>
      </w:r>
      <w:r>
        <w:tab/>
      </w:r>
      <w:r>
        <w:rPr>
          <w:rFonts w:ascii="Calibri" w:hAnsi="Calibri"/>
          <w:b/>
          <w:sz w:val="20"/>
        </w:rPr>
        <w:t>Washington, DC</w:t>
      </w:r>
    </w:p>
    <w:p>
      <w:pPr>
        <w:spacing w:before="0" w:after="0"/>
        <w:tabs>
          <w:tab w:val="right" w:pos="10800"/>
        </w:tabs>
      </w:pPr>
      <w:r>
        <w:rPr>
          <w:rFonts w:ascii="Calibri" w:hAnsi="Calibri"/>
          <w:b/>
          <w:sz w:val="20"/>
        </w:rPr>
        <w:t>Applied Economics (MS)</w:t>
      </w:r>
      <w:r>
        <w:tab/>
      </w:r>
      <w:r>
        <w:rPr>
          <w:rFonts w:ascii="Calibri" w:hAnsi="Calibri"/>
          <w:sz w:val="20"/>
        </w:rPr>
        <w:t>January 2024 – January 2026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Global Leaders Fellowship Awardee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Dean’s High Honor List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International Business Ethics and Sustainability Case Competition Winner (2025)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Relevant Coursework: Time Series, Applied Macroeconomics, Applied Financial Analysis, Quantitative Risk Management, Statistics, International Banking, Development Economics (PhD Course)</w:t>
      </w:r>
    </w:p>
    <w:p>
      <w:pPr>
        <w:spacing w:before="40" w:after="0"/>
        <w:tabs>
          <w:tab w:val="right" w:pos="10800"/>
        </w:tabs>
      </w:pPr>
      <w:r>
        <w:rPr>
          <w:rFonts w:ascii="Calibri" w:hAnsi="Calibri"/>
          <w:b/>
          <w:sz w:val="20"/>
        </w:rPr>
        <w:t>BOGAZICI UNIVERSITY</w:t>
      </w:r>
      <w:r>
        <w:tab/>
      </w:r>
      <w:r>
        <w:rPr>
          <w:rFonts w:ascii="Calibri" w:hAnsi="Calibri"/>
          <w:b/>
          <w:sz w:val="20"/>
        </w:rPr>
        <w:t>Istanbul, Turkey</w:t>
      </w:r>
    </w:p>
    <w:p>
      <w:pPr>
        <w:spacing w:before="0" w:after="0"/>
        <w:tabs>
          <w:tab w:val="right" w:pos="10800"/>
        </w:tabs>
      </w:pPr>
      <w:r>
        <w:rPr>
          <w:rFonts w:ascii="Calibri" w:hAnsi="Calibri"/>
          <w:b/>
          <w:sz w:val="20"/>
        </w:rPr>
        <w:t>Economics (BA)</w:t>
      </w:r>
      <w:r>
        <w:tab/>
      </w:r>
      <w:r>
        <w:rPr>
          <w:rFonts w:ascii="Calibri" w:hAnsi="Calibri"/>
          <w:sz w:val="20"/>
        </w:rPr>
        <w:t>August 2020 – December 2024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Ranked as the top economics program in Turkey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Dean’s High Honor List (4 semesters)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Graduated with Honors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International Exchange Student Scholarship at GW for two semesters (Full Tuition)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Relevant Coursework: Portfolio Management, Financial Management and Markets, Statistics, Econometrics, Management Simulation, Game Theory, International Economics</w:t>
      </w:r>
    </w:p>
    <w:p>
      <w:pPr>
        <w:spacing w:before="40" w:after="0"/>
        <w:tabs>
          <w:tab w:val="right" w:pos="10800"/>
        </w:tabs>
      </w:pPr>
      <w:r>
        <w:rPr>
          <w:rFonts w:ascii="Calibri" w:hAnsi="Calibri"/>
          <w:b/>
          <w:sz w:val="20"/>
        </w:rPr>
        <w:t>YILDIZ TECHNICAL UNIVERSITY</w:t>
      </w:r>
      <w:r>
        <w:tab/>
      </w:r>
      <w:r>
        <w:rPr>
          <w:rFonts w:ascii="Calibri" w:hAnsi="Calibri"/>
          <w:b/>
          <w:sz w:val="20"/>
        </w:rPr>
        <w:t>Istanbul, Turkey</w:t>
      </w:r>
    </w:p>
    <w:p>
      <w:pPr>
        <w:spacing w:before="0" w:after="0"/>
        <w:tabs>
          <w:tab w:val="right" w:pos="10800"/>
        </w:tabs>
      </w:pPr>
      <w:r>
        <w:rPr>
          <w:rFonts w:ascii="Calibri" w:hAnsi="Calibri"/>
          <w:b/>
          <w:sz w:val="20"/>
        </w:rPr>
        <w:t>Innovation, Administration and Entrepreneurship (MBA)</w:t>
      </w:r>
      <w:r>
        <w:tab/>
      </w:r>
      <w:r>
        <w:rPr>
          <w:rFonts w:ascii="Calibri" w:hAnsi="Calibri"/>
          <w:sz w:val="20"/>
        </w:rPr>
        <w:t>January 2016 – July 2018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Graduated with High Honors</w:t>
      </w:r>
    </w:p>
    <w:p>
      <w:pPr>
        <w:spacing w:before="40" w:after="0"/>
        <w:tabs>
          <w:tab w:val="right" w:pos="10800"/>
        </w:tabs>
      </w:pPr>
      <w:r>
        <w:rPr>
          <w:rFonts w:ascii="Calibri" w:hAnsi="Calibri"/>
          <w:b/>
          <w:sz w:val="20"/>
        </w:rPr>
        <w:t>ISTANBUL TECHNICAL UNIVERSITY</w:t>
      </w:r>
      <w:r>
        <w:tab/>
      </w:r>
      <w:r>
        <w:rPr>
          <w:rFonts w:ascii="Calibri" w:hAnsi="Calibri"/>
          <w:b/>
          <w:sz w:val="20"/>
        </w:rPr>
        <w:t>Istanbul, Turkey</w:t>
      </w:r>
    </w:p>
    <w:p>
      <w:pPr>
        <w:spacing w:before="0" w:after="0"/>
        <w:tabs>
          <w:tab w:val="right" w:pos="10800"/>
        </w:tabs>
      </w:pPr>
      <w:r>
        <w:rPr>
          <w:rFonts w:ascii="Calibri" w:hAnsi="Calibri"/>
          <w:b/>
          <w:sz w:val="20"/>
        </w:rPr>
        <w:t>Electrical &amp; Energy Engineering (BS)</w:t>
      </w:r>
      <w:r>
        <w:tab/>
      </w:r>
      <w:r>
        <w:rPr>
          <w:rFonts w:ascii="Calibri" w:hAnsi="Calibri"/>
          <w:sz w:val="20"/>
        </w:rPr>
        <w:t>September 2008 – June 2013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Ranked as the top technical university in Istanbul and the top electrical engineering department in Turkey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Siemens Future Professionals Scholarship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Finansbank Merit Based Scholarship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Relevant Coursework: Linear Algebra, Differential Equations, Numerical Methods, Computing (C++)</w:t>
      </w:r>
    </w:p>
    <w:p>
      <w:pPr>
        <w:spacing w:before="80" w:after="2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SKILLS/ACTIVITIES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Technical skills: R, STATA, Python, Excel (advanced modeling, Power Query, VBA), Power BI, SQL, MATLAB, Tableau, C++ (Object-Oriented Programming)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Data skills: Large-scale data processing, cleaning, and transformation (microeconomic, macroeconomic, financial); Database construction and management; Reproducible research workflows; Panel harmonization; Data validation and quality assurance (QA/QC); AI prompt engineering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Skills: Corporate Finance, Financial Reporting, Risk Analytics, Balance Sheet Strategy, Portfolio Management, Financial Management and Markets, Development Finance, Pricing Analysis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Strategic planning and support, Policy analysis and translation to analytical logic, Stakeholder management and cross-functional collaboration, Project coordination and delivery, Business case development, Reporting automation and process optimization, Digital transformation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Certifications: McKinsey Forward Program (2024), Build Project – Building 5 Year Financial Plan (2024), Build Project – Enterprise Valuation for M&amp;A (2024), Communication for Economists (2025)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Language skills: Turkish (Native), English (Fluent), Chinese (Beginner)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