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hyperlink w:anchor="sec-chap05">
        <w:r>
          <w:rPr>
            <w:rStyle w:val="Hyperlink"/>
          </w:rPr>
          <w:t xml:space="preserve">chapitre 6</w:t>
        </w:r>
      </w:hyperlink>
      <w:r>
        <w:t xml:space="preserve">) et non supervisées (</w:t>
      </w:r>
      <w:hyperlink w:anchor="sec-chap06">
        <w:r>
          <w:rPr>
            <w:rStyle w:val="Hyperlink"/>
          </w:rPr>
          <w:t xml:space="preserve">chapitre 7</w:t>
        </w:r>
      </w:hyperlink>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hyperlink w:anchor="sec-chap07">
        <w:r>
          <w:rPr>
            <w:rStyle w:val="Hyperlink"/>
          </w:rPr>
          <w:t xml:space="preserve">chapitre 8</w:t>
        </w:r>
      </w:hyperlink>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7"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p>
      <w:pPr>
        <w:pStyle w:val="FirstParagraph"/>
      </w:pPr>
      <w:r>
        <w:t xml:space="preserve">L’application de filtres à l’intérieur de fenêtres glissantes implique de gérer les bords de l’image car la fenêtre de traitement va nécessairement déborder de quelques pixels en dehors de l’image (généralement la moitié de la fenêtre déborde). On peut soit décider d’ignorer les valeurs en dehors de l’image en imposant une valeur</w:t>
      </w:r>
      <w:r>
        <w:t xml:space="preserve"> </w:t>
      </w:r>
      <w:r>
        <w:rPr>
          <w:rStyle w:val="VerbatimChar"/>
        </w:rPr>
        <w:t xml:space="preserve">nan</w:t>
      </w:r>
      <w:r>
        <w:t xml:space="preserve">, prolonger l’image de quelques lignes et colonnes avec des valeurs mirroirs ou constantes.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8" w:name="segmentation"/>
    <w:p>
      <w:pPr>
        <w:pStyle w:val="Heading2"/>
      </w:pPr>
      <w:r>
        <w:t xml:space="preserve">5.4 Segmentation</w:t>
      </w:r>
    </w:p>
    <w:p>
      <w:pPr>
        <w:pStyle w:val="FirstParagraph"/>
      </w:pPr>
      <w:r>
        <w:t xml:space="preserve">La segmentation d’image consiste à séparer une image en régions homogènes spatialement connexes (segments) où les valeurs sont uniformes selon un certain critère (couleurs, texture, etc.). Une image présente généralement beaucoup de pixels redondants, l’intérêt de ce type de méthode est essentiellement de réduire la quantité de pxiels nécessaire. En télédétection, on parle souvent d’approche objet. En vision par ordinateur, on parle parfois de super-pixel. Il existe de nombreuses méthodes de segmentation, la librairie</w:t>
      </w:r>
      <w:r>
        <w:t xml:space="preserve"> </w:t>
      </w:r>
      <w:r>
        <w:rPr>
          <w:rStyle w:val="VerbatimChar"/>
        </w:rPr>
        <w:t xml:space="preserve">sickit-image</w:t>
      </w:r>
      <w:r>
        <w:t xml:space="preserve"> </w:t>
      </w:r>
      <w:r>
        <w:t xml:space="preserve">rend disponible plusieurs implémentations sur des images RVB (</w:t>
      </w:r>
      <w:hyperlink r:id="rId247">
        <w:r>
          <w:rPr>
            <w:rStyle w:val="Hyperlink"/>
          </w:rPr>
          <w:t xml:space="preserve">Comparison of segmentation and superpixel algorithms — skimage 0.25.0 documentation</w:t>
        </w:r>
      </w:hyperlink>
      <w:r>
        <w:t xml:space="preserve">).</w:t>
      </w:r>
    </w:p>
    <w:bookmarkEnd w:id="248"/>
    <w:bookmarkStart w:id="249" w:name="vectorisation-et-rasterisation"/>
    <w:p>
      <w:pPr>
        <w:pStyle w:val="Heading2"/>
      </w:pPr>
      <w:r>
        <w:t xml:space="preserve">5.5 Vectorisation et rasterisation</w:t>
      </w:r>
    </w:p>
    <w:bookmarkEnd w:id="249"/>
    <w:bookmarkStart w:id="254" w:name="analyse-de-terrain"/>
    <w:p>
      <w:pPr>
        <w:pStyle w:val="Heading2"/>
      </w:pPr>
      <w:r>
        <w:t xml:space="preserve">5.6 Analyse de terrain</w:t>
      </w:r>
    </w:p>
    <w:bookmarkStart w:id="250" w:name="élévation"/>
    <w:p>
      <w:pPr>
        <w:pStyle w:val="Heading3"/>
      </w:pPr>
      <w:r>
        <w:t xml:space="preserve">5.6.1 Élévation</w:t>
      </w:r>
    </w:p>
    <w:bookmarkEnd w:id="250"/>
    <w:bookmarkStart w:id="251" w:name="pente"/>
    <w:p>
      <w:pPr>
        <w:pStyle w:val="Heading3"/>
      </w:pPr>
      <w:r>
        <w:t xml:space="preserve">5.6.2 Pente</w:t>
      </w:r>
    </w:p>
    <w:bookmarkEnd w:id="251"/>
    <w:bookmarkStart w:id="252" w:name="ombrage"/>
    <w:p>
      <w:pPr>
        <w:pStyle w:val="Heading3"/>
      </w:pPr>
      <w:r>
        <w:t xml:space="preserve">5.6.3 Ombrage</w:t>
      </w:r>
    </w:p>
    <w:bookmarkEnd w:id="252"/>
    <w:bookmarkStart w:id="253" w:name="visibilité"/>
    <w:p>
      <w:pPr>
        <w:pStyle w:val="Heading3"/>
      </w:pPr>
      <w:r>
        <w:t xml:space="preserve">5.6.4 Visibilité</w:t>
      </w:r>
    </w:p>
    <w:bookmarkEnd w:id="253"/>
    <w:bookmarkEnd w:id="254"/>
    <w:bookmarkStart w:id="255" w:name="quiz-de-révision-du-chapitre-3"/>
    <w:p>
      <w:pPr>
        <w:pStyle w:val="Heading2"/>
      </w:pPr>
      <w:r>
        <w:t xml:space="preserve">5.7 Quiz de révision du chapitre</w:t>
      </w:r>
    </w:p>
    <w:bookmarkEnd w:id="255"/>
    <w:bookmarkStart w:id="256" w:name="exercices-de-révision-3"/>
    <w:p>
      <w:pPr>
        <w:pStyle w:val="Heading2"/>
      </w:pPr>
      <w:r>
        <w:t xml:space="preserve">5.8 Exercices de révision</w:t>
      </w:r>
    </w:p>
    <w:bookmarkEnd w:id="256"/>
    <w:bookmarkEnd w:id="257"/>
    <w:bookmarkStart w:id="274" w:name="sec-chap05"/>
    <w:p>
      <w:pPr>
        <w:pStyle w:val="Heading1"/>
      </w:pPr>
      <w:r>
        <w:t xml:space="preserve">6. Classifications d’images supervisées</w:t>
      </w:r>
    </w:p>
    <w:bookmarkStart w:id="263" w:name="rocket-préambule-4"/>
    <w:p>
      <w:pPr>
        <w:pStyle w:val="Heading2"/>
      </w:pPr>
      <w:r>
        <w:t xml:space="preserve">6.1 :rocket: Préambule</w:t>
      </w:r>
    </w:p>
    <w:p>
      <w:pPr>
        <w:pStyle w:val="FirstParagraph"/>
      </w:pPr>
      <w:r>
        <w:t xml:space="preserve">Assurez-vous de lire ce préambule avant d’exécutez le reste du notebook.</w:t>
      </w:r>
    </w:p>
    <w:bookmarkStart w:id="260" w:name="dart-objectifs-2"/>
    <w:p>
      <w:pPr>
        <w:pStyle w:val="Heading3"/>
      </w:pPr>
      <w:r>
        <w:t xml:space="preserve">6.1.1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58" name="Picture"/>
              <a:graphic>
                <a:graphicData uri="http://schemas.openxmlformats.org/drawingml/2006/picture">
                  <pic:pic>
                    <pic:nvPicPr>
                      <pic:cNvPr descr="https://colab.research.google.com/assets/colab-badge.svg" id="2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60"/>
    <w:bookmarkStart w:id="261" w:name="librairies-4"/>
    <w:p>
      <w:pPr>
        <w:pStyle w:val="Heading3"/>
      </w:pPr>
      <w:r>
        <w:t xml:space="preserve">6.1.2 Librairies</w:t>
      </w:r>
    </w:p>
    <w:p>
      <w:pPr>
        <w:pStyle w:val="FirstParagraph"/>
      </w:pPr>
      <w:r>
        <w:t xml:space="preserve">Les librairies qui vont être explorées dans ce chapitre sont les suivantes:</w:t>
      </w:r>
    </w:p>
    <w:p>
      <w:pPr>
        <w:numPr>
          <w:ilvl w:val="0"/>
          <w:numId w:val="1033"/>
        </w:numPr>
      </w:pPr>
      <w:hyperlink r:id="rId101">
        <w:r>
          <w:rPr>
            <w:rStyle w:val="Hyperlink"/>
          </w:rPr>
          <w:t xml:space="preserve">SciPy -</w:t>
        </w:r>
      </w:hyperlink>
    </w:p>
    <w:p>
      <w:pPr>
        <w:numPr>
          <w:ilvl w:val="0"/>
          <w:numId w:val="1033"/>
        </w:numPr>
      </w:pPr>
      <w:hyperlink r:id="rId102">
        <w:r>
          <w:rPr>
            <w:rStyle w:val="Hyperlink"/>
          </w:rPr>
          <w:t xml:space="preserve">NumPy -</w:t>
        </w:r>
      </w:hyperlink>
    </w:p>
    <w:p>
      <w:pPr>
        <w:numPr>
          <w:ilvl w:val="0"/>
          <w:numId w:val="1033"/>
        </w:numPr>
      </w:pPr>
      <w:hyperlink r:id="rId103">
        <w:r>
          <w:rPr>
            <w:rStyle w:val="Hyperlink"/>
          </w:rPr>
          <w:t xml:space="preserve">opencv-python · PyPI</w:t>
        </w:r>
      </w:hyperlink>
    </w:p>
    <w:p>
      <w:pPr>
        <w:numPr>
          <w:ilvl w:val="0"/>
          <w:numId w:val="1033"/>
        </w:numPr>
      </w:pPr>
      <w:hyperlink r:id="rId104">
        <w:r>
          <w:rPr>
            <w:rStyle w:val="Hyperlink"/>
          </w:rPr>
          <w:t xml:space="preserve">scikit-image</w:t>
        </w:r>
      </w:hyperlink>
    </w:p>
    <w:p>
      <w:pPr>
        <w:numPr>
          <w:ilvl w:val="0"/>
          <w:numId w:val="1033"/>
        </w:numPr>
      </w:pPr>
      <w:hyperlink r:id="rId105">
        <w:r>
          <w:rPr>
            <w:rStyle w:val="Hyperlink"/>
          </w:rPr>
          <w:t xml:space="preserve">Rasterio</w:t>
        </w:r>
      </w:hyperlink>
    </w:p>
    <w:p>
      <w:pPr>
        <w:numPr>
          <w:ilvl w:val="0"/>
          <w:numId w:val="1033"/>
        </w:numPr>
      </w:pPr>
      <w:hyperlink r:id="rId106">
        <w:r>
          <w:rPr>
            <w:rStyle w:val="Hyperlink"/>
          </w:rPr>
          <w:t xml:space="preserve">Xarray</w:t>
        </w:r>
      </w:hyperlink>
    </w:p>
    <w:p>
      <w:pPr>
        <w:numPr>
          <w:ilvl w:val="0"/>
          <w:numId w:val="1033"/>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61"/>
    <w:bookmarkStart w:id="262" w:name="images-utilisées-2"/>
    <w:p>
      <w:pPr>
        <w:pStyle w:val="Heading3"/>
      </w:pPr>
      <w:r>
        <w:t xml:space="preserve">6.1.3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62"/>
    <w:bookmarkEnd w:id="263"/>
    <w:bookmarkStart w:id="268" w:name="sec-051"/>
    <w:p>
      <w:pPr>
        <w:pStyle w:val="Heading2"/>
      </w:pPr>
      <w:r>
        <w:t xml:space="preserve">6.2 Classification d’images pixel par pixel</w:t>
      </w:r>
    </w:p>
    <w:bookmarkStart w:id="264" w:name="sec-0511"/>
    <w:p>
      <w:pPr>
        <w:pStyle w:val="Heading3"/>
      </w:pPr>
      <w:r>
        <w:t xml:space="preserve">6.2.1 Parallélépipède</w:t>
      </w:r>
    </w:p>
    <w:bookmarkEnd w:id="264"/>
    <w:bookmarkStart w:id="265" w:name="sec-0512"/>
    <w:p>
      <w:pPr>
        <w:pStyle w:val="Heading3"/>
      </w:pPr>
      <w:r>
        <w:t xml:space="preserve">6.2.2 Méthodes paramétriques</w:t>
      </w:r>
    </w:p>
    <w:bookmarkEnd w:id="265"/>
    <w:bookmarkStart w:id="266" w:name="sec-0513"/>
    <w:p>
      <w:pPr>
        <w:pStyle w:val="Heading3"/>
      </w:pPr>
      <w:r>
        <w:t xml:space="preserve">6.2.3 Méthodes non paramétriques</w:t>
      </w:r>
    </w:p>
    <w:bookmarkEnd w:id="266"/>
    <w:bookmarkStart w:id="267" w:name="sec-0514"/>
    <w:p>
      <w:pPr>
        <w:pStyle w:val="Heading3"/>
      </w:pPr>
      <w:r>
        <w:t xml:space="preserve">6.2.4 SVEM, réseaux de neurones, forêts aléatoires</w:t>
      </w:r>
    </w:p>
    <w:bookmarkEnd w:id="267"/>
    <w:bookmarkEnd w:id="268"/>
    <w:bookmarkStart w:id="271" w:name="sec-052"/>
    <w:p>
      <w:pPr>
        <w:pStyle w:val="Heading2"/>
      </w:pPr>
      <w:r>
        <w:t xml:space="preserve">6.3 Segmentation d’images</w:t>
      </w:r>
    </w:p>
    <w:bookmarkStart w:id="269" w:name="sec-0521"/>
    <w:p>
      <w:pPr>
        <w:pStyle w:val="Heading3"/>
      </w:pPr>
      <w:r>
        <w:t xml:space="preserve">6.3.1 Classification objet</w:t>
      </w:r>
    </w:p>
    <w:bookmarkEnd w:id="269"/>
    <w:bookmarkStart w:id="270" w:name="sec-0522"/>
    <w:p>
      <w:pPr>
        <w:pStyle w:val="Heading3"/>
      </w:pPr>
      <w:r>
        <w:t xml:space="preserve">6.3.2 Approches par arbre (BPT, etc.)</w:t>
      </w:r>
    </w:p>
    <w:bookmarkEnd w:id="270"/>
    <w:bookmarkEnd w:id="271"/>
    <w:bookmarkStart w:id="272" w:name="sec-053"/>
    <w:p>
      <w:pPr>
        <w:pStyle w:val="Heading2"/>
      </w:pPr>
      <w:r>
        <w:t xml:space="preserve">6.4 Quiz de révision du chapitre</w:t>
      </w:r>
    </w:p>
    <w:bookmarkEnd w:id="272"/>
    <w:bookmarkStart w:id="273" w:name="sec-054"/>
    <w:p>
      <w:pPr>
        <w:pStyle w:val="Heading2"/>
      </w:pPr>
      <w:r>
        <w:t xml:space="preserve">6.5 Exercices de révision</w:t>
      </w:r>
    </w:p>
    <w:bookmarkEnd w:id="273"/>
    <w:bookmarkEnd w:id="274"/>
    <w:bookmarkStart w:id="290" w:name="sec-chap06"/>
    <w:p>
      <w:pPr>
        <w:pStyle w:val="Heading1"/>
      </w:pPr>
      <w:r>
        <w:t xml:space="preserve">7. Classifications d’images non supervisées</w:t>
      </w:r>
    </w:p>
    <w:bookmarkStart w:id="280" w:name="rocket-préambule-5"/>
    <w:p>
      <w:pPr>
        <w:pStyle w:val="Heading2"/>
      </w:pPr>
      <w:r>
        <w:t xml:space="preserve">7.1 :rocket: Préambule</w:t>
      </w:r>
    </w:p>
    <w:p>
      <w:pPr>
        <w:pStyle w:val="FirstParagraph"/>
      </w:pPr>
      <w:r>
        <w:t xml:space="preserve">Assurez-vous de lire ce préambule avant d’exécutez le reste du notebook.</w:t>
      </w:r>
    </w:p>
    <w:bookmarkStart w:id="277" w:name="dart-objectifs-3"/>
    <w:p>
      <w:pPr>
        <w:pStyle w:val="Heading3"/>
      </w:pPr>
      <w:r>
        <w:t xml:space="preserve">7.1.1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75" name="Picture"/>
              <a:graphic>
                <a:graphicData uri="http://schemas.openxmlformats.org/drawingml/2006/picture">
                  <pic:pic>
                    <pic:nvPicPr>
                      <pic:cNvPr descr="https://colab.research.google.com/assets/colab-badge.svg" id="2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7"/>
    <w:bookmarkStart w:id="278" w:name="librairies-5"/>
    <w:p>
      <w:pPr>
        <w:pStyle w:val="Heading3"/>
      </w:pPr>
      <w:r>
        <w:t xml:space="preserve">7.1.2 Librairies</w:t>
      </w:r>
    </w:p>
    <w:p>
      <w:pPr>
        <w:pStyle w:val="FirstParagraph"/>
      </w:pPr>
      <w:r>
        <w:t xml:space="preserve">Les librairies qui vont être explorées dans ce chapitre sont les suivantes:</w:t>
      </w:r>
    </w:p>
    <w:p>
      <w:pPr>
        <w:numPr>
          <w:ilvl w:val="0"/>
          <w:numId w:val="1034"/>
        </w:numPr>
      </w:pPr>
      <w:hyperlink r:id="rId101">
        <w:r>
          <w:rPr>
            <w:rStyle w:val="Hyperlink"/>
          </w:rPr>
          <w:t xml:space="preserve">SciPy -</w:t>
        </w:r>
      </w:hyperlink>
    </w:p>
    <w:p>
      <w:pPr>
        <w:numPr>
          <w:ilvl w:val="0"/>
          <w:numId w:val="1034"/>
        </w:numPr>
      </w:pPr>
      <w:hyperlink r:id="rId102">
        <w:r>
          <w:rPr>
            <w:rStyle w:val="Hyperlink"/>
          </w:rPr>
          <w:t xml:space="preserve">NumPy -</w:t>
        </w:r>
      </w:hyperlink>
    </w:p>
    <w:p>
      <w:pPr>
        <w:numPr>
          <w:ilvl w:val="0"/>
          <w:numId w:val="1034"/>
        </w:numPr>
      </w:pPr>
      <w:hyperlink r:id="rId103">
        <w:r>
          <w:rPr>
            <w:rStyle w:val="Hyperlink"/>
          </w:rPr>
          <w:t xml:space="preserve">opencv-python · PyPI</w:t>
        </w:r>
      </w:hyperlink>
    </w:p>
    <w:p>
      <w:pPr>
        <w:numPr>
          <w:ilvl w:val="0"/>
          <w:numId w:val="1034"/>
        </w:numPr>
      </w:pPr>
      <w:hyperlink r:id="rId104">
        <w:r>
          <w:rPr>
            <w:rStyle w:val="Hyperlink"/>
          </w:rPr>
          <w:t xml:space="preserve">scikit-image</w:t>
        </w:r>
      </w:hyperlink>
    </w:p>
    <w:p>
      <w:pPr>
        <w:numPr>
          <w:ilvl w:val="0"/>
          <w:numId w:val="1034"/>
        </w:numPr>
      </w:pPr>
      <w:hyperlink r:id="rId105">
        <w:r>
          <w:rPr>
            <w:rStyle w:val="Hyperlink"/>
          </w:rPr>
          <w:t xml:space="preserve">Rasterio</w:t>
        </w:r>
      </w:hyperlink>
    </w:p>
    <w:p>
      <w:pPr>
        <w:numPr>
          <w:ilvl w:val="0"/>
          <w:numId w:val="1034"/>
        </w:numPr>
      </w:pPr>
      <w:hyperlink r:id="rId106">
        <w:r>
          <w:rPr>
            <w:rStyle w:val="Hyperlink"/>
          </w:rPr>
          <w:t xml:space="preserve">Xarray</w:t>
        </w:r>
      </w:hyperlink>
    </w:p>
    <w:p>
      <w:pPr>
        <w:numPr>
          <w:ilvl w:val="0"/>
          <w:numId w:val="1034"/>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78"/>
    <w:bookmarkStart w:id="279" w:name="images-utilisées-3"/>
    <w:p>
      <w:pPr>
        <w:pStyle w:val="Heading3"/>
      </w:pPr>
      <w:r>
        <w:t xml:space="preserve">7.1.3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79"/>
    <w:bookmarkEnd w:id="280"/>
    <w:bookmarkStart w:id="284" w:name="sec-061"/>
    <w:p>
      <w:pPr>
        <w:pStyle w:val="Heading2"/>
      </w:pPr>
      <w:r>
        <w:t xml:space="preserve">7.2 Classifications strictes</w:t>
      </w:r>
    </w:p>
    <w:bookmarkStart w:id="281" w:name="sec-0611"/>
    <w:p>
      <w:pPr>
        <w:pStyle w:val="Heading3"/>
      </w:pPr>
      <w:r>
        <w:t xml:space="preserve">7.2.1 K-means</w:t>
      </w:r>
    </w:p>
    <w:bookmarkEnd w:id="281"/>
    <w:bookmarkStart w:id="282" w:name="sec-0612"/>
    <w:p>
      <w:pPr>
        <w:pStyle w:val="Heading3"/>
      </w:pPr>
      <w:r>
        <w:t xml:space="preserve">7.2.2 K-mediodes</w:t>
      </w:r>
    </w:p>
    <w:bookmarkEnd w:id="282"/>
    <w:bookmarkStart w:id="283" w:name="sec-0613"/>
    <w:p>
      <w:pPr>
        <w:pStyle w:val="Heading3"/>
      </w:pPr>
      <w:r>
        <w:t xml:space="preserve">7.2.3 Isodata</w:t>
      </w:r>
    </w:p>
    <w:bookmarkEnd w:id="283"/>
    <w:bookmarkEnd w:id="284"/>
    <w:bookmarkStart w:id="285" w:name="sec-062"/>
    <w:p>
      <w:pPr>
        <w:pStyle w:val="Heading2"/>
      </w:pPr>
      <w:r>
        <w:t xml:space="preserve">7.3 Classifications floues</w:t>
      </w:r>
    </w:p>
    <w:bookmarkEnd w:id="285"/>
    <w:bookmarkStart w:id="287" w:name="sec-0621"/>
    <w:p>
      <w:pPr>
        <w:pStyle w:val="Heading2"/>
      </w:pPr>
      <w:r>
        <w:t xml:space="preserve">7.4 C-Means</w:t>
      </w:r>
    </w:p>
    <w:bookmarkStart w:id="286" w:name="sec-0622"/>
    <w:p>
      <w:pPr>
        <w:pStyle w:val="Heading3"/>
      </w:pPr>
      <w:r>
        <w:t xml:space="preserve">7.4.1 C-Means intégrant une dimension spatiale</w:t>
      </w:r>
    </w:p>
    <w:bookmarkEnd w:id="286"/>
    <w:bookmarkEnd w:id="287"/>
    <w:bookmarkStart w:id="288" w:name="sec-063"/>
    <w:p>
      <w:pPr>
        <w:pStyle w:val="Heading2"/>
      </w:pPr>
      <w:r>
        <w:t xml:space="preserve">7.5 Quiz de révision du chapitre</w:t>
      </w:r>
    </w:p>
    <w:bookmarkEnd w:id="288"/>
    <w:bookmarkStart w:id="289" w:name="sec-064"/>
    <w:p>
      <w:pPr>
        <w:pStyle w:val="Heading2"/>
      </w:pPr>
      <w:r>
        <w:t xml:space="preserve">7.6 Exercices de révision</w:t>
      </w:r>
    </w:p>
    <w:bookmarkEnd w:id="289"/>
    <w:bookmarkEnd w:id="290"/>
    <w:bookmarkStart w:id="301" w:name="sec-chap07"/>
    <w:p>
      <w:pPr>
        <w:pStyle w:val="Heading1"/>
      </w:pPr>
      <w:r>
        <w:t xml:space="preserve">8. Introduction aux plateformes de mégadonnées</w:t>
      </w:r>
    </w:p>
    <w:bookmarkStart w:id="296" w:name="rocket-préambule-6"/>
    <w:p>
      <w:pPr>
        <w:pStyle w:val="Heading2"/>
      </w:pPr>
      <w:r>
        <w:t xml:space="preserve">8.1 :rocket: Préambule</w:t>
      </w:r>
    </w:p>
    <w:p>
      <w:pPr>
        <w:pStyle w:val="FirstParagraph"/>
      </w:pPr>
      <w:r>
        <w:t xml:space="preserve">Assurez-vous de lire ce préambule avant d’exécutez le reste du notebook.</w:t>
      </w:r>
    </w:p>
    <w:bookmarkStart w:id="293" w:name="dart-objectifs-4"/>
    <w:p>
      <w:pPr>
        <w:pStyle w:val="Heading3"/>
      </w:pPr>
      <w:r>
        <w:t xml:space="preserve">8.1.1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91" name="Picture"/>
              <a:graphic>
                <a:graphicData uri="http://schemas.openxmlformats.org/drawingml/2006/picture">
                  <pic:pic>
                    <pic:nvPicPr>
                      <pic:cNvPr descr="https://colab.research.google.com/assets/colab-badge.svg" id="2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93"/>
    <w:bookmarkStart w:id="294" w:name="librairies-6"/>
    <w:p>
      <w:pPr>
        <w:pStyle w:val="Heading3"/>
      </w:pPr>
      <w:r>
        <w:t xml:space="preserve">8.1.2 Librairies</w:t>
      </w:r>
    </w:p>
    <w:p>
      <w:pPr>
        <w:pStyle w:val="FirstParagraph"/>
      </w:pPr>
      <w:r>
        <w:t xml:space="preserve">Les librairies qui vont être explorées dans ce chapitre sont les suivantes:</w:t>
      </w:r>
    </w:p>
    <w:p>
      <w:pPr>
        <w:numPr>
          <w:ilvl w:val="0"/>
          <w:numId w:val="1035"/>
        </w:numPr>
      </w:pPr>
      <w:hyperlink r:id="rId101">
        <w:r>
          <w:rPr>
            <w:rStyle w:val="Hyperlink"/>
          </w:rPr>
          <w:t xml:space="preserve">SciPy -</w:t>
        </w:r>
      </w:hyperlink>
    </w:p>
    <w:p>
      <w:pPr>
        <w:numPr>
          <w:ilvl w:val="0"/>
          <w:numId w:val="1035"/>
        </w:numPr>
      </w:pPr>
      <w:hyperlink r:id="rId102">
        <w:r>
          <w:rPr>
            <w:rStyle w:val="Hyperlink"/>
          </w:rPr>
          <w:t xml:space="preserve">NumPy -</w:t>
        </w:r>
      </w:hyperlink>
    </w:p>
    <w:p>
      <w:pPr>
        <w:numPr>
          <w:ilvl w:val="0"/>
          <w:numId w:val="1035"/>
        </w:numPr>
      </w:pPr>
      <w:hyperlink r:id="rId103">
        <w:r>
          <w:rPr>
            <w:rStyle w:val="Hyperlink"/>
          </w:rPr>
          <w:t xml:space="preserve">opencv-python · PyPI</w:t>
        </w:r>
      </w:hyperlink>
    </w:p>
    <w:p>
      <w:pPr>
        <w:numPr>
          <w:ilvl w:val="0"/>
          <w:numId w:val="1035"/>
        </w:numPr>
      </w:pPr>
      <w:hyperlink r:id="rId104">
        <w:r>
          <w:rPr>
            <w:rStyle w:val="Hyperlink"/>
          </w:rPr>
          <w:t xml:space="preserve">scikit-image</w:t>
        </w:r>
      </w:hyperlink>
    </w:p>
    <w:p>
      <w:pPr>
        <w:numPr>
          <w:ilvl w:val="0"/>
          <w:numId w:val="1035"/>
        </w:numPr>
      </w:pPr>
      <w:hyperlink r:id="rId105">
        <w:r>
          <w:rPr>
            <w:rStyle w:val="Hyperlink"/>
          </w:rPr>
          <w:t xml:space="preserve">Rasterio</w:t>
        </w:r>
      </w:hyperlink>
    </w:p>
    <w:p>
      <w:pPr>
        <w:numPr>
          <w:ilvl w:val="0"/>
          <w:numId w:val="1035"/>
        </w:numPr>
      </w:pPr>
      <w:hyperlink r:id="rId106">
        <w:r>
          <w:rPr>
            <w:rStyle w:val="Hyperlink"/>
          </w:rPr>
          <w:t xml:space="preserve">Xarray</w:t>
        </w:r>
      </w:hyperlink>
    </w:p>
    <w:p>
      <w:pPr>
        <w:numPr>
          <w:ilvl w:val="0"/>
          <w:numId w:val="1035"/>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94"/>
    <w:bookmarkStart w:id="295" w:name="images-utilisées-4"/>
    <w:p>
      <w:pPr>
        <w:pStyle w:val="Heading3"/>
      </w:pPr>
      <w:r>
        <w:t xml:space="preserve">8.1.3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95"/>
    <w:bookmarkEnd w:id="296"/>
    <w:bookmarkStart w:id="297" w:name="sec-071"/>
    <w:p>
      <w:pPr>
        <w:pStyle w:val="Heading2"/>
      </w:pPr>
      <w:r>
        <w:t xml:space="preserve">8.2 Données massives</w:t>
      </w:r>
    </w:p>
    <w:bookmarkEnd w:id="297"/>
    <w:bookmarkStart w:id="298" w:name="sec-072"/>
    <w:p>
      <w:pPr>
        <w:pStyle w:val="Heading2"/>
      </w:pPr>
      <w:r>
        <w:t xml:space="preserve">8.3 Manipulation de données satellitaires avec</w:t>
      </w:r>
      <w:r>
        <w:t xml:space="preserve"> </w:t>
      </w:r>
      <w:r>
        <w:rPr>
          <w:i/>
          <w:iCs/>
        </w:rPr>
        <w:t xml:space="preserve">Google Earth Engine</w:t>
      </w:r>
    </w:p>
    <w:bookmarkEnd w:id="298"/>
    <w:bookmarkStart w:id="299" w:name="sec-073"/>
    <w:p>
      <w:pPr>
        <w:pStyle w:val="Heading2"/>
      </w:pPr>
      <w:r>
        <w:t xml:space="preserve">8.4 Quiz de révision du chapitre</w:t>
      </w:r>
    </w:p>
    <w:bookmarkEnd w:id="299"/>
    <w:bookmarkStart w:id="300" w:name="sec-074"/>
    <w:p>
      <w:pPr>
        <w:pStyle w:val="Heading2"/>
      </w:pPr>
      <w:r>
        <w:t xml:space="preserve">8.5 Exercices de révision</w:t>
      </w:r>
    </w:p>
    <w:bookmarkEnd w:id="300"/>
    <w:bookmarkEnd w:id="301"/>
    <w:bookmarkStart w:id="314" w:name="bibliographie"/>
    <w:p>
      <w:pPr>
        <w:pStyle w:val="Heading1"/>
      </w:pPr>
      <w:r>
        <w:t xml:space="preserve">Bibliographie</w:t>
      </w:r>
    </w:p>
    <w:bookmarkStart w:id="313" w:name="refs"/>
    <w:bookmarkStart w:id="30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302">
        <w:r>
          <w:rPr>
            <w:rStyle w:val="Hyperlink"/>
          </w:rPr>
          <w:t xml:space="preserve">https://web.stanford.edu/class/cme324/classics/cooley-tukey.pdf</w:t>
        </w:r>
      </w:hyperlink>
      <w:r>
        <w:t xml:space="preserve">.</w:t>
      </w:r>
    </w:p>
    <w:bookmarkEnd w:id="303"/>
    <w:bookmarkStart w:id="305"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304">
        <w:r>
          <w:rPr>
            <w:rStyle w:val="Hyperlink"/>
          </w:rPr>
          <w:t xml:space="preserve">https://doi.org/10.1038/s41586-020-2649-2</w:t>
        </w:r>
      </w:hyperlink>
      <w:r>
        <w:t xml:space="preserve">.</w:t>
      </w:r>
    </w:p>
    <w:bookmarkEnd w:id="305"/>
    <w:bookmarkStart w:id="307"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306">
        <w:r>
          <w:rPr>
            <w:rStyle w:val="Hyperlink"/>
          </w:rPr>
          <w:t xml:space="preserve">https://doi.org/10.5334/jors.148</w:t>
        </w:r>
      </w:hyperlink>
      <w:r>
        <w:t xml:space="preserve">.</w:t>
      </w:r>
    </w:p>
    <w:bookmarkEnd w:id="307"/>
    <w:bookmarkStart w:id="308"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308"/>
    <w:bookmarkStart w:id="310"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309">
        <w:r>
          <w:rPr>
            <w:rStyle w:val="Hyperlink"/>
          </w:rPr>
          <w:t xml:space="preserve">https://doi.org/10.1117/12.7973877</w:t>
        </w:r>
      </w:hyperlink>
      <w:r>
        <w:t xml:space="preserve">.</w:t>
      </w:r>
    </w:p>
    <w:bookmarkEnd w:id="310"/>
    <w:bookmarkStart w:id="312" w:name="ref-OGCGeoTIFF"/>
    <w:p>
      <w:pPr>
        <w:pStyle w:val="Bibliography"/>
      </w:pPr>
      <w:r>
        <w:t xml:space="preserve">OGC. 2019.</w:t>
      </w:r>
      <w:r>
        <w:t xml:space="preserve"> </w:t>
      </w:r>
      <w:r>
        <w:t xml:space="preserve">« </w:t>
      </w:r>
      <w:r>
        <w:t xml:space="preserve">OGC GeoTIFF Standard</w:t>
      </w:r>
      <w:r>
        <w:t xml:space="preserve">. »</w:t>
      </w:r>
      <w:r>
        <w:t xml:space="preserve"> </w:t>
      </w:r>
      <w:hyperlink r:id="rId311">
        <w:r>
          <w:rPr>
            <w:rStyle w:val="Hyperlink"/>
          </w:rPr>
          <w:t xml:space="preserve">https://docs.ogc.org/is/19-008r4/19-008r4.html/</w:t>
        </w:r>
      </w:hyperlink>
      <w:r>
        <w:t xml:space="preserve">.</w:t>
      </w:r>
    </w:p>
    <w:bookmarkEnd w:id="312"/>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2025-01-13T14:58:25Z</dcterms:created>
  <dcterms:modified xsi:type="dcterms:W3CDTF">2025-01-13T14:58:25Z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