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préambule"/>
    <w:p>
      <w:pPr>
        <w:pStyle w:val="Heading2"/>
      </w:pPr>
      <w:r>
        <w:t xml:space="preserve">4.1 Préambule</w:t>
      </w:r>
    </w:p>
    <w:bookmarkStart w:id="195" w:name="objectifs"/>
    <w:p>
      <w:pPr>
        <w:pStyle w:val="Heading3"/>
      </w:pPr>
      <w:r>
        <w:t xml:space="preserve">4.1.1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2"/>
    <w:p>
      <w:pPr>
        <w:pStyle w:val="Heading2"/>
      </w:pPr>
      <w:r>
        <w:t xml:space="preserve">5.1 :rocket: Préambule</w:t>
      </w:r>
    </w:p>
    <w:bookmarkStart w:id="207" w:name="dart-objectifs-2"/>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w:t>
      </w:r>
      <w:r>
        <w:rPr>
          <w:b/>
          <w:bCs/>
        </w:rPr>
        <w:t xml:space="preserve">Cooley-1965?</w:t>
      </w:r>
      <w:r>
        <w:t xml:space="preserve">)</w:t>
      </w:r>
      <w:r>
        <w:t xml:space="preserve">:</w:t>
      </w:r>
    </w:p>
    <w:p>
      <w:pPr>
        <w:pStyle w:val="BodyText"/>
      </w:pPr>
      <w:r>
        <w:t xml:space="preserve">Dans le cas d’un simple signal périodique à une dimension avec une fréquence de 4/16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xrscipy.fft </w:t>
      </w:r>
      <w:r>
        <w:rPr>
          <w:rStyle w:val="ImportTok"/>
        </w:rPr>
        <w:t xml:space="preserve">as</w:t>
      </w:r>
      <w:r>
        <w:rPr>
          <w:rStyle w:val="NormalTok"/>
        </w:rPr>
        <w:t xml:space="preserve"> fft</w:t>
      </w:r>
      <w:r>
        <w:br/>
      </w: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CommentTok"/>
        </w:rPr>
        <w:t xml:space="preserve">#fft = fft.fft(arr, 'x').rename({'x':'f'})</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0" w:name="bibliographie"/>
    <w:p>
      <w:pPr>
        <w:pStyle w:val="Heading1"/>
      </w:pPr>
      <w:r>
        <w:t xml:space="preserve">Bibliographie</w:t>
      </w:r>
    </w:p>
    <w:bookmarkStart w:id="239" w:name="refs"/>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2025-01-11T12:06:49Z</dcterms:created>
  <dcterms:modified xsi:type="dcterms:W3CDTF">2025-01-11T12:06:49Z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