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27.png" ContentType="image/png"/>
  <Override PartName="/word/media/rId97.svg" ContentType="image/svg+xml"/>
  <Override PartName="/word/media/rId160.png" ContentType="image/png"/>
  <Override PartName="/word/media/rId145.png" ContentType="image/png"/>
  <Override PartName="/word/media/rId135.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Samuel</w:t>
      </w:r>
      <w:r>
        <w:t xml:space="preserve"> </w:t>
      </w:r>
      <w:r>
        <w:t xml:space="preserve">Foucher</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Mickaël</w:t>
      </w:r>
      <w:r>
        <w:t xml:space="preserve"> </w:t>
      </w:r>
      <w:r>
        <w:t xml:space="preserve">Germain</w:t>
      </w:r>
    </w:p>
    <w:p>
      <w:pPr>
        <w:pStyle w:val="Date"/>
      </w:pPr>
      <w:r>
        <w:t xml:space="preserve">2025-01-12</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Samuel Foucher, Philippe Apparicio, Yacine Bouroubi et Mickaël Germain.</w:t>
      </w:r>
    </w:p>
    <w:p>
      <w:pPr>
        <w:pStyle w:val="BodyText"/>
      </w:pPr>
      <w:r>
        <w:rPr>
          <w:b/>
          <w:bCs/>
        </w:rPr>
        <w:t xml:space="preserve">Pour citer cet ouvrage :</w:t>
      </w:r>
      <w:r>
        <w:t xml:space="preserve"> </w:t>
      </w:r>
      <w:r>
        <w:t xml:space="preserve">Foucher S., Apparicio P., Bouroubi, Y.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Samuel Foucher, Apparicio Philippe, Mickaël Germain, Yacine Bouroubi et Étienne Clabaut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p>
    <w:tbl>
      <w:tblPr>
        <w:tblStyle w:val="Table"/>
        <w:tblW w:type="pct" w:w="5000"/>
        <w:tblLayout w:type="fixed"/>
        <w:tblLook w:firstRow="0" w:lastRow="0" w:firstColumn="0" w:lastColumn="0" w:noHBand="0" w:noVBand="0" w:val="0000"/>
      </w:tblPr>
      <w:tblGrid>
        <w:gridCol w:w="7920"/>
      </w:tblGrid>
      <w:tr>
        <w:tc>
          <w:tcPr/>
          <w:bookmarkStart w:id="85" w:name="fig-jupyterlab"/>
          <w:p>
            <w:pPr>
              <w:pStyle w:val="Compact"/>
              <w:jc w:val="center"/>
            </w:pPr>
            <w:r>
              <w:drawing>
                <wp:inline>
                  <wp:extent cx="5334000" cy="3853355"/>
                  <wp:effectExtent b="0" l="0" r="0" t="0"/>
                  <wp:docPr descr=""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La librairie NumPy est le fondement de nombreuses librairies scientifiques (d’après</w:t>
            </w:r>
            <w:r>
              <w:t xml:space="preserve"> </w:t>
            </w:r>
            <w:r>
              <w:t xml:space="preserve">(Harris 2020)</w:t>
            </w:r>
            <w:r>
              <w:t xml:space="preserve">).</w:t>
            </w:r>
          </w:p>
          <w:bookmarkEnd w:id="85"/>
        </w:tc>
      </w:tr>
    </w:tbl>
    <w:bookmarkEnd w:id="86"/>
    <w:bookmarkEnd w:id="87"/>
    <w:bookmarkStart w:id="91"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Start w:id="88" w:name="les-listes"/>
    <w:p>
      <w:pPr>
        <w:pStyle w:val="Heading3"/>
      </w:pPr>
      <w:r>
        <w:t xml:space="preserve">1.4.1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End w:id="88"/>
    <w:bookmarkStart w:id="89" w:name="les-tuples"/>
    <w:p>
      <w:pPr>
        <w:pStyle w:val="Heading3"/>
      </w:pPr>
      <w:r>
        <w:t xml:space="preserve">1.4.2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1.4.3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1.5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1.6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1.7 Quiz de révision du chapitre</w:t>
      </w:r>
    </w:p>
    <w:bookmarkEnd w:id="94"/>
    <w:bookmarkStart w:id="95" w:name="sec-016"/>
    <w:p>
      <w:pPr>
        <w:pStyle w:val="Heading2"/>
      </w:pPr>
      <w:r>
        <w:t xml:space="preserve">1.8 Cahier de révision (notebook)</w:t>
      </w:r>
    </w:p>
    <w:bookmarkEnd w:id="95"/>
    <w:bookmarkEnd w:id="96"/>
    <w:bookmarkStart w:id="175" w:name="sec-chap01"/>
    <w:p>
      <w:pPr>
        <w:pStyle w:val="Heading1"/>
      </w:pPr>
      <w:r>
        <w:t xml:space="preserve">2. Importation et manipulation de données spatiales</w:t>
      </w:r>
    </w:p>
    <w:bookmarkStart w:id="110" w:name="rocket-préambule"/>
    <w:p>
      <w:pPr>
        <w:pStyle w:val="Heading2"/>
      </w:pPr>
      <w:r>
        <w:t xml:space="preserve">2.1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108" w:name="librairies"/>
    <w:p>
      <w:pPr>
        <w:pStyle w:val="Heading3"/>
      </w:pPr>
      <w:r>
        <w:t xml:space="preserve">2.1.1 Librairies</w:t>
      </w:r>
    </w:p>
    <w:p>
      <w:pPr>
        <w:pStyle w:val="FirstParagraph"/>
      </w:pPr>
      <w:r>
        <w:t xml:space="preserve">Les librairies qui vont être explorées dans ce chapitre sont les suivantes:</w:t>
      </w:r>
    </w:p>
    <w:p>
      <w:pPr>
        <w:numPr>
          <w:ilvl w:val="0"/>
          <w:numId w:val="1022"/>
        </w:numPr>
      </w:pPr>
      <w:hyperlink r:id="rId101">
        <w:r>
          <w:rPr>
            <w:rStyle w:val="Hyperlink"/>
          </w:rPr>
          <w:t xml:space="preserve">SciPy -</w:t>
        </w:r>
      </w:hyperlink>
    </w:p>
    <w:p>
      <w:pPr>
        <w:numPr>
          <w:ilvl w:val="0"/>
          <w:numId w:val="1022"/>
        </w:numPr>
      </w:pPr>
      <w:hyperlink r:id="rId102">
        <w:r>
          <w:rPr>
            <w:rStyle w:val="Hyperlink"/>
          </w:rPr>
          <w:t xml:space="preserve">NumPy -</w:t>
        </w:r>
      </w:hyperlink>
    </w:p>
    <w:p>
      <w:pPr>
        <w:numPr>
          <w:ilvl w:val="0"/>
          <w:numId w:val="1022"/>
        </w:numPr>
      </w:pPr>
      <w:hyperlink r:id="rId103">
        <w:r>
          <w:rPr>
            <w:rStyle w:val="Hyperlink"/>
          </w:rPr>
          <w:t xml:space="preserve">opencv-python · PyPI</w:t>
        </w:r>
      </w:hyperlink>
    </w:p>
    <w:p>
      <w:pPr>
        <w:numPr>
          <w:ilvl w:val="0"/>
          <w:numId w:val="1022"/>
        </w:numPr>
      </w:pPr>
      <w:hyperlink r:id="rId104">
        <w:r>
          <w:rPr>
            <w:rStyle w:val="Hyperlink"/>
          </w:rPr>
          <w:t xml:space="preserve">scikit-image</w:t>
        </w:r>
      </w:hyperlink>
    </w:p>
    <w:p>
      <w:pPr>
        <w:numPr>
          <w:ilvl w:val="0"/>
          <w:numId w:val="1022"/>
        </w:numPr>
      </w:pPr>
      <w:hyperlink r:id="rId105">
        <w:r>
          <w:rPr>
            <w:rStyle w:val="Hyperlink"/>
          </w:rPr>
          <w:t xml:space="preserve">Rasterio</w:t>
        </w:r>
      </w:hyperlink>
    </w:p>
    <w:p>
      <w:pPr>
        <w:numPr>
          <w:ilvl w:val="0"/>
          <w:numId w:val="1022"/>
        </w:numPr>
      </w:pPr>
      <w:hyperlink r:id="rId106">
        <w:r>
          <w:rPr>
            <w:rStyle w:val="Hyperlink"/>
          </w:rPr>
          <w:t xml:space="preserve">Xarray</w:t>
        </w:r>
      </w:hyperlink>
    </w:p>
    <w:p>
      <w:pPr>
        <w:numPr>
          <w:ilvl w:val="0"/>
          <w:numId w:val="1022"/>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08"/>
    <w:bookmarkStart w:id="109" w:name="données"/>
    <w:p>
      <w:pPr>
        <w:pStyle w:val="Heading3"/>
      </w:pPr>
      <w:r>
        <w:t xml:space="preserve">2.1.2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p>
    <w:bookmarkEnd w:id="109"/>
    <w:bookmarkEnd w:id="110"/>
    <w:bookmarkStart w:id="134" w:name="importation-dimages"/>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6">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11">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2">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9"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12">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13">
        <w:r>
          <w:rPr>
            <w:rStyle w:val="Hyperlink"/>
          </w:rPr>
          <w:t xml:space="preserve">JPEG</w:t>
        </w:r>
      </w:hyperlink>
      <w:r>
        <w:t xml:space="preserve">,</w:t>
      </w:r>
      <w:r>
        <w:t xml:space="preserve"> </w:t>
      </w:r>
      <w:hyperlink r:id="rId114">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3"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5">
        <w:r>
          <w:rPr>
            <w:rStyle w:val="Hyperlink"/>
          </w:rPr>
          <w:t xml:space="preserve">PIL</w:t>
        </w:r>
      </w:hyperlink>
      <w:r>
        <w:t xml:space="preserve"> </w:t>
      </w:r>
      <w:r>
        <w:t xml:space="preserve">ou</w:t>
      </w:r>
      <w:r>
        <w:t xml:space="preserve"> </w:t>
      </w:r>
      <w:hyperlink r:id="rId116">
        <w:r>
          <w:rPr>
            <w:rStyle w:val="Hyperlink"/>
          </w:rPr>
          <w:t xml:space="preserve">OpenCV</w:t>
        </w:r>
      </w:hyperlink>
      <w:r>
        <w:t xml:space="preserve">.</w:t>
      </w:r>
    </w:p>
    <w:bookmarkStart w:id="118"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7"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7"/>
        </w:tc>
      </w:tr>
    </w:tbl>
    <w:bookmarkEnd w:id="118"/>
    <w:bookmarkStart w:id="120" w:name="lecture-avec-la-librairie-opencv"/>
    <w:p>
      <w:pPr>
        <w:pStyle w:val="Heading5"/>
      </w:pPr>
      <w:r>
        <w:t xml:space="preserve">2.2.1.1.2 Lecture avec la librairie OpenCV</w:t>
      </w:r>
    </w:p>
    <w:p>
      <w:pPr>
        <w:pStyle w:val="FirstParagraph"/>
      </w:pPr>
      <w:r>
        <w:t xml:space="preserve">La librairie</w:t>
      </w:r>
      <w:r>
        <w:t xml:space="preserve"> </w:t>
      </w:r>
      <w:hyperlink r:id="rId116">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9"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9"/>
        </w:tc>
      </w:tr>
    </w:tbl>
    <w:bookmarkEnd w:id="120"/>
    <w:bookmarkStart w:id="122"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05">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21"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21"/>
        </w:tc>
      </w:tr>
    </w:tbl>
    <w:bookmarkEnd w:id="122"/>
    <w:bookmarkEnd w:id="123"/>
    <w:bookmarkStart w:id="126"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4">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11">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5"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5"/>
    <w:bookmarkEnd w:id="126"/>
    <w:bookmarkStart w:id="128"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7">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8"/>
    <w:bookmarkEnd w:id="129"/>
    <w:bookmarkStart w:id="133"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30">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31"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31"/>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32"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32"/>
        </w:tc>
      </w:tr>
    </w:tbl>
    <w:bookmarkEnd w:id="133"/>
    <w:bookmarkEnd w:id="134"/>
    <w:bookmarkStart w:id="156" w:name="manipulation-des-images"/>
    <w:p>
      <w:pPr>
        <w:pStyle w:val="Heading2"/>
      </w:pPr>
      <w:r>
        <w:t xml:space="preserve">2.3 Manipulation des images</w:t>
      </w:r>
    </w:p>
    <w:bookmarkStart w:id="139"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2">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8" w:name="fig-naturenumpy1"/>
          <w:p>
            <w:pPr>
              <w:pStyle w:val="Compact"/>
              <w:jc w:val="center"/>
            </w:pPr>
            <w:r>
              <w:drawing>
                <wp:inline>
                  <wp:extent cx="5334000" cy="5010260"/>
                  <wp:effectExtent b="0" l="0" r="0" t="0"/>
                  <wp:docPr descr="" title="" id="136" name="Picture"/>
                  <a:graphic>
                    <a:graphicData uri="http://schemas.openxmlformats.org/drawingml/2006/picture">
                      <pic:pic>
                        <pic:nvPicPr>
                          <pic:cNvPr descr="https://raw.githubusercontent.com/sfoucher/TraitementImagesPythonVol1/refs/heads/main/images/41586_2020_2649_Fig2_HTML.png" id="137" name="Picture"/>
                          <pic:cNvPicPr>
                            <a:picLocks noChangeArrowheads="1" noChangeAspect="1"/>
                          </pic:cNvPicPr>
                        </pic:nvPicPr>
                        <pic:blipFill>
                          <a:blip r:embed="rId135"/>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8"/>
        </w:tc>
      </w:tr>
    </w:tbl>
    <w:bookmarkEnd w:id="139"/>
    <w:bookmarkStart w:id="143"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40">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41"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41"/>
        </w:tc>
      </w:tr>
    </w:tbl>
    <w:tbl>
      <w:tblPr>
        <w:tblStyle w:val="Table"/>
        <w:tblW w:type="pct" w:w="5000"/>
        <w:tblLayout w:type="fixed"/>
        <w:tblLook w:firstRow="0" w:lastRow="0" w:firstColumn="0" w:lastColumn="0" w:noHBand="0" w:noVBand="0" w:val="0000"/>
      </w:tblPr>
      <w:tblGrid>
        <w:gridCol w:w="7920"/>
      </w:tblGrid>
      <w:tr>
        <w:tc>
          <w:tcPr/>
          <w:bookmarkStart w:id="142"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42"/>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3"/>
    <w:bookmarkStart w:id="151"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4">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8" w:name="fig-naturenumpy2"/>
          <w:p>
            <w:pPr>
              <w:pStyle w:val="Compact"/>
              <w:jc w:val="center"/>
            </w:pPr>
            <w:r>
              <w:drawing>
                <wp:inline>
                  <wp:extent cx="5334000" cy="2440342"/>
                  <wp:effectExtent b="0" l="0" r="0" t="0"/>
                  <wp:docPr descr="" title="" id="146" name="Picture"/>
                  <a:graphic>
                    <a:graphicData uri="http://schemas.openxmlformats.org/drawingml/2006/picture">
                      <pic:pic>
                        <pic:nvPicPr>
                          <pic:cNvPr descr="https://raw.githubusercontent.com/sfoucher/TraitementImagesPythonVol1/refs/heads/main/images/41586_2020_2649_Fig1_HTML.png" id="147" name="Picture"/>
                          <pic:cNvPicPr>
                            <a:picLocks noChangeArrowheads="1" noChangeAspect="1"/>
                          </pic:cNvPicPr>
                        </pic:nvPicPr>
                        <pic:blipFill>
                          <a:blip r:embed="rId145"/>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8"/>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9" w:name="exemple-1-calcul-dun-rapport-de-bande"/>
    <w:p>
      <w:pPr>
        <w:pStyle w:val="Heading4"/>
      </w:pPr>
      <w:r>
        <w:t xml:space="preserve">2.3.3.1 Exemple 1: calcul d’un rapport de bande</w:t>
      </w:r>
    </w:p>
    <w:bookmarkEnd w:id="149"/>
    <w:bookmarkStart w:id="150" w:name="Xa95fb8caf71469fc049964e7ef94bab7297c7a6"/>
    <w:p>
      <w:pPr>
        <w:pStyle w:val="Heading4"/>
      </w:pPr>
      <w:r>
        <w:t xml:space="preserve">2.3.3.2 Exemple 2: application d’un filtrage spatial</w:t>
      </w:r>
    </w:p>
    <w:bookmarkEnd w:id="150"/>
    <w:bookmarkEnd w:id="151"/>
    <w:bookmarkStart w:id="153" w:name="mosaïquage-masquage-et-découpage"/>
    <w:p>
      <w:pPr>
        <w:pStyle w:val="Heading3"/>
      </w:pPr>
      <w:r>
        <w:t xml:space="preserve">2.3.4 Mosaïquage, masquage et découpage</w:t>
      </w:r>
    </w:p>
    <w:bookmarkStart w:id="152"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52"/>
    <w:bookmarkEnd w:id="153"/>
    <w:bookmarkStart w:id="154" w:name="changement-de-projection-cartographique"/>
    <w:p>
      <w:pPr>
        <w:pStyle w:val="Heading3"/>
      </w:pPr>
      <w:r>
        <w:t xml:space="preserve">2.3.5 Changement de projection cartographique</w:t>
      </w:r>
    </w:p>
    <w:bookmarkEnd w:id="154"/>
    <w:bookmarkStart w:id="155" w:name="recalage-dimages-et-co-registration"/>
    <w:p>
      <w:pPr>
        <w:pStyle w:val="Heading3"/>
      </w:pPr>
      <w:r>
        <w:t xml:space="preserve">2.3.6 Recalage d’images et co-registration</w:t>
      </w:r>
    </w:p>
    <w:bookmarkEnd w:id="155"/>
    <w:bookmarkEnd w:id="156"/>
    <w:bookmarkStart w:id="165" w:name="données-en-géoscience"/>
    <w:p>
      <w:pPr>
        <w:pStyle w:val="Heading2"/>
      </w:pPr>
      <w:r>
        <w:t xml:space="preserve">2.4 Données en géoscience</w:t>
      </w:r>
    </w:p>
    <w:p>
      <w:pPr>
        <w:pStyle w:val="FirstParagraph"/>
      </w:pPr>
      <w:r>
        <w:t xml:space="preserve">Les données en géoscience contiennent beaucoup de métadonnées et peuvent être composées de différentes variables avec différentes unités, résolution, etc. Ces données sont aussi souvent étiquetées avec des dates sur certains axes, des coordonnées géographiques, des identifiants d’expériences, etc. Par conséquent, utiliser seulement des matrices est souvent incomplet</w:t>
      </w:r>
      <w:r>
        <w:t xml:space="preserve"> </w:t>
      </w:r>
      <w:r>
        <w:t xml:space="preserve">(Hoyer et Hamman 2017)</w:t>
      </w:r>
      <w:r>
        <w:t xml:space="preserve">.</w:t>
      </w:r>
    </w:p>
    <w:p>
      <w:pPr>
        <w:pStyle w:val="BodyText"/>
      </w:pPr>
      <w:r>
        <w:t xml:space="preserve">Calibration, unités, données manquantes, données éparses.</w:t>
      </w:r>
    </w:p>
    <w:bookmarkStart w:id="164" w:name="xarray"/>
    <w:p>
      <w:pPr>
        <w:pStyle w:val="Heading3"/>
      </w:pPr>
      <w:r>
        <w:t xml:space="preserve">2.4.1 xarray</w:t>
      </w:r>
    </w:p>
    <w:p>
      <w:pPr>
        <w:pStyle w:val="FirstParagraph"/>
      </w:pPr>
      <w:hyperlink r:id="rId157">
        <w:r>
          <w:rPr>
            <w:rStyle w:val="Hyperlink"/>
          </w:rPr>
          <w:t xml:space="preserve">Xarray</w:t>
        </w:r>
      </w:hyperlink>
      <w:r>
        <w:t xml:space="preserve"> </w:t>
      </w:r>
      <w:r>
        <w:t xml:space="preserve">est une puissante bibliothèque Python qui améliore les matrices multidimensionnelles de type numpy en y ajoutant des étiquettes, des dimensions, des coordonnées et des attributs. Elle fournit deux structures de données principales :</w:t>
      </w:r>
      <w:r>
        <w:t xml:space="preserve"> </w:t>
      </w:r>
      <w:r>
        <w:rPr>
          <w:rStyle w:val="VerbatimChar"/>
        </w:rPr>
        <w:t xml:space="preserve">DataArray</w:t>
      </w:r>
      <w:r>
        <w:t xml:space="preserve"> </w:t>
      </w:r>
      <w:r>
        <w:t xml:space="preserve">(un tableau étiqueté à N dimensions) et</w:t>
      </w:r>
      <w:r>
        <w:t xml:space="preserve"> </w:t>
      </w:r>
      <w:r>
        <w:rPr>
          <w:rStyle w:val="VerbatimChar"/>
        </w:rPr>
        <w:t xml:space="preserve">Dataset</w:t>
      </w:r>
      <w:r>
        <w:t xml:space="preserve"> </w:t>
      </w:r>
      <w:r>
        <w:t xml:space="preserve">(une base de données de tableaux multidimensionnels en mémoire).</w:t>
      </w:r>
    </w:p>
    <w:p>
      <w:pPr>
        <w:pStyle w:val="BodyText"/>
      </w:pPr>
      <w:r>
        <w:t xml:space="preserve">Les caractéristiques principales sont les suivantes:</w:t>
      </w:r>
    </w:p>
    <w:p>
      <w:pPr>
        <w:numPr>
          <w:ilvl w:val="0"/>
          <w:numId w:val="1024"/>
        </w:numPr>
      </w:pPr>
      <w:r>
        <w:t xml:space="preserve">Opérations sur les dimensions nommées au lieu des numéros d’axe</w:t>
      </w:r>
    </w:p>
    <w:p>
      <w:pPr>
        <w:numPr>
          <w:ilvl w:val="0"/>
          <w:numId w:val="1024"/>
        </w:numPr>
      </w:pPr>
      <w:r>
        <w:t xml:space="preserve">Sélection et opérations basées sur les étiquettes</w:t>
      </w:r>
    </w:p>
    <w:p>
      <w:pPr>
        <w:numPr>
          <w:ilvl w:val="0"/>
          <w:numId w:val="1024"/>
        </w:numPr>
      </w:pPr>
      <w:r>
        <w:t xml:space="preserve">Diffusion automatique de tableaux basée sur les noms de dimensions</w:t>
      </w:r>
    </w:p>
    <w:p>
      <w:pPr>
        <w:numPr>
          <w:ilvl w:val="0"/>
          <w:numId w:val="1024"/>
        </w:numPr>
      </w:pPr>
      <w:r>
        <w:t xml:space="preserve">Alignement de type base de données avec des étiquettes de coordonnées</w:t>
      </w:r>
    </w:p>
    <w:p>
      <w:pPr>
        <w:numPr>
          <w:ilvl w:val="0"/>
          <w:numId w:val="1024"/>
        </w:numPr>
      </w:pPr>
      <w:r>
        <w:t xml:space="preserve">Suivi des métadonnées grâce aux dictionnaires Python</w:t>
      </w:r>
    </w:p>
    <w:bookmarkStart w:id="158" w:name="avantages"/>
    <w:p>
      <w:pPr>
        <w:pStyle w:val="Heading4"/>
      </w:pPr>
      <w:r>
        <w:t xml:space="preserve">2.4.1.1 Avantages</w:t>
      </w:r>
    </w:p>
    <w:p>
      <w:pPr>
        <w:pStyle w:val="FirstParagraph"/>
      </w:pPr>
      <w:r>
        <w:t xml:space="preserve">La bibliothèque réduit considérablement la complexité du code et améliore la lisibilité du code pour les applications de calcul scientifique dans divers domaines, notamment la physique, l’astronomie, les géosciences, la bio-informatique, l’ingénierie, la finance et l’apprentissage profond. Elle s’intègre de manière transparente avec NumPy et pandas tout en restant compatible avec l’écosystème Python au sens large.</w:t>
      </w:r>
    </w:p>
    <w:bookmarkEnd w:id="158"/>
    <w:bookmarkStart w:id="159" w:name="dataarray"/>
    <w:p>
      <w:pPr>
        <w:pStyle w:val="Heading4"/>
      </w:pPr>
      <w:r>
        <w:t xml:space="preserve">2.4.1.2 DataArray</w:t>
      </w:r>
    </w:p>
    <w:p>
      <w:pPr>
        <w:pStyle w:val="FirstParagraph"/>
      </w:pPr>
      <w:r>
        <w:t xml:space="preserve">Un tableau multidimensionnel étiqueté avec des propriétés clées :</w:t>
      </w:r>
    </w:p>
    <w:p>
      <w:pPr>
        <w:numPr>
          <w:ilvl w:val="0"/>
          <w:numId w:val="1025"/>
        </w:numPr>
      </w:pPr>
      <w:r>
        <w:rPr>
          <w:rStyle w:val="VerbatimChar"/>
        </w:rPr>
        <w:t xml:space="preserve">valeurs</w:t>
      </w:r>
      <w:r>
        <w:t xml:space="preserve"> </w:t>
      </w:r>
      <w:r>
        <w:t xml:space="preserve">: Les données réelles du tableau</w:t>
      </w:r>
    </w:p>
    <w:p>
      <w:pPr>
        <w:numPr>
          <w:ilvl w:val="0"/>
          <w:numId w:val="1025"/>
        </w:numPr>
      </w:pPr>
      <w:r>
        <w:rPr>
          <w:rStyle w:val="VerbatimChar"/>
        </w:rPr>
        <w:t xml:space="preserve">dims</w:t>
      </w:r>
      <w:r>
        <w:t xml:space="preserve"> </w:t>
      </w:r>
      <w:r>
        <w:t xml:space="preserve">: Dimensions nommées (par exemple, « x », « y », « z »)</w:t>
      </w:r>
    </w:p>
    <w:p>
      <w:pPr>
        <w:numPr>
          <w:ilvl w:val="0"/>
          <w:numId w:val="1025"/>
        </w:numPr>
      </w:pPr>
      <w:r>
        <w:rPr>
          <w:rStyle w:val="VerbatimChar"/>
        </w:rPr>
        <w:t xml:space="preserve">coords</w:t>
      </w:r>
      <w:r>
        <w:t xml:space="preserve"> </w:t>
      </w:r>
      <w:r>
        <w:t xml:space="preserve">: Dictionnaire de tableaux étiquetant chaque point</w:t>
      </w:r>
    </w:p>
    <w:p>
      <w:pPr>
        <w:numPr>
          <w:ilvl w:val="0"/>
          <w:numId w:val="1025"/>
        </w:numPr>
      </w:pPr>
      <w:r>
        <w:rPr>
          <w:rStyle w:val="VerbatimChar"/>
        </w:rPr>
        <w:t xml:space="preserve">attrs</w:t>
      </w:r>
      <w:r>
        <w:t xml:space="preserve"> </w:t>
      </w:r>
      <w:r>
        <w:t xml:space="preserve">: Stockage de métadonnées arbitraires</w:t>
      </w:r>
    </w:p>
    <w:p>
      <w:pPr>
        <w:numPr>
          <w:ilvl w:val="0"/>
          <w:numId w:val="1025"/>
        </w:numPr>
      </w:pPr>
      <w:r>
        <w:rPr>
          <w:rStyle w:val="VerbatimChar"/>
        </w:rPr>
        <w:t xml:space="preserve">name</w:t>
      </w:r>
      <w:r>
        <w:t xml:space="preserve"> </w:t>
      </w:r>
      <w:r>
        <w:t xml:space="preserve">: Identifiant facultatif</w:t>
      </w:r>
    </w:p>
    <w:bookmarkEnd w:id="159"/>
    <w:bookmarkStart w:id="163" w:name="dataset"/>
    <w:p>
      <w:pPr>
        <w:pStyle w:val="Heading4"/>
      </w:pPr>
      <w:r>
        <w:t xml:space="preserve">2.4.1.3 Dataset</w:t>
      </w:r>
    </w:p>
    <w:p>
      <w:pPr>
        <w:pStyle w:val="FirstParagraph"/>
      </w:pPr>
      <w:r>
        <w:t xml:space="preserve">Un conteneur de type dictionnaire de</w:t>
      </w:r>
      <w:r>
        <w:t xml:space="preserve"> </w:t>
      </w:r>
      <w:r>
        <w:rPr>
          <w:rStyle w:val="VerbatimChar"/>
        </w:rPr>
        <w:t xml:space="preserve">DataArrays</w:t>
      </w:r>
      <w:r>
        <w:t xml:space="preserve"> </w:t>
      </w:r>
      <w:r>
        <w:t xml:space="preserve">avec des dimensions alignées, contenant :</w:t>
      </w:r>
    </w:p>
    <w:p>
      <w:pPr>
        <w:numPr>
          <w:ilvl w:val="0"/>
          <w:numId w:val="1026"/>
        </w:numPr>
      </w:pPr>
      <w:r>
        <w:rPr>
          <w:rStyle w:val="VerbatimChar"/>
        </w:rPr>
        <w:t xml:space="preserve">dims</w:t>
      </w:r>
      <w:r>
        <w:t xml:space="preserve"> </w:t>
      </w:r>
      <w:r>
        <w:t xml:space="preserve">: Dictionnaire de correspondance entre les noms des dimensions et les longueurs</w:t>
      </w:r>
    </w:p>
    <w:p>
      <w:pPr>
        <w:numPr>
          <w:ilvl w:val="0"/>
          <w:numId w:val="1026"/>
        </w:numPr>
      </w:pPr>
      <w:r>
        <w:rPr>
          <w:rStyle w:val="VerbatimChar"/>
        </w:rPr>
        <w:t xml:space="preserve">data_vars</w:t>
      </w:r>
      <w:r>
        <w:t xml:space="preserve"> </w:t>
      </w:r>
      <w:r>
        <w:t xml:space="preserve">: Dictionnaire des variables du DataArray</w:t>
      </w:r>
    </w:p>
    <w:p>
      <w:pPr>
        <w:numPr>
          <w:ilvl w:val="0"/>
          <w:numId w:val="1026"/>
        </w:numPr>
      </w:pPr>
      <w:r>
        <w:rPr>
          <w:rStyle w:val="VerbatimChar"/>
        </w:rPr>
        <w:t xml:space="preserve">coords</w:t>
      </w:r>
      <w:r>
        <w:t xml:space="preserve"> </w:t>
      </w:r>
      <w:r>
        <w:t xml:space="preserve">: Dictionnaire des variables de coordonnées</w:t>
      </w:r>
    </w:p>
    <w:p>
      <w:pPr>
        <w:numPr>
          <w:ilvl w:val="0"/>
          <w:numId w:val="1026"/>
        </w:numPr>
      </w:pPr>
      <w:r>
        <w:rPr>
          <w:rStyle w:val="VerbatimChar"/>
        </w:rPr>
        <w:t xml:space="preserve">attrs</w:t>
      </w:r>
      <w:r>
        <w:t xml:space="preserve"> </w:t>
      </w:r>
      <w:r>
        <w:t xml:space="preserve">: Stockage des métadonnées</w:t>
      </w:r>
    </w:p>
    <w:p>
      <w:pPr>
        <w:pStyle w:val="FirstParagraph"/>
      </w:pPr>
      <w:r>
        <w:t xml:space="preserve">Les principales différences sont les suivantes :</w:t>
      </w:r>
      <w:r>
        <w:t xml:space="preserve"> </w:t>
      </w:r>
      <w:r>
        <w:t xml:space="preserve">- DataArray contient un seul tableau avec des étiquettes</w:t>
      </w:r>
      <w:r>
        <w:t xml:space="preserve"> </w:t>
      </w:r>
      <w:r>
        <w:t xml:space="preserve">- Le Dataset contient plusieurs DataArrays alignés.</w:t>
      </w:r>
    </w:p>
    <w:p>
      <w:pPr>
        <w:pStyle w:val="BodyText"/>
      </w:pPr>
      <w:r>
        <w:t xml:space="preserve">Ces trois structures prennent en charge les opérations de type dictionnaire et les calculs de coordination tout en conservant les métadonnées.</w:t>
      </w:r>
    </w:p>
    <w:p>
      <w:pPr>
        <w:pStyle w:val="BodyText"/>
      </w:pPr>
      <w:r>
        <w:drawing>
          <wp:inline>
            <wp:extent cx="5334000" cy="2670962"/>
            <wp:effectExtent b="0" l="0" r="0" t="0"/>
            <wp:docPr descr="" title="" id="161" name="Picture"/>
            <a:graphic>
              <a:graphicData uri="http://schemas.openxmlformats.org/drawingml/2006/picture">
                <pic:pic>
                  <pic:nvPicPr>
                    <pic:cNvPr descr="https://docs.xarray.dev/en/latest/_images/dataset-diagram.png" id="162" name="Picture"/>
                    <pic:cNvPicPr>
                      <a:picLocks noChangeArrowheads="1" noChangeAspect="1"/>
                    </pic:cNvPicPr>
                  </pic:nvPicPr>
                  <pic:blipFill>
                    <a:blip r:embed="rId160"/>
                    <a:stretch>
                      <a:fillRect/>
                    </a:stretch>
                  </pic:blipFill>
                  <pic:spPr bwMode="auto">
                    <a:xfrm>
                      <a:off x="0" y="0"/>
                      <a:ext cx="5334000" cy="2670962"/>
                    </a:xfrm>
                    <a:prstGeom prst="rect">
                      <a:avLst/>
                    </a:prstGeom>
                    <a:noFill/>
                    <a:ln w="9525">
                      <a:noFill/>
                      <a:headEnd/>
                      <a:tailEnd/>
                    </a:ln>
                  </pic:spPr>
                </pic:pic>
              </a:graphicData>
            </a:graphic>
          </wp:inline>
        </w:drawing>
      </w:r>
    </w:p>
    <w:p>
      <w:pPr>
        <w:pStyle w:val="BodyText"/>
      </w:pPr>
      <w:r>
        <w:t xml:space="preserve">netcdf, xarray, GRIB.</w:t>
      </w:r>
    </w:p>
    <w:p>
      <w:pPr>
        <w:pStyle w:val="BodyText"/>
      </w:pPr>
      <w:r>
        <w:t xml:space="preserve">Données météos, exemple avec SWOT.</w:t>
      </w:r>
    </w:p>
    <w:bookmarkEnd w:id="163"/>
    <w:bookmarkEnd w:id="164"/>
    <w:bookmarkEnd w:id="165"/>
    <w:bookmarkStart w:id="170" w:name="importation-de-données-vectorielles"/>
    <w:p>
      <w:pPr>
        <w:pStyle w:val="Heading2"/>
      </w:pPr>
      <w:r>
        <w:t xml:space="preserve">2.5 Importation de données vectorielles</w:t>
      </w:r>
    </w:p>
    <w:bookmarkStart w:id="166" w:name="importation-dun-fichier-shapefile"/>
    <w:p>
      <w:pPr>
        <w:pStyle w:val="Heading3"/>
      </w:pPr>
      <w:r>
        <w:t xml:space="preserve">2.5.1 Importation d’un fichier</w:t>
      </w:r>
      <w:r>
        <w:t xml:space="preserve"> </w:t>
      </w:r>
      <w:r>
        <w:rPr>
          <w:i/>
          <w:iCs/>
        </w:rPr>
        <w:t xml:space="preserve">shapefile</w:t>
      </w:r>
    </w:p>
    <w:bookmarkEnd w:id="166"/>
    <w:bookmarkStart w:id="167" w:name="X0f143817d83c52404b6826d29e0a7b774f648af"/>
    <w:p>
      <w:pPr>
        <w:pStyle w:val="Heading3"/>
      </w:pPr>
      <w:r>
        <w:t xml:space="preserve">2.5.2 Importation d’une couche dans un</w:t>
      </w:r>
      <w:r>
        <w:t xml:space="preserve"> </w:t>
      </w:r>
      <w:r>
        <w:rPr>
          <w:i/>
          <w:iCs/>
        </w:rPr>
        <w:t xml:space="preserve">GeoPackage</w:t>
      </w:r>
    </w:p>
    <w:bookmarkEnd w:id="167"/>
    <w:bookmarkStart w:id="168" w:name="X63f691f5cfc56e6c2c2ddd2b7c0c6c672369599"/>
    <w:p>
      <w:pPr>
        <w:pStyle w:val="Heading3"/>
      </w:pPr>
      <w:r>
        <w:t xml:space="preserve">2.5.3 Importation d’une couche dans une</w:t>
      </w:r>
      <w:r>
        <w:t xml:space="preserve"> </w:t>
      </w:r>
      <w:r>
        <w:rPr>
          <w:i/>
          <w:iCs/>
        </w:rPr>
        <w:t xml:space="preserve">geodatabase</w:t>
      </w:r>
      <w:r>
        <w:t xml:space="preserve"> </w:t>
      </w:r>
      <w:r>
        <w:t xml:space="preserve">d’ESRI</w:t>
      </w:r>
    </w:p>
    <w:bookmarkEnd w:id="168"/>
    <w:bookmarkStart w:id="169" w:name="importation-dun-fichier-shapefile-1"/>
    <w:p>
      <w:pPr>
        <w:pStyle w:val="Heading3"/>
      </w:pPr>
      <w:r>
        <w:t xml:space="preserve">2.5.4 Importation d’un fichier</w:t>
      </w:r>
      <w:r>
        <w:t xml:space="preserve"> </w:t>
      </w:r>
      <w:r>
        <w:rPr>
          <w:i/>
          <w:iCs/>
        </w:rPr>
        <w:t xml:space="preserve">shapefile</w:t>
      </w:r>
    </w:p>
    <w:bookmarkEnd w:id="169"/>
    <w:bookmarkEnd w:id="170"/>
    <w:bookmarkStart w:id="172" w:name="manipulation-de-données-vectorielles"/>
    <w:p>
      <w:pPr>
        <w:pStyle w:val="Heading2"/>
      </w:pPr>
      <w:r>
        <w:t xml:space="preserve">2.6 Manipulation de données vectorielles</w:t>
      </w:r>
    </w:p>
    <w:bookmarkStart w:id="171" w:name="requêtes-attributaires"/>
    <w:p>
      <w:pPr>
        <w:pStyle w:val="Heading3"/>
      </w:pPr>
      <w:r>
        <w:t xml:space="preserve">2.6.1 Requêtes attributaires</w:t>
      </w:r>
    </w:p>
    <w:bookmarkEnd w:id="171"/>
    <w:bookmarkEnd w:id="172"/>
    <w:bookmarkStart w:id="173" w:name="quiz-de-révision-du-chapitre-1"/>
    <w:p>
      <w:pPr>
        <w:pStyle w:val="Heading2"/>
      </w:pPr>
      <w:r>
        <w:t xml:space="preserve">2.7 Quiz de révision du chapitre</w:t>
      </w:r>
    </w:p>
    <w:bookmarkEnd w:id="173"/>
    <w:bookmarkStart w:id="174" w:name="exercices-de-révision"/>
    <w:p>
      <w:pPr>
        <w:pStyle w:val="Heading2"/>
      </w:pPr>
      <w:r>
        <w:t xml:space="preserve">2.8 Exercices de révision</w:t>
      </w:r>
    </w:p>
    <w:bookmarkEnd w:id="174"/>
    <w:bookmarkEnd w:id="175"/>
    <w:bookmarkStart w:id="202" w:name="sec-chap02"/>
    <w:p>
      <w:pPr>
        <w:pStyle w:val="Heading1"/>
      </w:pPr>
      <w:r>
        <w:t xml:space="preserve">3. Réhaussement et visualisation d’images</w:t>
      </w:r>
    </w:p>
    <w:p>
      <w:pPr>
        <w:pStyle w:val="FirstParagraph"/>
      </w:pPr>
      <w:r>
        <w:t xml:space="preserve">Assurez-vous de lire ce préambule avant d’exécutez le reste du notebook.</w:t>
      </w:r>
    </w:p>
    <w:bookmarkStart w:id="182" w:name="rocket-préambule-1"/>
    <w:p>
      <w:pPr>
        <w:pStyle w:val="Heading2"/>
      </w:pPr>
      <w:r>
        <w:t xml:space="preserve">3.1 :rocket: Préambule</w:t>
      </w:r>
    </w:p>
    <w:bookmarkStart w:id="179" w:name="dart-objectifs"/>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p>
    <w:p>
      <w:pPr>
        <w:pStyle w:val="BodyText"/>
      </w:pPr>
      <w:hyperlink r:id="rId178">
        <w:r>
          <w:drawing>
            <wp:inline>
              <wp:extent cx="1114425" cy="190500"/>
              <wp:effectExtent b="0" l="0" r="0" t="0"/>
              <wp:docPr descr="" title="" id="176" name="Picture"/>
              <a:graphic>
                <a:graphicData uri="http://schemas.openxmlformats.org/drawingml/2006/picture">
                  <pic:pic>
                    <pic:nvPicPr>
                      <pic:cNvPr descr="https://colab.research.google.com/assets/colab-badge.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79"/>
    <w:bookmarkStart w:id="180"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7"/>
        </w:numPr>
      </w:pPr>
      <w:hyperlink r:id="rId101">
        <w:r>
          <w:rPr>
            <w:rStyle w:val="Hyperlink"/>
          </w:rPr>
          <w:t xml:space="preserve">SciPy -</w:t>
        </w:r>
      </w:hyperlink>
    </w:p>
    <w:p>
      <w:pPr>
        <w:numPr>
          <w:ilvl w:val="0"/>
          <w:numId w:val="1027"/>
        </w:numPr>
      </w:pPr>
      <w:hyperlink r:id="rId102">
        <w:r>
          <w:rPr>
            <w:rStyle w:val="Hyperlink"/>
          </w:rPr>
          <w:t xml:space="preserve">NumPy -</w:t>
        </w:r>
      </w:hyperlink>
    </w:p>
    <w:p>
      <w:pPr>
        <w:numPr>
          <w:ilvl w:val="0"/>
          <w:numId w:val="1027"/>
        </w:numPr>
      </w:pPr>
      <w:hyperlink r:id="rId103">
        <w:r>
          <w:rPr>
            <w:rStyle w:val="Hyperlink"/>
          </w:rPr>
          <w:t xml:space="preserve">opencv-python · PyPI</w:t>
        </w:r>
      </w:hyperlink>
    </w:p>
    <w:p>
      <w:pPr>
        <w:numPr>
          <w:ilvl w:val="0"/>
          <w:numId w:val="1027"/>
        </w:numPr>
      </w:pPr>
      <w:hyperlink r:id="rId104">
        <w:r>
          <w:rPr>
            <w:rStyle w:val="Hyperlink"/>
          </w:rPr>
          <w:t xml:space="preserve">scikit-image</w:t>
        </w:r>
      </w:hyperlink>
    </w:p>
    <w:p>
      <w:pPr>
        <w:numPr>
          <w:ilvl w:val="0"/>
          <w:numId w:val="1027"/>
        </w:numPr>
      </w:pPr>
      <w:hyperlink r:id="rId105">
        <w:r>
          <w:rPr>
            <w:rStyle w:val="Hyperlink"/>
          </w:rPr>
          <w:t xml:space="preserve">Rasterio</w:t>
        </w:r>
      </w:hyperlink>
    </w:p>
    <w:p>
      <w:pPr>
        <w:numPr>
          <w:ilvl w:val="0"/>
          <w:numId w:val="1027"/>
        </w:numPr>
      </w:pPr>
      <w:hyperlink r:id="rId106">
        <w:r>
          <w:rPr>
            <w:rStyle w:val="Hyperlink"/>
          </w:rPr>
          <w:t xml:space="preserve">Xarray</w:t>
        </w:r>
      </w:hyperlink>
    </w:p>
    <w:p>
      <w:pPr>
        <w:numPr>
          <w:ilvl w:val="0"/>
          <w:numId w:val="1027"/>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80"/>
    <w:bookmarkStart w:id="181" w:name="données-1"/>
    <w:p>
      <w:pPr>
        <w:pStyle w:val="Heading3"/>
      </w:pPr>
      <w:r>
        <w:t xml:space="preserve">3.1.3 Données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181"/>
    <w:bookmarkEnd w:id="182"/>
    <w:bookmarkStart w:id="192"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87"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83"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83"/>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84">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86"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85"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85"/>
    <w:bookmarkEnd w:id="186"/>
    <w:bookmarkEnd w:id="187"/>
    <w:bookmarkStart w:id="189"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w:bookmarkStart w:id="188" w:name="eq-rehauss-lin"/>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r>
            <m:t>  </m:t>
          </m:r>
          <m:d>
            <m:dPr>
              <m:begChr m:val="("/>
              <m:endChr m:val=")"/>
              <m:sepChr m:val=""/>
              <m:grow/>
            </m:dPr>
            <m:e>
              <m:r>
                <m:t>3.1</m:t>
              </m:r>
            </m:e>
          </m:d>
        </m:oMath>
      </m:oMathPara>
      <w:bookmarkEnd w:id="188"/>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89"/>
    <w:bookmarkStart w:id="190" w:name="réhaussements-non-linéaires"/>
    <w:p>
      <w:pPr>
        <w:pStyle w:val="Heading3"/>
      </w:pPr>
      <w:r>
        <w:t xml:space="preserve">3.2.3 Réhaussements non linéaires</w:t>
      </w:r>
    </w:p>
    <w:p>
      <w:pPr>
        <w:pStyle w:val="FirstParagraph"/>
      </w:pPr>
      <w:r>
        <w:t xml:space="preserve">Calcul d’histogrammes, étirement, égalisation, styling</w:t>
      </w:r>
    </w:p>
    <w:bookmarkEnd w:id="190"/>
    <w:bookmarkStart w:id="191"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91"/>
    <w:bookmarkEnd w:id="192"/>
    <w:bookmarkStart w:id="199" w:name="visualisation"/>
    <w:p>
      <w:pPr>
        <w:pStyle w:val="Heading2"/>
      </w:pPr>
      <w:r>
        <w:t xml:space="preserve">3.3 Visualisation</w:t>
      </w:r>
    </w:p>
    <w:bookmarkStart w:id="193"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93"/>
    <w:bookmarkStart w:id="194"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94"/>
    <w:bookmarkStart w:id="197"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95">
        <w:r>
          <w:rPr>
            <w:rStyle w:val="Hyperlink"/>
          </w:rPr>
          <w:t xml:space="preserve">17. Geemap — Introduction to GIS Programming</w:t>
        </w:r>
      </w:hyperlink>
    </w:p>
    <w:p>
      <w:pPr>
        <w:pStyle w:val="BodyText"/>
      </w:pPr>
      <w:r>
        <w:t xml:space="preserve">🔖 __ — via</w:t>
      </w:r>
      <w:r>
        <w:t xml:space="preserve"> </w:t>
      </w:r>
      <w:hyperlink r:id="rId196">
        <w:r>
          <w:rPr>
            <w:rStyle w:val="Hyperlink"/>
          </w:rPr>
          <w:t xml:space="preserve">data/raster at main · opengeos/data</w:t>
        </w:r>
      </w:hyperlink>
    </w:p>
    <w:bookmarkEnd w:id="197"/>
    <w:bookmarkStart w:id="198" w:name="visualisation-3d"/>
    <w:p>
      <w:pPr>
        <w:pStyle w:val="Heading3"/>
      </w:pPr>
      <w:r>
        <w:t xml:space="preserve">3.3.4 Visualisation 3D</w:t>
      </w:r>
    </w:p>
    <w:p>
      <w:pPr>
        <w:pStyle w:val="FirstParagraph"/>
      </w:pPr>
      <w:r>
        <w:t xml:space="preserve">drapper une image satellite sur un DEM</w:t>
      </w:r>
    </w:p>
    <w:bookmarkEnd w:id="198"/>
    <w:bookmarkEnd w:id="199"/>
    <w:bookmarkStart w:id="200" w:name="quiz-de-révision-du-chapitre-2"/>
    <w:p>
      <w:pPr>
        <w:pStyle w:val="Heading2"/>
      </w:pPr>
      <w:r>
        <w:t xml:space="preserve">3.4 Quiz de révision du chapitre</w:t>
      </w:r>
    </w:p>
    <w:bookmarkEnd w:id="200"/>
    <w:bookmarkStart w:id="201" w:name="exercices-de-révision-1"/>
    <w:p>
      <w:pPr>
        <w:pStyle w:val="Heading2"/>
      </w:pPr>
      <w:r>
        <w:t xml:space="preserve">3.5 Exercices de révision</w:t>
      </w:r>
    </w:p>
    <w:bookmarkEnd w:id="201"/>
    <w:bookmarkEnd w:id="202"/>
    <w:bookmarkStart w:id="214" w:name="sec-chap03"/>
    <w:p>
      <w:pPr>
        <w:pStyle w:val="Heading1"/>
      </w:pPr>
      <w:r>
        <w:t xml:space="preserve">4. Transformations spectrales</w:t>
      </w:r>
    </w:p>
    <w:bookmarkStart w:id="208" w:name="rocket-préambule-2"/>
    <w:p>
      <w:pPr>
        <w:pStyle w:val="Heading2"/>
      </w:pPr>
      <w:r>
        <w:t xml:space="preserve">4.1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techniques de réhaussement et de visualisation d’images. Ce chapitre est aussi disponible sous la forme d’un notebook Python:</w:t>
      </w:r>
      <w:r>
        <w:t xml:space="preserve"> </w:t>
      </w:r>
      <w:hyperlink r:id="rId205">
        <w:r>
          <w:drawing>
            <wp:inline>
              <wp:extent cx="1114425" cy="190500"/>
              <wp:effectExtent b="0" l="0" r="0" t="0"/>
              <wp:docPr descr="" title="" id="203" name="Picture"/>
              <a:graphic>
                <a:graphicData uri="http://schemas.openxmlformats.org/drawingml/2006/picture">
                  <pic:pic>
                    <pic:nvPicPr>
                      <pic:cNvPr descr="https://colab.research.google.com/assets/colab-badge.svg" id="20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206" w:name="librairies-2"/>
    <w:p>
      <w:pPr>
        <w:pStyle w:val="Heading3"/>
      </w:pPr>
      <w:r>
        <w:t xml:space="preserve">4.1.1 Librairies</w:t>
      </w:r>
    </w:p>
    <w:p>
      <w:pPr>
        <w:pStyle w:val="FirstParagraph"/>
      </w:pPr>
      <w:r>
        <w:t xml:space="preserve">Les librairies qui vont être explorées dans ce chapitre sont les suivantes:</w:t>
      </w:r>
    </w:p>
    <w:p>
      <w:pPr>
        <w:numPr>
          <w:ilvl w:val="0"/>
          <w:numId w:val="1028"/>
        </w:numPr>
      </w:pPr>
      <w:hyperlink r:id="rId101">
        <w:r>
          <w:rPr>
            <w:rStyle w:val="Hyperlink"/>
          </w:rPr>
          <w:t xml:space="preserve">SciPy -</w:t>
        </w:r>
      </w:hyperlink>
    </w:p>
    <w:p>
      <w:pPr>
        <w:numPr>
          <w:ilvl w:val="0"/>
          <w:numId w:val="1028"/>
        </w:numPr>
      </w:pPr>
      <w:hyperlink r:id="rId102">
        <w:r>
          <w:rPr>
            <w:rStyle w:val="Hyperlink"/>
          </w:rPr>
          <w:t xml:space="preserve">NumPy -</w:t>
        </w:r>
      </w:hyperlink>
    </w:p>
    <w:p>
      <w:pPr>
        <w:numPr>
          <w:ilvl w:val="0"/>
          <w:numId w:val="1028"/>
        </w:numPr>
      </w:pPr>
      <w:hyperlink r:id="rId103">
        <w:r>
          <w:rPr>
            <w:rStyle w:val="Hyperlink"/>
          </w:rPr>
          <w:t xml:space="preserve">opencv-python · PyPI</w:t>
        </w:r>
      </w:hyperlink>
    </w:p>
    <w:p>
      <w:pPr>
        <w:numPr>
          <w:ilvl w:val="0"/>
          <w:numId w:val="1028"/>
        </w:numPr>
      </w:pPr>
      <w:hyperlink r:id="rId104">
        <w:r>
          <w:rPr>
            <w:rStyle w:val="Hyperlink"/>
          </w:rPr>
          <w:t xml:space="preserve">scikit-image</w:t>
        </w:r>
      </w:hyperlink>
    </w:p>
    <w:p>
      <w:pPr>
        <w:numPr>
          <w:ilvl w:val="0"/>
          <w:numId w:val="1028"/>
        </w:numPr>
      </w:pPr>
      <w:hyperlink r:id="rId105">
        <w:r>
          <w:rPr>
            <w:rStyle w:val="Hyperlink"/>
          </w:rPr>
          <w:t xml:space="preserve">Rasterio</w:t>
        </w:r>
      </w:hyperlink>
    </w:p>
    <w:p>
      <w:pPr>
        <w:numPr>
          <w:ilvl w:val="0"/>
          <w:numId w:val="1028"/>
        </w:numPr>
      </w:pPr>
      <w:hyperlink r:id="rId106">
        <w:r>
          <w:rPr>
            <w:rStyle w:val="Hyperlink"/>
          </w:rPr>
          <w:t xml:space="preserve">Xarray</w:t>
        </w:r>
      </w:hyperlink>
    </w:p>
    <w:p>
      <w:pPr>
        <w:numPr>
          <w:ilvl w:val="0"/>
          <w:numId w:val="1028"/>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06"/>
    <w:bookmarkStart w:id="207" w:name="images-utilisées"/>
    <w:p>
      <w:pPr>
        <w:pStyle w:val="Heading3"/>
      </w:pPr>
      <w:r>
        <w:t xml:space="preserve">4.1.2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subset_1_of_S2A_MSIL2A_20240625T153941_N0510_R011_T18TYR_20240625T221903_resampled.tif </w:t>
      </w:r>
      <w:r>
        <w:rPr>
          <w:rStyle w:val="OperatorTok"/>
        </w:rPr>
        <w:t xml:space="preserve">-</w:t>
      </w:r>
      <w:r>
        <w:rPr>
          <w:rStyle w:val="NormalTok"/>
        </w:rPr>
        <w:t xml:space="preserve">O sentinel2.tif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'sentinel2.tif'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img_s2:</w:t>
      </w:r>
      <w:r>
        <w:br/>
      </w:r>
      <w:r>
        <w:rPr>
          <w:rStyle w:val="NormalTok"/>
        </w:rPr>
        <w:t xml:space="preserve">    </w:t>
      </w:r>
      <w:r>
        <w:rPr>
          <w:rStyle w:val="BuiltInTok"/>
        </w:rPr>
        <w:t xml:space="preserve">print</w:t>
      </w:r>
      <w:r>
        <w:rPr>
          <w:rStyle w:val="NormalTok"/>
        </w:rPr>
        <w:t xml:space="preserve">(img_s2)</w:t>
      </w:r>
    </w:p>
    <w:bookmarkEnd w:id="207"/>
    <w:bookmarkEnd w:id="208"/>
    <w:bookmarkStart w:id="209"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209"/>
    <w:bookmarkStart w:id="210"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210"/>
    <w:bookmarkStart w:id="212" w:name="réduction-de-dimension"/>
    <w:p>
      <w:pPr>
        <w:pStyle w:val="Heading2"/>
      </w:pPr>
      <w:r>
        <w:t xml:space="preserve">4.4 Réduction de dimension</w:t>
      </w:r>
    </w:p>
    <w:bookmarkStart w:id="211" w:name="analyses-en-composantes-principales"/>
    <w:p>
      <w:pPr>
        <w:pStyle w:val="Heading3"/>
      </w:pPr>
      <w:r>
        <w:t xml:space="preserve">4.4.1 Analyses en composantes principales</w:t>
      </w:r>
    </w:p>
    <w:bookmarkEnd w:id="211"/>
    <w:bookmarkEnd w:id="212"/>
    <w:bookmarkStart w:id="213" w:name="exercices-de-révision-2"/>
    <w:p>
      <w:pPr>
        <w:pStyle w:val="Heading2"/>
      </w:pPr>
      <w:r>
        <w:t xml:space="preserve">4.5 Exercices de révision</w:t>
      </w:r>
    </w:p>
    <w:bookmarkEnd w:id="213"/>
    <w:bookmarkEnd w:id="214"/>
    <w:bookmarkStart w:id="250" w:name="sec-chap04"/>
    <w:p>
      <w:pPr>
        <w:pStyle w:val="Heading1"/>
      </w:pPr>
      <w:r>
        <w:t xml:space="preserve">5. Transformations spatiales</w:t>
      </w:r>
    </w:p>
    <w:bookmarkStart w:id="221" w:name="rocket-préambule-3"/>
    <w:p>
      <w:pPr>
        <w:pStyle w:val="Heading2"/>
      </w:pPr>
      <w:r>
        <w:t xml:space="preserve">5.1 :rocket: Préambule</w:t>
      </w:r>
    </w:p>
    <w:p>
      <w:pPr>
        <w:pStyle w:val="FirstParagraph"/>
      </w:pPr>
      <w:r>
        <w:t xml:space="preserve">Assurez-vous de lire ce préambule avant d’exécutez le reste du notebook.</w:t>
      </w:r>
    </w:p>
    <w:bookmarkStart w:id="218" w:name="dart-objectifs-1"/>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17">
        <w:r>
          <w:drawing>
            <wp:inline>
              <wp:extent cx="1114425" cy="190500"/>
              <wp:effectExtent b="0" l="0" r="0" t="0"/>
              <wp:docPr descr="" title="" id="215" name="Picture"/>
              <a:graphic>
                <a:graphicData uri="http://schemas.openxmlformats.org/drawingml/2006/picture">
                  <pic:pic>
                    <pic:nvPicPr>
                      <pic:cNvPr descr="https://colab.research.google.com/assets/colab-badge.svg" id="21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18"/>
    <w:bookmarkStart w:id="219" w:name="librairies-3"/>
    <w:p>
      <w:pPr>
        <w:pStyle w:val="Heading3"/>
      </w:pPr>
      <w:r>
        <w:t xml:space="preserve">5.1.2 Librairies</w:t>
      </w:r>
    </w:p>
    <w:p>
      <w:pPr>
        <w:pStyle w:val="FirstParagraph"/>
      </w:pPr>
      <w:r>
        <w:t xml:space="preserve">Les librairies qui vont être explorées dans ce chapitre sont les suivantes:</w:t>
      </w:r>
    </w:p>
    <w:p>
      <w:pPr>
        <w:numPr>
          <w:ilvl w:val="0"/>
          <w:numId w:val="1029"/>
        </w:numPr>
      </w:pPr>
      <w:hyperlink r:id="rId101">
        <w:r>
          <w:rPr>
            <w:rStyle w:val="Hyperlink"/>
          </w:rPr>
          <w:t xml:space="preserve">SciPy -</w:t>
        </w:r>
      </w:hyperlink>
    </w:p>
    <w:p>
      <w:pPr>
        <w:numPr>
          <w:ilvl w:val="0"/>
          <w:numId w:val="1029"/>
        </w:numPr>
      </w:pPr>
      <w:hyperlink r:id="rId102">
        <w:r>
          <w:rPr>
            <w:rStyle w:val="Hyperlink"/>
          </w:rPr>
          <w:t xml:space="preserve">NumPy -</w:t>
        </w:r>
      </w:hyperlink>
    </w:p>
    <w:p>
      <w:pPr>
        <w:numPr>
          <w:ilvl w:val="0"/>
          <w:numId w:val="1029"/>
        </w:numPr>
      </w:pPr>
      <w:hyperlink r:id="rId103">
        <w:r>
          <w:rPr>
            <w:rStyle w:val="Hyperlink"/>
          </w:rPr>
          <w:t xml:space="preserve">opencv-python · PyPI</w:t>
        </w:r>
      </w:hyperlink>
    </w:p>
    <w:p>
      <w:pPr>
        <w:numPr>
          <w:ilvl w:val="0"/>
          <w:numId w:val="1029"/>
        </w:numPr>
      </w:pPr>
      <w:hyperlink r:id="rId104">
        <w:r>
          <w:rPr>
            <w:rStyle w:val="Hyperlink"/>
          </w:rPr>
          <w:t xml:space="preserve">scikit-image</w:t>
        </w:r>
      </w:hyperlink>
    </w:p>
    <w:p>
      <w:pPr>
        <w:numPr>
          <w:ilvl w:val="0"/>
          <w:numId w:val="1029"/>
        </w:numPr>
      </w:pPr>
      <w:hyperlink r:id="rId105">
        <w:r>
          <w:rPr>
            <w:rStyle w:val="Hyperlink"/>
          </w:rPr>
          <w:t xml:space="preserve">Rasterio</w:t>
        </w:r>
      </w:hyperlink>
    </w:p>
    <w:p>
      <w:pPr>
        <w:numPr>
          <w:ilvl w:val="0"/>
          <w:numId w:val="1029"/>
        </w:numPr>
      </w:pPr>
      <w:hyperlink r:id="rId106">
        <w:r>
          <w:rPr>
            <w:rStyle w:val="Hyperlink"/>
          </w:rPr>
          <w:t xml:space="preserve">Xarray</w:t>
        </w:r>
      </w:hyperlink>
    </w:p>
    <w:p>
      <w:pPr>
        <w:numPr>
          <w:ilvl w:val="0"/>
          <w:numId w:val="1029"/>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19"/>
    <w:bookmarkStart w:id="220" w:name="images-utilisées-1"/>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220"/>
    <w:bookmarkEnd w:id="221"/>
    <w:bookmarkStart w:id="225"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 ces composantes de Fourier modifie l’ensemble de l’image et permet de corriger des problèmes systématiques comme des artefacts ou du bruit de capteur. Bien que ce domaine soit un peu éloigné de la télédétection, les images fourniment par les capteurs sont tous sujets à des étapes de traitement du signal et il faut donc en connaître les grands principes afin de pouvoir comprendre certains enjeux lors des traitements.</w:t>
      </w:r>
    </w:p>
    <w:bookmarkStart w:id="222"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2D-DFT</w:t>
      </w:r>
      <w:r>
        <w:t xml:space="preserve"> </w:t>
      </w:r>
      <w:r>
        <w:t xml:space="preserve">(</w:t>
      </w:r>
      <w:r>
        <w:rPr>
          <w:i/>
          <w:iCs/>
        </w:rPr>
        <w:t xml:space="preserve">2D-Discrete Fourier Transform</w:t>
      </w:r>
      <w:r>
        <w:t xml:space="preserve">) qui est un algorithme optimisé pour le calcul fréquentiel</w:t>
      </w:r>
      <w:r>
        <w:t xml:space="preserve"> </w:t>
      </w:r>
      <w:r>
        <w:t xml:space="preserve">(Cooley et Tukey 1965)</w:t>
      </w:r>
      <w:r>
        <w:t xml:space="preserve">. La</w:t>
      </w:r>
      <w:r>
        <w:t xml:space="preserve"> </w:t>
      </w:r>
      <w:r>
        <w:rPr>
          <w:i/>
          <w:iCs/>
        </w:rPr>
        <w:t xml:space="preserve">1D-DFT</w:t>
      </w:r>
      <w:r>
        <w:t xml:space="preserve"> </w:t>
      </w:r>
      <w:r>
        <w:t xml:space="preserve">peu s’écrire simplement comme une projection sur une série d’exponentielles complexes:</w:t>
      </w:r>
    </w:p>
    <w:p>
      <w:pPr>
        <w:pStyle w:val="BodyText"/>
      </w:pPr>
      <m:oMathPara>
        <m:oMathParaPr>
          <m:jc m:val="center"/>
        </m:oMathParaPr>
        <m:oMath>
          <m:r>
            <m:t>X</m:t>
          </m:r>
          <m:d>
            <m:dPr>
              <m:begChr m:val="["/>
              <m:endChr m:val="]"/>
              <m:sepChr m:val=""/>
              <m:grow/>
            </m:dPr>
            <m:e>
              <m:r>
                <m:t>k</m:t>
              </m:r>
            </m:e>
          </m:d>
          <m:r>
            <m:rPr>
              <m:sty m:val="p"/>
            </m:rPr>
            <m:t>=</m:t>
          </m:r>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rPr>
                  <m:sty m:val="p"/>
                </m:rPr>
                <m:t>−</m:t>
              </m:r>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La transformée inverse prend une forme similaire:</w:t>
      </w:r>
    </w:p>
    <w:p>
      <w:pPr>
        <w:pStyle w:val="BodyText"/>
      </w:pPr>
      <m:oMathPara>
        <m:oMathParaPr>
          <m:jc m:val="center"/>
        </m:oMathParaPr>
        <m:oMath>
          <m:r>
            <m:t>x</m:t>
          </m:r>
          <m:d>
            <m:dPr>
              <m:begChr m:val="["/>
              <m:endChr m:val="]"/>
              <m:sepChr m:val=""/>
              <m:grow/>
            </m:dPr>
            <m:e>
              <m:r>
                <m:t>k</m:t>
              </m:r>
            </m:e>
          </m:d>
          <m:r>
            <m:rPr>
              <m:sty m:val="p"/>
            </m:rPr>
            <m:t>=</m:t>
          </m:r>
          <m:f>
            <m:fPr>
              <m:type m:val="bar"/>
            </m:fPr>
            <m:num>
              <m:r>
                <m:t>1</m:t>
              </m:r>
            </m:num>
            <m:den>
              <m:r>
                <m:t>N</m:t>
              </m:r>
            </m:den>
          </m:f>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Le signal d’origine est donc reconstruit à partir d’une somme de sinusoïde complexe</w:t>
      </w:r>
      <w:r>
        <w:t xml:space="preserve"> </w:t>
      </w:r>
      <m:oMath>
        <m:r>
          <m:rPr>
            <m:sty m:val="p"/>
          </m:rPr>
          <m:t>exp</m:t>
        </m:r>
        <m:d>
          <m:dPr>
            <m:begChr m:val="("/>
            <m:endChr m:val=")"/>
            <m:sepChr m:val=""/>
            <m:grow/>
          </m:dPr>
          <m:e>
            <m:r>
              <m:t>j</m:t>
            </m:r>
            <m:r>
              <m:t>2</m:t>
            </m:r>
            <m:r>
              <m:t>π</m:t>
            </m:r>
            <m:f>
              <m:fPr>
                <m:type m:val="bar"/>
              </m:fPr>
              <m:num>
                <m:r>
                  <m:t>k</m:t>
                </m:r>
              </m:num>
              <m:den>
                <m:r>
                  <m:t>N</m:t>
                </m:r>
              </m:den>
            </m:f>
            <m:r>
              <m:t>n</m:t>
            </m:r>
          </m:e>
        </m:d>
        <m:r>
          <m:rPr>
            <m:sty m:val="p"/>
          </m:rPr>
          <m:t>)</m:t>
        </m:r>
      </m:oMath>
      <w:r>
        <w:t xml:space="preserve"> </w:t>
      </w:r>
      <w:r>
        <w:t xml:space="preserve">de fréquence</w:t>
      </w:r>
      <w:r>
        <w:t xml:space="preserve"> </w:t>
      </w:r>
      <m:oMath>
        <m:r>
          <m:t>k</m:t>
        </m:r>
        <m:r>
          <m:rPr>
            <m:sty m:val="p"/>
          </m:rPr>
          <m:t>/</m:t>
        </m:r>
        <m:r>
          <m:t>N</m:t>
        </m:r>
      </m:oMath>
      <w:r>
        <w:t xml:space="preserve">. Noter qu’à partir de</w:t>
      </w:r>
      <w:r>
        <w:t xml:space="preserve"> </w:t>
      </w:r>
      <m:oMath>
        <m:r>
          <m:t>k</m:t>
        </m:r>
        <m:r>
          <m:rPr>
            <m:sty m:val="p"/>
          </m:rPr>
          <m:t>=</m:t>
        </m:r>
        <m:r>
          <m:t>N</m:t>
        </m:r>
        <m:r>
          <m:rPr>
            <m:sty m:val="p"/>
          </m:rPr>
          <m:t>/</m:t>
        </m:r>
        <m:r>
          <m:t>2</m:t>
        </m:r>
      </m:oMath>
      <w:r>
        <w:t xml:space="preserve">, les sinusoïdes se répètent à un signe près et forme un miroir des composantes, la convention est lors de mettre ces composantes dans une espace négatif</w:t>
      </w:r>
      <w:r>
        <w:t xml:space="preserve"> </w:t>
      </w:r>
      <m:oMath>
        <m:d>
          <m:dPr>
            <m:begChr m:val="["/>
            <m:endChr m:val="]"/>
            <m:sepChr m:val=""/>
            <m:grow/>
          </m:dPr>
          <m:e>
            <m:r>
              <m:rPr>
                <m:sty m:val="p"/>
              </m:rPr>
              <m:t>−</m:t>
            </m:r>
            <m:r>
              <m:t>N</m:t>
            </m:r>
            <m:r>
              <m:rPr>
                <m:sty m:val="p"/>
              </m:rPr>
              <m:t>/</m:t>
            </m:r>
            <m:r>
              <m:t>2</m:t>
            </m:r>
            <m:r>
              <m:rPr>
                <m:sty m:val="p"/>
              </m:rPr>
              <m:t>,</m:t>
            </m:r>
            <m:r>
              <m:rPr>
                <m:sty m:val="p"/>
              </m:rPr>
              <m:t>…</m:t>
            </m:r>
            <m:r>
              <m:rPr>
                <m:sty m:val="p"/>
              </m:rPr>
              <m:t>,</m:t>
            </m:r>
            <m:r>
              <m:rPr>
                <m:sty m:val="p"/>
              </m:rPr>
              <m:t>−</m:t>
            </m:r>
            <m:r>
              <m:t>1</m:t>
            </m:r>
          </m:e>
        </m:d>
      </m:oMath>
      <w:r>
        <w:t xml:space="preserve">.</w:t>
      </w:r>
    </w:p>
    <w:p>
      <w:pPr>
        <w:pStyle w:val="BodyText"/>
      </w:pPr>
      <w:r>
        <w:t xml:space="preserve">Dans le cas d’un simple signal périodique à une dimension avec une fréquence de 4/16 (donc 4 périodes sur 16) on obtient deux pics de fréquence à la position de 4 cycles observés sur</w:t>
      </w:r>
      <w:r>
        <w:t xml:space="preserve"> </w:t>
      </w:r>
      <m:oMath>
        <m:r>
          <m:t>N</m:t>
        </m:r>
        <m:r>
          <m:rPr>
            <m:sty m:val="p"/>
          </m:rPr>
          <m:t>=</m:t>
        </m:r>
        <m:r>
          <m:t>16</m:t>
        </m:r>
      </m:oMath>
      <w:r>
        <w:t xml:space="preserve"> </w:t>
      </w:r>
      <w:r>
        <w:t xml:space="preserve">observations. Les puissances de Fourier sont affichés dans un espace fréquentiel en cycles par unité d’espacement de l’échantillon (avec zéro au début) variant entre -1 et +1. Par exemple, si l’espacement des échantillons est en secondes, l’unité de fréquence est cycles/seconde (ou Hz). Dans le cas de N échantillons, le pic sera observé à la fréquence</w:t>
      </w:r>
      <w:r>
        <w:t xml:space="preserve"> </w:t>
      </w:r>
      <m:oMath>
        <m:r>
          <m:rPr>
            <m:sty m:val="p"/>
          </m:rPr>
          <m:t>+</m:t>
        </m:r>
        <m:r>
          <m:rPr>
            <m:sty m:val="p"/>
          </m:rPr>
          <m:t>/</m:t>
        </m:r>
        <m:r>
          <m:rPr>
            <m:sty m:val="p"/>
          </m:rPr>
          <m:t>−</m:t>
        </m:r>
        <m:r>
          <m:t>4</m:t>
        </m:r>
        <m:r>
          <m:rPr>
            <m:sty m:val="p"/>
          </m:rPr>
          <m:t>/</m:t>
        </m:r>
        <m:r>
          <m:t>16</m:t>
        </m:r>
        <m:r>
          <m:rPr>
            <m:sty m:val="p"/>
          </m:rPr>
          <m:t>=</m:t>
        </m:r>
        <m:r>
          <m:t>0.25</m:t>
        </m:r>
      </m:oMath>
      <w:r>
        <w:t xml:space="preserve"> </w:t>
      </w:r>
      <w:r>
        <w:t xml:space="preserve">cycles/secondes. La fréquence d’échantillonnage</w:t>
      </w:r>
      <w:r>
        <w:t xml:space="preserve"> </w:t>
      </w:r>
      <m:oMath>
        <m:sSub>
          <m:e>
            <m:r>
              <m:t>F</m:t>
            </m:r>
          </m:e>
          <m:sub>
            <m:r>
              <m:t>s</m:t>
            </m:r>
          </m:sub>
        </m:sSub>
      </m:oMath>
      <w:r>
        <w:t xml:space="preserve"> </w:t>
      </w:r>
      <w:r>
        <w:t xml:space="preserve">du signal a aussi beaucoup d’importance aussi et doit être au moins a deux fois la plus haute fréquence observée (ici</w:t>
      </w:r>
      <w:r>
        <w:t xml:space="preserve"> </w:t>
      </w:r>
      <m:oMath>
        <m:sSub>
          <m:e>
            <m:r>
              <m:t>F</m:t>
            </m:r>
          </m:e>
          <m:sub>
            <m:r>
              <m:t>s</m:t>
            </m:r>
          </m:sub>
        </m:sSub>
        <m:r>
          <m:rPr>
            <m:sty m:val="p"/>
          </m:rPr>
          <m:t>&gt;</m:t>
        </m:r>
        <m:r>
          <m:t>0.5</m:t>
        </m:r>
      </m:oMath>
      <w:r>
        <w:t xml:space="preserve">) sinon un phénomène de repliement appelé aliasing sera observé.</w:t>
      </w:r>
    </w:p>
    <w:p>
      <w:pPr>
        <w:pStyle w:val="SourceCode"/>
      </w:pPr>
      <w:r>
        <w:rPr>
          <w:rStyle w:val="ImportTok"/>
        </w:rPr>
        <w:t xml:space="preserve">import</w:t>
      </w:r>
      <w:r>
        <w:rPr>
          <w:rStyle w:val="NormalTok"/>
        </w:rPr>
        <w:t xml:space="preserve"> math</w:t>
      </w:r>
      <w:r>
        <w:br/>
      </w:r>
      <w:r>
        <w:rPr>
          <w:rStyle w:val="NormalTok"/>
        </w:rPr>
        <w:t xml:space="preserve">Fs</w:t>
      </w:r>
      <w:r>
        <w:rPr>
          <w:rStyle w:val="OperatorTok"/>
        </w:rPr>
        <w:t xml:space="preserve">=</w:t>
      </w:r>
      <w:r>
        <w:rPr>
          <w:rStyle w:val="NormalTok"/>
        </w:rPr>
        <w:t xml:space="preserve"> </w:t>
      </w:r>
      <w:r>
        <w:rPr>
          <w:rStyle w:val="FloatTok"/>
        </w:rPr>
        <w:t xml:space="preserve">2.0</w:t>
      </w:r>
      <w:r>
        <w:br/>
      </w:r>
      <w:r>
        <w:rPr>
          <w:rStyle w:val="NormalTok"/>
        </w:rPr>
        <w:t xml:space="preserve">Ts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Fs</w:t>
      </w:r>
      <w:r>
        <w:br/>
      </w:r>
      <w:r>
        <w:rPr>
          <w:rStyle w:val="NormalTok"/>
        </w:rPr>
        <w:t xml:space="preserve">N</w:t>
      </w:r>
      <w:r>
        <w:rPr>
          <w:rStyle w:val="OperatorTok"/>
        </w:rPr>
        <w:t xml:space="preserve">=</w:t>
      </w:r>
      <w:r>
        <w:rPr>
          <w:rStyle w:val="NormalTok"/>
        </w:rPr>
        <w:t xml:space="preserve"> </w:t>
      </w:r>
      <w:r>
        <w:rPr>
          <w:rStyle w:val="DecValTok"/>
        </w:rPr>
        <w:t xml:space="preserve">16</w:t>
      </w:r>
      <w:r>
        <w:br/>
      </w:r>
      <w:r>
        <w:rPr>
          <w:rStyle w:val="NormalTok"/>
        </w:rPr>
        <w:t xml:space="preserve">arr </w:t>
      </w:r>
      <w:r>
        <w:rPr>
          <w:rStyle w:val="OperatorTok"/>
        </w:rPr>
        <w:t xml:space="preserve">=</w:t>
      </w:r>
      <w:r>
        <w:rPr>
          <w:rStyle w:val="NormalTok"/>
        </w:rPr>
        <w:t xml:space="preserve"> xr.DataArray(np.sin(</w:t>
      </w:r>
      <w:r>
        <w:rPr>
          <w:rStyle w:val="DecValTok"/>
        </w:rPr>
        <w:t xml:space="preserve">2</w:t>
      </w:r>
      <w:r>
        <w:rPr>
          <w:rStyle w:val="OperatorTok"/>
        </w:rPr>
        <w:t xml:space="preserve">*</w:t>
      </w:r>
      <w:r>
        <w:rPr>
          <w:rStyle w:val="NormalTok"/>
        </w:rPr>
        <w:t xml:space="preserve">math.pi</w:t>
      </w:r>
      <w:r>
        <w:rPr>
          <w:rStyle w:val="OperatorTok"/>
        </w:rPr>
        <w:t xml:space="preserve">*</w:t>
      </w:r>
      <w:r>
        <w:rPr>
          <w:rStyle w:val="NormalTok"/>
        </w:rPr>
        <w:t xml:space="preserve">np.arange(</w:t>
      </w:r>
      <w:r>
        <w:rPr>
          <w:rStyle w:val="DecValTok"/>
        </w:rPr>
        <w:t xml:space="preserve">0</w:t>
      </w:r>
      <w:r>
        <w:rPr>
          <w:rStyle w:val="NormalTok"/>
        </w:rPr>
        <w:t xml:space="preserve">,N,Ts)</w:t>
      </w:r>
      <w:r>
        <w:rPr>
          <w:rStyle w:val="OperatorTok"/>
        </w:rPr>
        <w:t xml:space="preserve">*</w:t>
      </w:r>
      <w:r>
        <w:rPr>
          <w:rStyle w:val="DecValTok"/>
        </w:rPr>
        <w:t xml:space="preserve">4</w:t>
      </w:r>
      <w:r>
        <w:rPr>
          <w:rStyle w:val="OperatorTok"/>
        </w:rPr>
        <w:t xml:space="preserve">/</w:t>
      </w:r>
      <w:r>
        <w:rPr>
          <w:rStyle w:val="DecValTok"/>
        </w:rPr>
        <w:t xml:space="preserve">16</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np.arange(</w:t>
      </w:r>
      <w:r>
        <w:rPr>
          <w:rStyle w:val="DecValTok"/>
        </w:rPr>
        <w:t xml:space="preserve">0</w:t>
      </w:r>
      <w:r>
        <w:rPr>
          <w:rStyle w:val="NormalTok"/>
        </w:rPr>
        <w:t xml:space="preserve">,N,Ts)})</w:t>
      </w:r>
      <w:r>
        <w:br/>
      </w:r>
      <w:r>
        <w:rPr>
          <w:rStyle w:val="NormalTok"/>
        </w:rPr>
        <w:t xml:space="preserve">fourier </w:t>
      </w:r>
      <w:r>
        <w:rPr>
          <w:rStyle w:val="OperatorTok"/>
        </w:rPr>
        <w:t xml:space="preserve">=</w:t>
      </w:r>
      <w:r>
        <w:rPr>
          <w:rStyle w:val="NormalTok"/>
        </w:rPr>
        <w:t xml:space="preserve"> np.fft.fft(arr)</w:t>
      </w:r>
      <w:r>
        <w:br/>
      </w:r>
      <w:r>
        <w:rPr>
          <w:rStyle w:val="NormalTok"/>
        </w:rPr>
        <w:t xml:space="preserve">freq </w:t>
      </w:r>
      <w:r>
        <w:rPr>
          <w:rStyle w:val="OperatorTok"/>
        </w:rPr>
        <w:t xml:space="preserve">=</w:t>
      </w:r>
      <w:r>
        <w:rPr>
          <w:rStyle w:val="NormalTok"/>
        </w:rPr>
        <w:t xml:space="preserve"> np.fft.fftfreq(fourier.size, d</w:t>
      </w:r>
      <w:r>
        <w:rPr>
          <w:rStyle w:val="OperatorTok"/>
        </w:rPr>
        <w:t xml:space="preserve">=</w:t>
      </w:r>
      <w:r>
        <w:rPr>
          <w:rStyle w:val="NormalTok"/>
        </w:rPr>
        <w:t xml:space="preserve">Ts)</w:t>
      </w:r>
      <w:r>
        <w:br/>
      </w:r>
      <w:r>
        <w:rPr>
          <w:rStyle w:val="NormalTok"/>
        </w:rPr>
        <w:t xml:space="preserve">fourier </w:t>
      </w:r>
      <w:r>
        <w:rPr>
          <w:rStyle w:val="OperatorTok"/>
        </w:rPr>
        <w:t xml:space="preserve">=</w:t>
      </w:r>
      <w:r>
        <w:rPr>
          <w:rStyle w:val="NormalTok"/>
        </w:rPr>
        <w:t xml:space="preserve"> xr.DataArray(fourier,</w:t>
      </w:r>
      <w:r>
        <w:br/>
      </w:r>
      <w:r>
        <w:rPr>
          <w:rStyle w:val="NormalTok"/>
        </w:rPr>
        <w:t xml:space="preserve">                   dims</w:t>
      </w:r>
      <w:r>
        <w:rPr>
          <w:rStyle w:val="OperatorTok"/>
        </w:rPr>
        <w:t xml:space="preserve">=</w:t>
      </w:r>
      <w:r>
        <w:rPr>
          <w:rStyle w:val="NormalTok"/>
        </w:rPr>
        <w:t xml:space="preserve">(</w:t>
      </w:r>
      <w:r>
        <w:rPr>
          <w:rStyle w:val="StringTok"/>
        </w:rPr>
        <w:t xml:space="preserve">'f'</w:t>
      </w:r>
      <w:r>
        <w:rPr>
          <w:rStyle w:val="NormalTok"/>
        </w:rPr>
        <w:t xml:space="preserve">), coords</w:t>
      </w:r>
      <w:r>
        <w:rPr>
          <w:rStyle w:val="OperatorTok"/>
        </w:rPr>
        <w:t xml:space="preserve">=</w:t>
      </w:r>
      <w:r>
        <w:rPr>
          <w:rStyle w:val="NormalTok"/>
        </w:rPr>
        <w:t xml:space="preserve">{</w:t>
      </w:r>
      <w:r>
        <w:rPr>
          <w:rStyle w:val="StringTok"/>
        </w:rPr>
        <w:t xml:space="preserve">'f'</w:t>
      </w:r>
      <w:r>
        <w:rPr>
          <w:rStyle w:val="NormalTok"/>
        </w:rPr>
        <w:t xml:space="preserve">: freq})</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"Signal périodique"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(fourier).plot.line(color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"Composantes de Fourier (amplitude)"</w:t>
      </w:r>
      <w:r>
        <w:rPr>
          <w:rStyle w:val="NormalTok"/>
        </w:rPr>
        <w:t xml:space="preserve">)</w:t>
      </w:r>
      <w:r>
        <w:br/>
      </w:r>
      <w:r>
        <w:rPr>
          <w:rStyle w:val="NormalTok"/>
        </w:rPr>
        <w:t xml:space="preserve">plt.show()</w:t>
      </w:r>
    </w:p>
    <w:bookmarkEnd w:id="222"/>
    <w:bookmarkStart w:id="223" w:name="filtrage-fréquentielle"/>
    <w:p>
      <w:pPr>
        <w:pStyle w:val="Heading3"/>
      </w:pPr>
      <w:r>
        <w:t xml:space="preserve">5.2.2 Filtrage fréquentielle</w:t>
      </w:r>
    </w:p>
    <w:bookmarkEnd w:id="223"/>
    <w:bookmarkStart w:id="224" w:name="laliasing"/>
    <w:p>
      <w:pPr>
        <w:pStyle w:val="Heading3"/>
      </w:pPr>
      <w:r>
        <w:t xml:space="preserve">5.2.3 L’aliasing</w:t>
      </w:r>
    </w:p>
    <w:p>
      <w:pPr>
        <w:pStyle w:val="FirstParagraph"/>
      </w:pPr>
      <w:r>
        <w:t xml:space="preserve">L’aliasing est un problème fréquent en traitement du signal. Il résulte d’une fréquence d’échantillonnage trop faible par rapport au contenu fréquentielle du signal. Ceci peut se produire lorsque vous sous-échantillonner fortement une image avec un facteur de décimation (par exemple 1 pixel sur 2). En prenant un pixel sur 2, on réduit la fréquence d’échantillonnage d’un facteur 2 ce qui nous impose de réduire le contenu fréquentielle de l’image et donc les fréquences maximales de l’image. L’image présente alors un aspect faussement texturée avec beaucoup de haute fréquences:</w:t>
      </w:r>
    </w:p>
    <w:p>
      <w:pPr>
        <w:pStyle w:val="SourceCode"/>
      </w:pP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img_rgb[:,::</w:t>
      </w:r>
      <w:r>
        <w:rPr>
          <w:rStyle w:val="DecValTok"/>
        </w:rPr>
        <w:t xml:space="preserve">4</w:t>
      </w:r>
      <w:r>
        <w:rPr>
          <w:rStyle w:val="NormalTok"/>
        </w:rPr>
        <w:t xml:space="preserve">,::</w:t>
      </w:r>
      <w:r>
        <w:rPr>
          <w:rStyle w:val="DecValTok"/>
        </w:rPr>
        <w:t xml:space="preserve">4</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FirstParagraph"/>
      </w:pPr>
      <w:r>
        <w:t xml:space="preserve">Une façon de réduire le contenu fréquentiel est de filtrer par un filtre passe-bas pour réduire les hautes fréquences par exemple avec un filtre Gaussien:</w:t>
      </w:r>
    </w:p>
    <w:p>
      <w:pPr>
        <w:pStyle w:val="SourceCode"/>
      </w:pPr>
      <w:r>
        <w:rPr>
          <w:rStyle w:val="ImportTok"/>
        </w:rPr>
        <w:t xml:space="preserve">from</w:t>
      </w:r>
      <w:r>
        <w:rPr>
          <w:rStyle w:val="NormalTok"/>
        </w:rPr>
        <w:t xml:space="preserve"> scipy.ndimage </w:t>
      </w:r>
      <w:r>
        <w:rPr>
          <w:rStyle w:val="ImportTok"/>
        </w:rPr>
        <w:t xml:space="preserve">import</w:t>
      </w:r>
      <w:r>
        <w:rPr>
          <w:rStyle w:val="NormalTok"/>
        </w:rPr>
        <w:t xml:space="preserve"> gaussian_filter</w:t>
      </w:r>
      <w:r>
        <w:br/>
      </w:r>
      <w:r>
        <w:br/>
      </w:r>
      <w:r>
        <w:rPr>
          <w:rStyle w:val="NormalTok"/>
        </w:rPr>
        <w:t xml:space="preserve">q</w:t>
      </w:r>
      <w:r>
        <w:rPr>
          <w:rStyle w:val="OperatorTok"/>
        </w:rPr>
        <w:t xml:space="preserve">=</w:t>
      </w:r>
      <w:r>
        <w:rPr>
          <w:rStyle w:val="NormalTok"/>
        </w:rPr>
        <w:t xml:space="preserve"> </w:t>
      </w:r>
      <w:r>
        <w:rPr>
          <w:rStyle w:val="DecValTok"/>
        </w:rPr>
        <w:t xml:space="preserve">4</w:t>
      </w:r>
      <w:r>
        <w:br/>
      </w:r>
      <w:r>
        <w:rPr>
          <w:rStyle w:val="NormalTok"/>
        </w:rPr>
        <w:t xml:space="preserve">sigma</w:t>
      </w:r>
      <w:r>
        <w:rPr>
          <w:rStyle w:val="OperatorTok"/>
        </w:rPr>
        <w:t xml:space="preserve">=</w:t>
      </w:r>
      <w:r>
        <w:rPr>
          <w:rStyle w:val="NormalTok"/>
        </w:rPr>
        <w:t xml:space="preserve"> q</w:t>
      </w:r>
      <w:r>
        <w:rPr>
          <w:rStyle w:val="OperatorTok"/>
        </w:rPr>
        <w:t xml:space="preserve">*</w:t>
      </w:r>
      <w:r>
        <w:rPr>
          <w:rStyle w:val="FloatTok"/>
        </w:rPr>
        <w:t xml:space="preserve">1.1774</w:t>
      </w:r>
      <w:r>
        <w:rPr>
          <w:rStyle w:val="OperatorTok"/>
        </w:rPr>
        <w:t xml:space="preserve">/</w:t>
      </w:r>
      <w:r>
        <w:rPr>
          <w:rStyle w:val="NormalTok"/>
        </w:rPr>
        <w:t xml:space="preserve">math.pi</w:t>
      </w:r>
      <w:r>
        <w:br/>
      </w:r>
      <w:r>
        <w:rPr>
          <w:rStyle w:val="NormalTok"/>
        </w:rPr>
        <w:t xml:space="preserve">arr </w:t>
      </w:r>
      <w:r>
        <w:rPr>
          <w:rStyle w:val="OperatorTok"/>
        </w:rPr>
        <w:t xml:space="preserve">=</w:t>
      </w:r>
      <w:r>
        <w:rPr>
          <w:rStyle w:val="NormalTok"/>
        </w:rPr>
        <w:t xml:space="preserve"> xr.DataArray(gaussian_filter(img_rgb.to_numpy(), sigma</w:t>
      </w:r>
      <w:r>
        <w:rPr>
          <w:rStyle w:val="OperatorTok"/>
        </w:rPr>
        <w:t xml:space="preserve">=</w:t>
      </w:r>
      <w:r>
        <w:rPr>
          <w:rStyle w:val="NormalTok"/>
        </w:rPr>
        <w:t xml:space="preserve"> (</w:t>
      </w:r>
      <w:r>
        <w:rPr>
          <w:rStyle w:val="DecValTok"/>
        </w:rPr>
        <w:t xml:space="preserve">0</w:t>
      </w:r>
      <w:r>
        <w:rPr>
          <w:rStyle w:val="NormalTok"/>
        </w:rPr>
        <w:t xml:space="preserve">,sigma,sigma)), dims</w:t>
      </w:r>
      <w:r>
        <w:rPr>
          <w:rStyle w:val="OperatorTok"/>
        </w:rPr>
        <w:t xml:space="preserve">=</w:t>
      </w:r>
      <w:r>
        <w:rPr>
          <w:rStyle w:val="NormalTok"/>
        </w:rPr>
        <w:t xml:space="preserve">(</w:t>
      </w:r>
      <w:r>
        <w:rPr>
          <w:rStyle w:val="StringTok"/>
        </w:rPr>
        <w:t xml:space="preserve">'band'</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arr[:,::q,::q].astype(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SourceCode"/>
      </w:pPr>
      <w:r>
        <w:rPr>
          <w:rStyle w:val="ImportTok"/>
        </w:rPr>
        <w:t xml:space="preserve">import</w:t>
      </w:r>
      <w:r>
        <w:rPr>
          <w:rStyle w:val="NormalTok"/>
        </w:rPr>
        <w:t xml:space="preserve"> xrscipy.signal </w:t>
      </w:r>
      <w:r>
        <w:rPr>
          <w:rStyle w:val="ImportTok"/>
        </w:rPr>
        <w:t xml:space="preserve">as</w:t>
      </w:r>
      <w:r>
        <w:rPr>
          <w:rStyle w:val="NormalTok"/>
        </w:rPr>
        <w:t xml:space="preserve"> dsp</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dsp.decimate(img_rgb, q</w:t>
      </w:r>
      <w:r>
        <w:rPr>
          <w:rStyle w:val="OperatorTok"/>
        </w:rPr>
        <w:t xml:space="preserve">=</w:t>
      </w:r>
      <w:r>
        <w:rPr>
          <w:rStyle w:val="DecValTok"/>
        </w:rPr>
        <w:t xml:space="preserve">4</w:t>
      </w:r>
      <w:r>
        <w:rPr>
          <w:rStyle w:val="NormalTok"/>
        </w:rPr>
        <w:t xml:space="preserve">, dim</w:t>
      </w:r>
      <w:r>
        <w:rPr>
          <w:rStyle w:val="OperatorTok"/>
        </w:rPr>
        <w:t xml:space="preserve">=</w:t>
      </w:r>
      <w:r>
        <w:rPr>
          <w:rStyle w:val="StringTok"/>
        </w:rPr>
        <w:t xml:space="preserve">'x'</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p>
    <w:bookmarkEnd w:id="224"/>
    <w:bookmarkEnd w:id="225"/>
    <w:bookmarkStart w:id="240" w:name="filtrage-dimage"/>
    <w:p>
      <w:pPr>
        <w:pStyle w:val="Heading2"/>
      </w:pPr>
      <w:r>
        <w:t xml:space="preserve">5.3 Filtrage d’image</w:t>
      </w:r>
    </w:p>
    <w:p>
      <w:pPr>
        <w:pStyle w:val="FirstParagraph"/>
      </w:pPr>
      <w:r>
        <w:t xml:space="preserve">Le filtrage d’image a plusieurs objectifs en télédétection:</w:t>
      </w:r>
    </w:p>
    <w:p>
      <w:pPr>
        <w:numPr>
          <w:ilvl w:val="0"/>
          <w:numId w:val="1030"/>
        </w:numPr>
      </w:pPr>
      <w:r>
        <w:t xml:space="preserve">La réduction du bruit afin d’améliorer la résolution radiométrique et améliorer la lisibilité de l’image.</w:t>
      </w:r>
    </w:p>
    <w:p>
      <w:pPr>
        <w:numPr>
          <w:ilvl w:val="0"/>
          <w:numId w:val="1030"/>
        </w:numPr>
      </w:pPr>
      <w:r>
        <w:t xml:space="preserve">Le réhaussement de l’image afin d’améliorer le contraste ou faire ressortir les contours.</w:t>
      </w:r>
    </w:p>
    <w:p>
      <w:pPr>
        <w:numPr>
          <w:ilvl w:val="0"/>
          <w:numId w:val="1030"/>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31"/>
        </w:numPr>
      </w:pPr>
      <w:r>
        <w:t xml:space="preserve">Le filtrage peut-être global ou local, c.à.d prendre en compte toute l’image pour filtrer (ex: filtrage par Fourier) ou seulement localement avec une fenêtre ou un voisinage local.</w:t>
      </w:r>
    </w:p>
    <w:p>
      <w:pPr>
        <w:numPr>
          <w:ilvl w:val="0"/>
          <w:numId w:val="1031"/>
        </w:numPr>
      </w:pPr>
      <w:r>
        <w:t xml:space="preserve">La fonction de filtrage peut-être linéaire ou non linéaire.</w:t>
      </w:r>
    </w:p>
    <w:p>
      <w:pPr>
        <w:numPr>
          <w:ilvl w:val="0"/>
          <w:numId w:val="1031"/>
        </w:numPr>
      </w:pPr>
      <w:r>
        <w:t xml:space="preserve">La fonction de filtrage peut être stationnaire ou adaptative</w:t>
      </w:r>
    </w:p>
    <w:p>
      <w:pPr>
        <w:numPr>
          <w:ilvl w:val="0"/>
          <w:numId w:val="1031"/>
        </w:numPr>
      </w:pPr>
      <w:r>
        <w:t xml:space="preserve">Le filtrage peut-être mono-échelle ou multi-échelles</w:t>
      </w:r>
    </w:p>
    <w:p>
      <w:pPr>
        <w:pStyle w:val="FirstParagraph"/>
      </w:pPr>
      <w:r>
        <w:t xml:space="preserve">La librairie Scipy (</w:t>
      </w:r>
      <w:hyperlink r:id="rId226">
        <w:r>
          <w:rPr>
            <w:rStyle w:val="Hyperlink"/>
          </w:rPr>
          <w:t xml:space="preserve">Multidimensional image processing (scipy.ndimage)</w:t>
        </w:r>
      </w:hyperlink>
      <w:r>
        <w:t xml:space="preserve">) contient une panoplie complète de filtres.</w:t>
      </w:r>
    </w:p>
    <w:bookmarkStart w:id="237"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8" name="Picture"/>
                  <a:graphic>
                    <a:graphicData uri="http://schemas.openxmlformats.org/drawingml/2006/picture">
                      <pic:pic>
                        <pic:nvPicPr>
                          <pic:cNvPr descr="/opt/quarto/share/formats/docx/note.png" id="229" name="Picture"/>
                          <pic:cNvPicPr>
                            <a:picLocks noChangeArrowheads="1" noChangeAspect="1"/>
                          </pic:cNvPicPr>
                        </pic:nvPicPr>
                        <pic:blipFill>
                          <a:blip r:embed="rId2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oMath>
      </m:oMathPara>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30" name="Picture"/>
                  <a:graphic>
                    <a:graphicData uri="http://schemas.openxmlformats.org/drawingml/2006/picture">
                      <pic:pic>
                        <pic:nvPicPr>
                          <pic:cNvPr descr="/opt/quarto/share/formats/docx/note.png" id="231" name="Picture"/>
                          <pic:cNvPicPr>
                            <a:picLocks noChangeArrowheads="1" noChangeAspect="1"/>
                          </pic:cNvPicPr>
                        </pic:nvPicPr>
                        <pic:blipFill>
                          <a:blip r:embed="rId2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33"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 Prenons l’exemple du filtre de Scharr</w:t>
      </w:r>
      <w:r>
        <w:t xml:space="preserve"> </w:t>
      </w:r>
      <w:r>
        <w:t xml:space="preserve">(Jahne et S. 1999)</w:t>
      </w:r>
      <w:r>
        <w:t xml:space="preserve">, ce filtre permet de détecter les contours horizontaux et verticaux:</w:t>
      </w:r>
    </w:p>
    <w:p>
      <w:pPr>
        <w:pStyle w:val="BodyText"/>
      </w:pPr>
      <m:oMathPara>
        <m:oMathParaPr>
          <m:jc m:val="center"/>
        </m:oMathParaPr>
        <m:oMath>
          <m:r>
            <m:t>F</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rPr>
                        <m:sty m:val="p"/>
                      </m:rPr>
                      <m:t>−</m:t>
                    </m:r>
                    <m:r>
                      <m:t>3</m:t>
                    </m:r>
                    <m:r>
                      <m:rPr>
                        <m:sty m:val="p"/>
                      </m:rPr>
                      <m:t>−</m:t>
                    </m:r>
                    <m:r>
                      <m:t>3</m:t>
                    </m:r>
                    <m:r>
                      <m:t>j</m:t>
                    </m:r>
                  </m:e>
                  <m:e>
                    <m:r>
                      <m:t>0</m:t>
                    </m:r>
                    <m:r>
                      <m:rPr>
                        <m:sty m:val="p"/>
                      </m:rPr>
                      <m:t>−</m:t>
                    </m:r>
                    <m:r>
                      <m:t>10</m:t>
                    </m:r>
                    <m:r>
                      <m:t>j</m:t>
                    </m:r>
                  </m:e>
                  <m:e>
                    <m:r>
                      <m:rPr>
                        <m:sty m:val="p"/>
                      </m:rPr>
                      <m:t>+</m:t>
                    </m:r>
                    <m:r>
                      <m:t>3</m:t>
                    </m:r>
                    <m:r>
                      <m:rPr>
                        <m:sty m:val="p"/>
                      </m:rPr>
                      <m:t>−</m:t>
                    </m:r>
                    <m:r>
                      <m:t>3</m:t>
                    </m:r>
                    <m:r>
                      <m:t>j</m:t>
                    </m:r>
                  </m:e>
                </m:mr>
                <m:mr>
                  <m:e>
                    <m:r>
                      <m:rPr>
                        <m:sty m:val="p"/>
                      </m:rPr>
                      <m:t>−</m:t>
                    </m:r>
                    <m:r>
                      <m:t>10</m:t>
                    </m:r>
                    <m:r>
                      <m:rPr>
                        <m:sty m:val="p"/>
                      </m:rPr>
                      <m:t>+</m:t>
                    </m:r>
                    <m:r>
                      <m:t>0</m:t>
                    </m:r>
                    <m:r>
                      <m:t>j</m:t>
                    </m:r>
                  </m:e>
                  <m:e>
                    <m:r>
                      <m:t>0</m:t>
                    </m:r>
                    <m:r>
                      <m:rPr>
                        <m:sty m:val="p"/>
                      </m:rPr>
                      <m:t>+</m:t>
                    </m:r>
                    <m:r>
                      <m:t>0</m:t>
                    </m:r>
                    <m:r>
                      <m:t>j</m:t>
                    </m:r>
                  </m:e>
                  <m:e>
                    <m:r>
                      <m:rPr>
                        <m:sty m:val="p"/>
                      </m:rPr>
                      <m:t>+</m:t>
                    </m:r>
                    <m:r>
                      <m:t>10</m:t>
                    </m:r>
                    <m:r>
                      <m:rPr>
                        <m:sty m:val="p"/>
                      </m:rPr>
                      <m:t>+</m:t>
                    </m:r>
                    <m:r>
                      <m:t>0</m:t>
                    </m:r>
                    <m:r>
                      <m:t>j</m:t>
                    </m:r>
                  </m:e>
                </m:mr>
                <m:mr>
                  <m:e>
                    <m:r>
                      <m:rPr>
                        <m:sty m:val="p"/>
                      </m:rPr>
                      <m:t>−</m:t>
                    </m:r>
                    <m:r>
                      <m:t>3</m:t>
                    </m:r>
                    <m:r>
                      <m:rPr>
                        <m:sty m:val="p"/>
                      </m:rPr>
                      <m:t>+</m:t>
                    </m:r>
                    <m:r>
                      <m:t>3</m:t>
                    </m:r>
                    <m:r>
                      <m:t>j</m:t>
                    </m:r>
                  </m:e>
                  <m:e>
                    <m:r>
                      <m:t>0</m:t>
                    </m:r>
                    <m:r>
                      <m:rPr>
                        <m:sty m:val="p"/>
                      </m:rPr>
                      <m:t>+</m:t>
                    </m:r>
                    <m:r>
                      <m:t>10</m:t>
                    </m:r>
                    <m:r>
                      <m:t>j</m:t>
                    </m:r>
                  </m:e>
                  <m:e>
                    <m:r>
                      <m:rPr>
                        <m:sty m:val="p"/>
                      </m:rPr>
                      <m:t>+</m:t>
                    </m:r>
                    <m:r>
                      <m:t>3</m:t>
                    </m:r>
                    <m:r>
                      <m:rPr>
                        <m:sty m:val="p"/>
                      </m:rPr>
                      <m:t>+</m:t>
                    </m:r>
                    <m:r>
                      <m:t>3</m:t>
                    </m:r>
                    <m:r>
                      <m:t>j</m:t>
                    </m:r>
                  </m:e>
                </m:mr>
              </m:m>
            </m:e>
          </m:d>
        </m:oMath>
      </m:oMathPara>
    </w:p>
    <w:p>
      <w:pPr>
        <w:pStyle w:val="FirstParagraph"/>
      </w:pPr>
      <w:r>
        <w:t xml:space="preserve">Remarquez l’utilisation de chiffres complexes afin de passer deux filtres différents sur la partie réelle et imaginaire.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Start w:id="232" w:name="gestion-des-bordures"/>
    <w:p>
      <w:pPr>
        <w:pStyle w:val="Heading5"/>
      </w:pPr>
      <w:r>
        <w:t xml:space="preserve">5.3.1.1.1 Gestion des bordures</w:t>
      </w:r>
    </w:p>
    <w:bookmarkEnd w:id="232"/>
    <w:bookmarkEnd w:id="233"/>
    <w:bookmarkStart w:id="236" w:name="filtrage-par-une-couche-convolutionnelle"/>
    <w:p>
      <w:pPr>
        <w:pStyle w:val="Heading4"/>
      </w:pPr>
      <w:r>
        <w:t xml:space="preserve">5.3.1.2 Filtrage par une couche convolutionnelle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34" name="Picture"/>
                  <a:graphic>
                    <a:graphicData uri="http://schemas.openxmlformats.org/drawingml/2006/picture">
                      <pic:pic>
                        <pic:nvPicPr>
                          <pic:cNvPr descr="/opt/quarto/share/formats/docx/important.png" id="23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Cette section nécessite la librairie Pytorch avec un GPU et ne fonctionnera que sur Colab.</w:t>
            </w:r>
          </w:p>
        </w:tc>
      </w:tr>
    </w:tbl>
    <w:p>
      <w:pPr>
        <w:pStyle w:val="BodyText"/>
      </w:pPr>
      <w:r>
        <w:t xml:space="preserve">Une couche convolutionnelle est simplement un ensemble de filtres appliqués sur la donnée d’entrée. Ce type de filtrage est à la base des réseaux dits convolutionnels qui seront abordés dans le tome 2.</w:t>
      </w:r>
    </w:p>
    <w:p>
      <w:pPr>
        <w:pStyle w:val="SourceCode"/>
      </w:pPr>
      <w:r>
        <w:rPr>
          <w:rStyle w:val="ImportTok"/>
        </w:rPr>
        <w:t xml:space="preserve">import</w:t>
      </w:r>
      <w:r>
        <w:rPr>
          <w:rStyle w:val="NormalTok"/>
        </w:rPr>
        <w:t xml:space="preserve"> torch</w:t>
      </w:r>
      <w:r>
        <w:br/>
      </w:r>
      <w:r>
        <w:rPr>
          <w:rStyle w:val="ImportTok"/>
        </w:rPr>
        <w:t xml:space="preserve">import</w:t>
      </w:r>
      <w:r>
        <w:rPr>
          <w:rStyle w:val="NormalTok"/>
        </w:rPr>
        <w:t xml:space="preserve"> torch.nn </w:t>
      </w:r>
      <w:r>
        <w:rPr>
          <w:rStyle w:val="ImportTok"/>
        </w:rPr>
        <w:t xml:space="preserve">as</w:t>
      </w:r>
      <w:r>
        <w:rPr>
          <w:rStyle w:val="NormalTok"/>
        </w:rPr>
        <w:t xml:space="preserve"> nn</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normalized_img</w:t>
      </w:r>
      <w:r>
        <w:rPr>
          <w:rStyle w:val="OperatorTok"/>
        </w:rPr>
        <w:t xml:space="preserve">=</w:t>
      </w:r>
      <w:r>
        <w:rPr>
          <w:rStyle w:val="NormalTok"/>
        </w:rPr>
        <w:t xml:space="preserve"> torch.tensor(img_rgb.to_numpy())</w:t>
      </w:r>
      <w:r>
        <w:br/>
      </w:r>
      <w:r>
        <w:rPr>
          <w:rStyle w:val="NormalTok"/>
        </w:rPr>
        <w:t xml:space="preserve">nchannels</w:t>
      </w:r>
      <w:r>
        <w:rPr>
          <w:rStyle w:val="OperatorTok"/>
        </w:rPr>
        <w:t xml:space="preserve">=</w:t>
      </w:r>
      <w:r>
        <w:rPr>
          <w:rStyle w:val="NormalTok"/>
        </w:rPr>
        <w:t xml:space="preserve"> normalized_img.size()[</w:t>
      </w:r>
      <w:r>
        <w:rPr>
          <w:rStyle w:val="DecValTok"/>
        </w:rPr>
        <w:t xml:space="preserve">0</w:t>
      </w:r>
      <w:r>
        <w:rPr>
          <w:rStyle w:val="NormalTok"/>
        </w:rPr>
        <w:t xml:space="preserve">] </w:t>
      </w:r>
      <w:r>
        <w:rPr>
          <w:rStyle w:val="CommentTok"/>
        </w:rPr>
        <w:t xml:space="preserve"># nombre de canaux de l'image</w:t>
      </w:r>
      <w:r>
        <w:br/>
      </w:r>
      <w:r>
        <w:br/>
      </w:r>
      <w:r>
        <w:rPr>
          <w:rStyle w:val="CommentTok"/>
        </w:rPr>
        <w:t xml:space="preserve"># Define a conv2d layer</w:t>
      </w:r>
      <w:r>
        <w:br/>
      </w:r>
      <w:r>
        <w:rPr>
          <w:rStyle w:val="NormalTok"/>
        </w:rPr>
        <w:t xml:space="preserve">conv_layer </w:t>
      </w:r>
      <w:r>
        <w:rPr>
          <w:rStyle w:val="OperatorTok"/>
        </w:rPr>
        <w:t xml:space="preserve">=</w:t>
      </w:r>
      <w:r>
        <w:rPr>
          <w:rStyle w:val="NormalTok"/>
        </w:rPr>
        <w:t xml:space="preserve"> nn.Conv2d(in_channels</w:t>
      </w:r>
      <w:r>
        <w:rPr>
          <w:rStyle w:val="OperatorTok"/>
        </w:rPr>
        <w:t xml:space="preserve">=</w:t>
      </w:r>
      <w:r>
        <w:rPr>
          <w:rStyle w:val="NormalTok"/>
        </w:rPr>
        <w:t xml:space="preserve"> nchannels, out_channels</w:t>
      </w:r>
      <w:r>
        <w:rPr>
          <w:rStyle w:val="OperatorTok"/>
        </w:rPr>
        <w:t xml:space="preserve">=</w:t>
      </w:r>
      <w:r>
        <w:rPr>
          <w:rStyle w:val="DecValTok"/>
        </w:rPr>
        <w:t xml:space="preserve">2</w:t>
      </w:r>
      <w:r>
        <w:rPr>
          <w:rStyle w:val="NormalTok"/>
        </w:rPr>
        <w:t xml:space="preserve">, kernel_size</w:t>
      </w:r>
      <w:r>
        <w:rPr>
          <w:rStyle w:val="OperatorTok"/>
        </w:rPr>
        <w:t xml:space="preserve">=</w:t>
      </w:r>
      <w:r>
        <w:rPr>
          <w:rStyle w:val="DecValTok"/>
        </w:rPr>
        <w:t xml:space="preserve">3</w:t>
      </w:r>
      <w:r>
        <w:rPr>
          <w:rStyle w:val="NormalTok"/>
        </w:rPr>
        <w:t xml:space="preserve">, padding</w:t>
      </w:r>
      <w:r>
        <w:rPr>
          <w:rStyle w:val="OperatorTok"/>
        </w:rPr>
        <w:t xml:space="preserve">=</w:t>
      </w:r>
      <w:r>
        <w:rPr>
          <w:rStyle w:val="DecValTok"/>
        </w:rPr>
        <w:t xml:space="preserve">1</w:t>
      </w:r>
      <w:r>
        <w:rPr>
          <w:rStyle w:val="NormalTok"/>
        </w:rPr>
        <w:t xml:space="preserve">, stride</w:t>
      </w:r>
      <w:r>
        <w:rPr>
          <w:rStyle w:val="OperatorTok"/>
        </w:rPr>
        <w:t xml:space="preserve">=</w:t>
      </w:r>
      <w:r>
        <w:rPr>
          <w:rStyle w:val="DecValTok"/>
        </w:rPr>
        <w:t xml:space="preserve">1</w:t>
      </w:r>
      <w:r>
        <w:rPr>
          <w:rStyle w:val="NormalTok"/>
        </w:rPr>
        <w:t xml:space="preserve">, dilation</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Filtre de Sobel</w:t>
      </w:r>
      <w:r>
        <w:br/>
      </w:r>
      <w:r>
        <w:rPr>
          <w:rStyle w:val="NormalTok"/>
        </w:rPr>
        <w:t xml:space="preserve">sobel_x </w:t>
      </w:r>
      <w:r>
        <w:rPr>
          <w:rStyle w:val="OperatorTok"/>
        </w:rPr>
        <w:t xml:space="preserve">=</w:t>
      </w:r>
      <w:r>
        <w:rPr>
          <w:rStyle w:val="NormalTok"/>
        </w:rPr>
        <w:t xml:space="preserve"> np.array([[</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OperatorTok"/>
        </w:rPr>
        <w:t xml:space="preserve">-</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sobel_y </w:t>
      </w:r>
      <w:r>
        <w:rPr>
          <w:rStyle w:val="OperatorTok"/>
        </w:rPr>
        <w:t xml:space="preserve">=</w:t>
      </w:r>
      <w:r>
        <w:rPr>
          <w:rStyle w:val="NormalTok"/>
        </w:rPr>
        <w:t xml:space="preserve"> np.array([[</w:t>
      </w:r>
      <w:r>
        <w:rPr>
          <w:rStyle w:val="OperatorTok"/>
        </w:rPr>
        <w:t xml:space="preserve">-</w:t>
      </w:r>
      <w:r>
        <w:rPr>
          <w:rStyle w:val="DecValTok"/>
        </w:rPr>
        <w:t xml:space="preserve">1</w:t>
      </w:r>
      <w:r>
        <w:rPr>
          <w:rStyle w:val="NormalTok"/>
        </w:rPr>
        <w:t xml:space="preserve">, </w:t>
      </w:r>
      <w:r>
        <w:rPr>
          <w:rStyle w:val="OperatorTok"/>
        </w:rPr>
        <w:t xml:space="preserve">-</w:t>
      </w:r>
      <w:r>
        <w:rPr>
          <w:rStyle w:val="DecValTok"/>
        </w:rPr>
        <w:t xml:space="preserve">2</w:t>
      </w:r>
      <w:r>
        <w:rPr>
          <w:rStyle w:val="NormalTok"/>
        </w:rPr>
        <w:t xml:space="preserve">, </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br/>
      </w:r>
      <w:r>
        <w:rPr>
          <w:rStyle w:val="NormalTok"/>
        </w:rPr>
        <w:t xml:space="preserve">kernel </w:t>
      </w:r>
      <w:r>
        <w:rPr>
          <w:rStyle w:val="OperatorTok"/>
        </w:rPr>
        <w:t xml:space="preserve">=</w:t>
      </w:r>
      <w:r>
        <w:rPr>
          <w:rStyle w:val="NormalTok"/>
        </w:rPr>
        <w:t xml:space="preserve"> np.stack([sobel_x, sobel_y])</w:t>
      </w:r>
      <w:r>
        <w:br/>
      </w:r>
      <w:r>
        <w:rPr>
          <w:rStyle w:val="NormalTok"/>
        </w:rPr>
        <w:t xml:space="preserve">kernel </w:t>
      </w:r>
      <w:r>
        <w:rPr>
          <w:rStyle w:val="OperatorTok"/>
        </w:rPr>
        <w:t xml:space="preserve">=</w:t>
      </w:r>
      <w:r>
        <w:rPr>
          <w:rStyle w:val="NormalTok"/>
        </w:rPr>
        <w:t xml:space="preserve"> kernel.reshape(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br/>
      </w:r>
      <w:r>
        <w:br/>
      </w:r>
      <w:r>
        <w:rPr>
          <w:rStyle w:val="NormalTok"/>
        </w:rPr>
        <w:t xml:space="preserve">kernel </w:t>
      </w:r>
      <w:r>
        <w:rPr>
          <w:rStyle w:val="OperatorTok"/>
        </w:rPr>
        <w:t xml:space="preserve">=</w:t>
      </w:r>
      <w:r>
        <w:rPr>
          <w:rStyle w:val="NormalTok"/>
        </w:rPr>
        <w:t xml:space="preserve"> np.tile(kernel,(</w:t>
      </w:r>
      <w:r>
        <w:rPr>
          <w:rStyle w:val="DecValTok"/>
        </w:rPr>
        <w:t xml:space="preserve">1</w:t>
      </w:r>
      <w:r>
        <w:rPr>
          <w:rStyle w:val="NormalTok"/>
        </w:rPr>
        <w:t xml:space="preserve">,nchannels,</w:t>
      </w:r>
      <w:r>
        <w:rPr>
          <w:rStyle w:val="DecValTok"/>
        </w:rPr>
        <w:t xml:space="preserve">1</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(kernel.shape)</w:t>
      </w:r>
      <w:r>
        <w:br/>
      </w:r>
      <w:r>
        <w:rPr>
          <w:rStyle w:val="NormalTok"/>
        </w:rPr>
        <w:t xml:space="preserve">kernel </w:t>
      </w:r>
      <w:r>
        <w:rPr>
          <w:rStyle w:val="OperatorTok"/>
        </w:rPr>
        <w:t xml:space="preserve">=</w:t>
      </w:r>
      <w:r>
        <w:rPr>
          <w:rStyle w:val="NormalTok"/>
        </w:rPr>
        <w:t xml:space="preserve"> torch.as_tensor(kernel,dtype</w:t>
      </w:r>
      <w:r>
        <w:rPr>
          <w:rStyle w:val="OperatorTok"/>
        </w:rPr>
        <w:t xml:space="preserve">=</w:t>
      </w:r>
      <w:r>
        <w:rPr>
          <w:rStyle w:val="NormalTok"/>
        </w:rPr>
        <w:t xml:space="preserve">torch.float32)</w:t>
      </w:r>
      <w:r>
        <w:br/>
      </w:r>
      <w:r>
        <w:rPr>
          <w:rStyle w:val="NormalTok"/>
        </w:rPr>
        <w:t xml:space="preserve">conv_layer.weight </w:t>
      </w:r>
      <w:r>
        <w:rPr>
          <w:rStyle w:val="OperatorTok"/>
        </w:rPr>
        <w:t xml:space="preserve">=</w:t>
      </w:r>
      <w:r>
        <w:rPr>
          <w:rStyle w:val="NormalTok"/>
        </w:rPr>
        <w:t xml:space="preserve"> nn.Parameter(kernel)</w:t>
      </w:r>
      <w:r>
        <w:br/>
      </w:r>
      <w:r>
        <w:rPr>
          <w:rStyle w:val="NormalTok"/>
        </w:rPr>
        <w:t xml:space="preserve">conv_layer.bias </w:t>
      </w:r>
      <w:r>
        <w:rPr>
          <w:rStyle w:val="OperatorTok"/>
        </w:rPr>
        <w:t xml:space="preserve">=</w:t>
      </w:r>
      <w:r>
        <w:rPr>
          <w:rStyle w:val="NormalTok"/>
        </w:rPr>
        <w:t xml:space="preserve"> nn.Parameter(torch.zeros(</w:t>
      </w:r>
      <w:r>
        <w:rPr>
          <w:rStyle w:val="DecValTok"/>
        </w:rPr>
        <w:t xml:space="preserve">2</w:t>
      </w:r>
      <w:r>
        <w:rPr>
          <w:rStyle w:val="NormalTok"/>
        </w:rPr>
        <w:t xml:space="preserve">,))</w:t>
      </w:r>
      <w:r>
        <w:br/>
      </w:r>
      <w:r>
        <w:br/>
      </w:r>
      <w:r>
        <w:rPr>
          <w:rStyle w:val="BuiltInTok"/>
        </w:rPr>
        <w:t xml:space="preserve">input</w:t>
      </w:r>
      <w:r>
        <w:rPr>
          <w:rStyle w:val="OperatorTok"/>
        </w:rPr>
        <w:t xml:space="preserve">=</w:t>
      </w:r>
      <w:r>
        <w:rPr>
          <w:rStyle w:val="NormalTok"/>
        </w:rPr>
        <w:t xml:space="preserve"> normalized_img.unsqueeze(</w:t>
      </w:r>
      <w:r>
        <w:rPr>
          <w:rStyle w:val="DecValTok"/>
        </w:rPr>
        <w:t xml:space="preserve">0</w:t>
      </w:r>
      <w:r>
        <w:rPr>
          <w:rStyle w:val="NormalTok"/>
        </w:rPr>
        <w:t xml:space="preserve">) </w:t>
      </w:r>
      <w:r>
        <w:rPr>
          <w:rStyle w:val="CommentTok"/>
        </w:rPr>
        <w:t xml:space="preserve"># il faut ajouter une dimension pour le nombre d'échantillons</w:t>
      </w:r>
      <w:r>
        <w:br/>
      </w:r>
      <w:r>
        <w:rPr>
          <w:rStyle w:val="BuiltInTok"/>
        </w:rPr>
        <w:t xml:space="preserve">print</w:t>
      </w:r>
      <w:r>
        <w:rPr>
          <w:rStyle w:val="NormalTok"/>
        </w:rPr>
        <w:t xml:space="preserve">(</w:t>
      </w:r>
      <w:r>
        <w:rPr>
          <w:rStyle w:val="BuiltInTok"/>
        </w:rPr>
        <w:t xml:space="preserve">input</w:t>
      </w:r>
      <w:r>
        <w:rPr>
          <w:rStyle w:val="NormalTok"/>
        </w:rPr>
        <w:t xml:space="preserve">.shape)</w:t>
      </w:r>
      <w:r>
        <w:br/>
      </w:r>
      <w:r>
        <w:rPr>
          <w:rStyle w:val="CommentTok"/>
        </w:rPr>
        <w:t xml:space="preserve"># Visualize the filters</w:t>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w:t>
      </w:r>
      <w:r>
        <w:br/>
      </w:r>
      <w:r>
        <w:rPr>
          <w:rStyle w:val="NormalTok"/>
        </w:rPr>
        <w:t xml:space="preserve">    axs[i].imshow(conv_layer.weight.data.numpy()[i, </w:t>
      </w:r>
      <w:r>
        <w:rPr>
          <w:rStyle w:val="DecValTok"/>
        </w:rPr>
        <w:t xml:space="preserve">0</w:t>
      </w:r>
      <w:r>
        <w:rPr>
          <w:rStyle w:val="NormalTok"/>
        </w:rPr>
        <w:t xml:space="preserve">])</w:t>
      </w:r>
      <w:r>
        <w:br/>
      </w:r>
      <w:r>
        <w:rPr>
          <w:rStyle w:val="NormalTok"/>
        </w:rPr>
        <w:t xml:space="preserve">    axs[i].set_title(</w:t>
      </w:r>
      <w:r>
        <w:rPr>
          <w:rStyle w:val="SpecialStringTok"/>
        </w:rPr>
        <w:t xml:space="preserve">f'Filter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w:t>
      </w:r>
      <w:r>
        <w:rPr>
          <w:rStyle w:val="NormalTok"/>
        </w:rPr>
        <w:t xml:space="preserve">)</w:t>
      </w:r>
      <w:r>
        <w:br/>
      </w:r>
      <w:r>
        <w:rPr>
          <w:rStyle w:val="NormalTok"/>
        </w:rPr>
        <w:t xml:space="preserve">plt.show()</w:t>
      </w:r>
    </w:p>
    <w:p>
      <w:pPr>
        <w:pStyle w:val="SourceCode"/>
      </w:pPr>
      <w:r>
        <w:rPr>
          <w:rStyle w:val="ImportTok"/>
        </w:rPr>
        <w:t xml:space="preserve">import</w:t>
      </w:r>
      <w:r>
        <w:rPr>
          <w:rStyle w:val="NormalTok"/>
        </w:rPr>
        <w:t xml:space="preserve"> torch</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CommentTok"/>
        </w:rPr>
        <w:t xml:space="preserve"># Forward pass</w:t>
      </w:r>
      <w:r>
        <w:br/>
      </w:r>
      <w:r>
        <w:rPr>
          <w:rStyle w:val="NormalTok"/>
        </w:rPr>
        <w:t xml:space="preserve">output </w:t>
      </w:r>
      <w:r>
        <w:rPr>
          <w:rStyle w:val="OperatorTok"/>
        </w:rPr>
        <w:t xml:space="preserve">=</w:t>
      </w:r>
      <w:r>
        <w:rPr>
          <w:rStyle w:val="NormalTok"/>
        </w:rPr>
        <w:t xml:space="preserve"> conv_layer(</w:t>
      </w:r>
      <w:r>
        <w:rPr>
          <w:rStyle w:val="BuiltInTok"/>
        </w:rPr>
        <w:t xml:space="preserve">input</w:t>
      </w:r>
      <w:r>
        <w:rPr>
          <w:rStyle w:val="NormalTok"/>
        </w:rPr>
        <w:t xml:space="preserve">)</w:t>
      </w:r>
      <w:r>
        <w:br/>
      </w:r>
      <w:r>
        <w:rPr>
          <w:rStyle w:val="BuiltInTok"/>
        </w:rPr>
        <w:t xml:space="preserve">print</w:t>
      </w:r>
      <w:r>
        <w:rPr>
          <w:rStyle w:val="NormalTok"/>
        </w:rPr>
        <w:t xml:space="preserve">(</w:t>
      </w:r>
      <w:r>
        <w:rPr>
          <w:rStyle w:val="SpecialStringTok"/>
        </w:rPr>
        <w:t xml:space="preserve">f'Input shape (BxCxHxW): </w:t>
      </w:r>
      <w:r>
        <w:rPr>
          <w:rStyle w:val="SpecialCharTok"/>
        </w:rPr>
        <w:t xml:space="preserve">{</w:t>
      </w:r>
      <w:r>
        <w:rPr>
          <w:rStyle w:val="BuiltInTok"/>
        </w:rPr>
        <w:t xml:space="preserve">input</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f'Output shape (BxFxHxW): </w:t>
      </w:r>
      <w:r>
        <w:rPr>
          <w:rStyle w:val="SpecialCharTok"/>
        </w:rPr>
        <w:t xml:space="preserve">{</w:t>
      </w:r>
      <w:r>
        <w:rPr>
          <w:rStyle w:val="NormalTok"/>
        </w:rPr>
        <w:t xml:space="preserve">output</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w:t>
      </w:r>
      <w:r>
        <w:br/>
      </w:r>
      <w:r>
        <w:rPr>
          <w:rStyle w:val="NormalTok"/>
        </w:rPr>
        <w:t xml:space="preserve">    axs[i].imshow(output.detach().data.numpy()[</w:t>
      </w:r>
      <w:r>
        <w:rPr>
          <w:rStyle w:val="DecValTok"/>
        </w:rPr>
        <w:t xml:space="preserve">0</w:t>
      </w:r>
      <w:r>
        <w:rPr>
          <w:rStyle w:val="NormalTok"/>
        </w:rPr>
        <w:t xml:space="preserve">,i], vmin</w:t>
      </w:r>
      <w:r>
        <w:rPr>
          <w:rStyle w:val="OperatorTok"/>
        </w:rPr>
        <w:t xml:space="preserve">=-</w:t>
      </w:r>
      <w:r>
        <w:rPr>
          <w:rStyle w:val="DecValTok"/>
        </w:rPr>
        <w:t xml:space="preserve">1</w:t>
      </w:r>
      <w:r>
        <w:rPr>
          <w:rStyle w:val="NormalTok"/>
        </w:rPr>
        <w:t xml:space="preserve">, vmax</w:t>
      </w:r>
      <w:r>
        <w:rPr>
          <w:rStyle w:val="OperatorTok"/>
        </w:rPr>
        <w:t xml:space="preserve">=</w:t>
      </w:r>
      <w:r>
        <w:rPr>
          <w:rStyle w:val="DecValTok"/>
        </w:rPr>
        <w:t xml:space="preserve">1</w:t>
      </w:r>
      <w:r>
        <w:rPr>
          <w:rStyle w:val="NormalTok"/>
        </w:rPr>
        <w:t xml:space="preserve">)</w:t>
      </w:r>
      <w:r>
        <w:br/>
      </w:r>
      <w:r>
        <w:rPr>
          <w:rStyle w:val="NormalTok"/>
        </w:rPr>
        <w:t xml:space="preserve">    axs[i].set_title(</w:t>
      </w:r>
      <w:r>
        <w:rPr>
          <w:rStyle w:val="SpecialStringTok"/>
        </w:rPr>
        <w:t xml:space="preserve">f'Filter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w:t>
      </w:r>
      <w:r>
        <w:rPr>
          <w:rStyle w:val="NormalTok"/>
        </w:rPr>
        <w:t xml:space="preserve">)</w:t>
      </w:r>
      <w:r>
        <w:br/>
      </w:r>
      <w:r>
        <w:rPr>
          <w:rStyle w:val="NormalTok"/>
        </w:rPr>
        <w:t xml:space="preserve">plt.show()</w:t>
      </w:r>
    </w:p>
    <w:bookmarkEnd w:id="236"/>
    <w:bookmarkEnd w:id="237"/>
    <w:bookmarkStart w:id="239"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 Ce type de filtre est très utilisé pour filtrer les images SAR (Synthetic Aperture Radar) qui sont dégradées par un bruit multiplicatif que l’on appelle</w:t>
      </w:r>
      <w:r>
        <w:t xml:space="preserve"> </w:t>
      </w:r>
      <w:r>
        <w:rPr>
          <w:i/>
          <w:iCs/>
        </w:rPr>
        <w:t xml:space="preserve">speckle</w:t>
      </w:r>
      <w:r>
        <w:t xml:space="preserve">. On peut voir un exemple d’une image Sentinel-1 (bande HH) sur la région de Montréal, remarquée que l’image est affichée en dB en appliquant la fonction</w:t>
      </w:r>
      <w:r>
        <w:t xml:space="preserve"> </w:t>
      </w:r>
      <w:r>
        <w:rPr>
          <w:rStyle w:val="VerbatimChar"/>
        </w:rPr>
        <w:t xml:space="preserve">log10</w:t>
      </w:r>
      <w:r>
        <w:t xml:space="preserve">.</w:t>
      </w:r>
    </w:p>
    <w:p>
      <w:pPr>
        <w:pStyle w:val="SourceCode"/>
      </w:pPr>
      <w:r>
        <w:rPr>
          <w:rStyle w:val="BuiltInTok"/>
        </w:rPr>
        <w:t xml:space="preserve">print</w:t>
      </w:r>
      <w:r>
        <w:rPr>
          <w:rStyle w:val="NormalTok"/>
        </w:rPr>
        <w:t xml:space="preserve">(img_SAR.rio.resolution())</w:t>
      </w:r>
      <w:r>
        <w:br/>
      </w:r>
      <w:r>
        <w:rPr>
          <w:rStyle w:val="BuiltInTok"/>
        </w:rPr>
        <w:t xml:space="preserve">print</w:t>
      </w:r>
      <w:r>
        <w:rPr>
          <w:rStyle w:val="NormalTok"/>
        </w:rPr>
        <w:t xml:space="preserve">(img_SAR.rio.crs)</w:t>
      </w:r>
      <w:r>
        <w:br/>
      </w:r>
      <w:r>
        <w:rPr>
          <w:rStyle w:val="CommentTok"/>
        </w:rPr>
        <w:t xml:space="preserve">#img_SAR.sel(band=2).drop("band").imshow()</w:t>
      </w:r>
      <w:r>
        <w:br/>
      </w:r>
      <w:r>
        <w:rPr>
          <w:rStyle w:val="NormalTok"/>
        </w:rPr>
        <w:t xml:space="preserve">xr.ufuncs.log10(img_SAR.sel(band</w:t>
      </w:r>
      <w:r>
        <w:rPr>
          <w:rStyle w:val="OperatorTok"/>
        </w:rPr>
        <w:t xml:space="preserve">=</w:t>
      </w:r>
      <w:r>
        <w:rPr>
          <w:rStyle w:val="DecValTok"/>
        </w:rPr>
        <w:t xml:space="preserve">1</w:t>
      </w:r>
      <w:r>
        <w:rPr>
          <w:rStyle w:val="NormalTok"/>
        </w:rPr>
        <w:t xml:space="preserve">).drop(</w:t>
      </w:r>
      <w:r>
        <w:rPr>
          <w:rStyle w:val="StringTok"/>
        </w:rPr>
        <w:t xml:space="preserve">"band"</w:t>
      </w:r>
      <w:r>
        <w:rPr>
          <w:rStyle w:val="NormalTok"/>
        </w:rPr>
        <w:t xml:space="preserve">)).plot()</w:t>
      </w:r>
    </w:p>
    <w:p>
      <w:pPr>
        <w:pStyle w:val="FirstParagraph"/>
      </w:pPr>
      <w:r>
        <w:t xml:space="preserve">Un des filtres les plus simples pour réduire le bruit est d’appliquer un filtre moyenne, par exemple un</w:t>
      </w:r>
      <w:r>
        <w:t xml:space="preserve"> </w:t>
      </w:r>
      <m:oMath>
        <m:r>
          <m:t>5</m:t>
        </m:r>
        <m:r>
          <m:t>x</m:t>
        </m:r>
        <m:r>
          <m:t>5</m:t>
        </m:r>
      </m:oMath>
      <w:r>
        <w:t xml:space="preserve"> </w:t>
      </w:r>
      <w:r>
        <w:t xml:space="preserve">ci dessous:</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xr.ufuncs.log10(filtre_moyen).plot.imshow()</w:t>
      </w:r>
    </w:p>
    <w:p>
      <w:pPr>
        <w:pStyle w:val="FirstParagraph"/>
      </w:pPr>
      <w:r>
        <w:t xml:space="preserve">Au lieu d’appliquer un filtre moyen de manière indiscriminée, le filtre de Lee</w:t>
      </w:r>
      <w:r>
        <w:t xml:space="preserve"> </w:t>
      </w:r>
      <w:r>
        <w:t xml:space="preserve">(Lee 1986)</w:t>
      </w:r>
      <w:r>
        <w:t xml:space="preserve"> </w:t>
      </w:r>
      <w:r>
        <w:t xml:space="preserve">applique une pondération en fonction du contenu local de l’image</w:t>
      </w:r>
      <w:r>
        <w:t xml:space="preserve"> </w:t>
      </w:r>
      <m:oMath>
        <m:r>
          <m:t>I</m:t>
        </m:r>
      </m:oMath>
      <w:r>
        <w:t xml:space="preserve"> </w:t>
      </w:r>
      <w:r>
        <w:t xml:space="preserve">dans sa forme la plus simple:</w:t>
      </w:r>
    </w:p>
    <w:p>
      <w:pPr>
        <w:pStyle w:val="BodyText"/>
      </w:pPr>
      <w:bookmarkStart w:id="238" w:name="eq-lee-filter"/>
      <m:oMathPara>
        <m:oMathParaPr>
          <m:jc m:val="center"/>
        </m:oMathParaPr>
        <m:oMath>
          <m:m>
            <m:mPr>
              <m:baseJc m:val="center"/>
              <m:plcHide m:val="on"/>
              <m:mcs>
                <m:mc>
                  <m:mcPr>
                    <m:mcJc m:val="right"/>
                    <m:count m:val="1"/>
                  </m:mcPr>
                </m:mc>
                <m:mc>
                  <m:mcPr>
                    <m:mcJc m:val="left"/>
                    <m:count m:val="1"/>
                  </m:mcPr>
                </m:mc>
              </m:mcs>
            </m:mPr>
            <m:mr>
              <m:e>
                <m:sSub>
                  <m:e>
                    <m:r>
                      <m:t>I</m:t>
                    </m:r>
                  </m:e>
                  <m:sub>
                    <m:r>
                      <m:t>F</m:t>
                    </m:r>
                  </m:sub>
                </m:sSub>
              </m:e>
              <m:e>
                <m:r>
                  <m:rPr>
                    <m:sty m:val="p"/>
                  </m:rPr>
                  <m:t>=</m:t>
                </m:r>
                <m:sSub>
                  <m:e>
                    <m:r>
                      <m:t>I</m:t>
                    </m:r>
                  </m:e>
                  <m:sub>
                    <m:r>
                      <m:t>M</m:t>
                    </m:r>
                  </m:sub>
                </m:sSub>
                <m:r>
                  <m:rPr>
                    <m:sty m:val="p"/>
                  </m:rPr>
                  <m:t>+</m:t>
                </m:r>
                <m:r>
                  <m:t>K</m:t>
                </m:r>
                <m:r>
                  <m:rPr>
                    <m:sty m:val="p"/>
                  </m:rPr>
                  <m:t>×</m:t>
                </m:r>
                <m:d>
                  <m:dPr>
                    <m:begChr m:val="("/>
                    <m:endChr m:val=")"/>
                    <m:sepChr m:val=""/>
                    <m:grow/>
                  </m:dPr>
                  <m:e>
                    <m:r>
                      <m:t>I</m:t>
                    </m:r>
                    <m:r>
                      <m:rPr>
                        <m:sty m:val="p"/>
                      </m:rPr>
                      <m:t>−</m:t>
                    </m:r>
                    <m:sSub>
                      <m:e>
                        <m:r>
                          <m:t>I</m:t>
                        </m:r>
                      </m:e>
                      <m:sub>
                        <m:r>
                          <m:t>M</m:t>
                        </m:r>
                      </m:sub>
                    </m:sSub>
                  </m:e>
                </m:d>
              </m:e>
            </m:mr>
            <m:mr>
              <m:e>
                <m:r>
                  <m:t>K</m:t>
                </m:r>
              </m:e>
              <m:e>
                <m:r>
                  <m:rPr>
                    <m:sty m:val="p"/>
                  </m:rPr>
                  <m:t>=</m:t>
                </m:r>
                <m:f>
                  <m:fPr>
                    <m:type m:val="bar"/>
                  </m:fPr>
                  <m:num>
                    <m:sSubSup>
                      <m:e>
                        <m:r>
                          <m:t>σ</m:t>
                        </m:r>
                      </m:e>
                      <m:sub>
                        <m:r>
                          <m:t>I</m:t>
                        </m:r>
                      </m:sub>
                      <m:sup>
                        <m:r>
                          <m:t>2</m:t>
                        </m:r>
                      </m:sup>
                    </m:sSubSup>
                  </m:num>
                  <m:den>
                    <m:sSubSup>
                      <m:e>
                        <m:r>
                          <m:t>σ</m:t>
                        </m:r>
                      </m:e>
                      <m:sub>
                        <m:r>
                          <m:t>I</m:t>
                        </m:r>
                      </m:sub>
                      <m:sup>
                        <m:r>
                          <m:t>2</m:t>
                        </m:r>
                      </m:sup>
                    </m:sSubSup>
                    <m:r>
                      <m:rPr>
                        <m:sty m:val="p"/>
                      </m:rPr>
                      <m:t>+</m:t>
                    </m:r>
                    <m:sSubSup>
                      <m:e>
                        <m:r>
                          <m:t>σ</m:t>
                        </m:r>
                      </m:e>
                      <m:sub>
                        <m:r>
                          <m:t>b</m:t>
                        </m:r>
                        <m:r>
                          <m:t>r</m:t>
                        </m:r>
                        <m:r>
                          <m:t>u</m:t>
                        </m:r>
                        <m:r>
                          <m:t>i</m:t>
                        </m:r>
                        <m:r>
                          <m:t>t</m:t>
                        </m:r>
                      </m:sub>
                      <m:sup>
                        <m:r>
                          <m:t>2</m:t>
                        </m:r>
                      </m:sup>
                    </m:sSubSup>
                  </m:den>
                </m:f>
              </m:e>
            </m:mr>
          </m:m>
          <m:r>
            <m:t>  </m:t>
          </m:r>
          <m:d>
            <m:dPr>
              <m:begChr m:val="("/>
              <m:endChr m:val=")"/>
              <m:sepChr m:val=""/>
              <m:grow/>
            </m:dPr>
            <m:e>
              <m:r>
                <m:t>5.1</m:t>
              </m:r>
            </m:e>
          </m:d>
        </m:oMath>
      </m:oMathPara>
      <w:bookmarkEnd w:id="238"/>
    </w:p>
    <w:p>
      <w:pPr>
        <w:pStyle w:val="FirstParagraph"/>
      </w:pPr>
      <w:r>
        <w:t xml:space="preserve">Ainsi si la variance locale est élevée</w:t>
      </w:r>
      <w:r>
        <w:t xml:space="preserve"> </w:t>
      </w:r>
      <m:oMath>
        <m:r>
          <m:t>K</m:t>
        </m:r>
      </m:oMath>
      <w:r>
        <w:t xml:space="preserve"> </w:t>
      </w:r>
      <w:r>
        <w:t xml:space="preserve">s’approche de</w:t>
      </w:r>
      <w:r>
        <w:t xml:space="preserve"> </w:t>
      </w:r>
      <m:oMath>
        <m:r>
          <m:t>1</m:t>
        </m:r>
      </m:oMath>
      <w:r>
        <w:t xml:space="preserve"> </w:t>
      </w:r>
      <w:r>
        <w:t xml:space="preserve">préservant ainsi les détails de l’image sinon l’image moyenne</w:t>
      </w:r>
      <w:r>
        <w:t xml:space="preserve"> </w:t>
      </w:r>
      <m:oMath>
        <m:sSub>
          <m:e>
            <m:r>
              <m:t>I</m:t>
            </m:r>
          </m:e>
          <m:sub>
            <m:r>
              <m:t>M</m:t>
            </m:r>
          </m:sub>
        </m:sSub>
      </m:oMath>
      <w:r>
        <w:t xml:space="preserve"> </w:t>
      </w:r>
      <w:r>
        <w:t xml:space="preserve">est appliquée.</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ecart_type</w:t>
      </w:r>
      <w:r>
        <w:rPr>
          <w:rStyle w:val="OperatorTok"/>
        </w:rPr>
        <w:t xml:space="preserve">=</w:t>
      </w:r>
      <w:r>
        <w:rPr>
          <w:rStyle w:val="NormalTok"/>
        </w:rPr>
        <w:t xml:space="preserve"> rolling_win.std(dim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cv</w:t>
      </w:r>
      <w:r>
        <w:rPr>
          <w:rStyle w:val="OperatorTok"/>
        </w:rPr>
        <w:t xml:space="preserve">=</w:t>
      </w:r>
      <w:r>
        <w:rPr>
          <w:rStyle w:val="NormalTok"/>
        </w:rPr>
        <w:t xml:space="preserve"> ecart_type</w:t>
      </w:r>
      <w:r>
        <w:rPr>
          <w:rStyle w:val="OperatorTok"/>
        </w:rPr>
        <w:t xml:space="preserve">/</w:t>
      </w:r>
      <w:r>
        <w:rPr>
          <w:rStyle w:val="NormalTok"/>
        </w:rPr>
        <w:t xml:space="preserve">filtre_moyen</w:t>
      </w:r>
      <w:r>
        <w:br/>
      </w:r>
      <w:r>
        <w:rPr>
          <w:rStyle w:val="NormalTok"/>
        </w:rPr>
        <w:t xml:space="preserve">ponderation </w:t>
      </w:r>
      <w:r>
        <w:rPr>
          <w:rStyle w:val="OperatorTok"/>
        </w:rPr>
        <w:t xml:space="preserve">=</w:t>
      </w:r>
      <w:r>
        <w:rPr>
          <w:rStyle w:val="NormalTok"/>
        </w:rPr>
        <w:t xml:space="preserve"> (cv </w:t>
      </w:r>
      <w:r>
        <w:rPr>
          <w:rStyle w:val="OperatorTok"/>
        </w:rPr>
        <w:t xml:space="preserve">-</w:t>
      </w:r>
      <w:r>
        <w:rPr>
          <w:rStyle w:val="NormalTok"/>
        </w:rPr>
        <w:t xml:space="preserve"> </w:t>
      </w:r>
      <w:r>
        <w:rPr>
          <w:rStyle w:val="FloatTok"/>
        </w:rPr>
        <w:t xml:space="preserve">0.25</w:t>
      </w:r>
      <w:r>
        <w:rPr>
          <w:rStyle w:val="NormalTok"/>
        </w:rPr>
        <w:t xml:space="preserve">) </w:t>
      </w:r>
      <w:r>
        <w:rPr>
          <w:rStyle w:val="OperatorTok"/>
        </w:rPr>
        <w:t xml:space="preserve">/</w:t>
      </w:r>
      <w:r>
        <w:rPr>
          <w:rStyle w:val="NormalTok"/>
        </w:rPr>
        <w:t xml:space="preserve"> cv</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cv.plot.imshow(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2</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"CV"</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ponderation.plot.imshow(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1</w:t>
      </w:r>
      <w:r>
        <w:rPr>
          <w:rStyle w:val="NormalTok"/>
        </w:rPr>
        <w:t xml:space="preserve">) </w:t>
      </w:r>
      <w:r>
        <w:br/>
      </w:r>
      <w:r>
        <w:rPr>
          <w:rStyle w:val="NormalTok"/>
        </w:rPr>
        <w:t xml:space="preserve">axes[</w:t>
      </w:r>
      <w:r>
        <w:rPr>
          <w:rStyle w:val="DecValTok"/>
        </w:rPr>
        <w:t xml:space="preserve">1</w:t>
      </w:r>
      <w:r>
        <w:rPr>
          <w:rStyle w:val="NormalTok"/>
        </w:rPr>
        <w:t xml:space="preserve">].set_title(</w:t>
      </w:r>
      <w:r>
        <w:rPr>
          <w:rStyle w:val="StringTok"/>
        </w:rPr>
        <w:t xml:space="preserve">"Pondération"</w:t>
      </w:r>
      <w:r>
        <w:rPr>
          <w:rStyle w:val="NormalTok"/>
        </w:rPr>
        <w:t xml:space="preserve">)</w:t>
      </w:r>
    </w:p>
    <w:p>
      <w:pPr>
        <w:pStyle w:val="FirstParagraph"/>
      </w:pPr>
      <w:r>
        <w:t xml:space="preserve">On zoomant sur l’image on peut clairement voir que les détails de l’image sont mieux préservés:</w:t>
      </w:r>
    </w:p>
    <w:bookmarkEnd w:id="239"/>
    <w:bookmarkEnd w:id="240"/>
    <w:bookmarkStart w:id="241" w:name="segmentation"/>
    <w:p>
      <w:pPr>
        <w:pStyle w:val="Heading2"/>
      </w:pPr>
      <w:r>
        <w:t xml:space="preserve">5.4 Segmentation</w:t>
      </w:r>
    </w:p>
    <w:bookmarkEnd w:id="241"/>
    <w:bookmarkStart w:id="242" w:name="vectorisation-et-rasterisation"/>
    <w:p>
      <w:pPr>
        <w:pStyle w:val="Heading2"/>
      </w:pPr>
      <w:r>
        <w:t xml:space="preserve">5.5 Vectorisation et rasterisation</w:t>
      </w:r>
    </w:p>
    <w:bookmarkEnd w:id="242"/>
    <w:bookmarkStart w:id="247" w:name="analyse-de-terrain"/>
    <w:p>
      <w:pPr>
        <w:pStyle w:val="Heading2"/>
      </w:pPr>
      <w:r>
        <w:t xml:space="preserve">5.6 Analyse de terrain</w:t>
      </w:r>
    </w:p>
    <w:bookmarkStart w:id="243" w:name="élévation"/>
    <w:p>
      <w:pPr>
        <w:pStyle w:val="Heading3"/>
      </w:pPr>
      <w:r>
        <w:t xml:space="preserve">5.6.1 Élévation</w:t>
      </w:r>
    </w:p>
    <w:bookmarkEnd w:id="243"/>
    <w:bookmarkStart w:id="244" w:name="pente"/>
    <w:p>
      <w:pPr>
        <w:pStyle w:val="Heading3"/>
      </w:pPr>
      <w:r>
        <w:t xml:space="preserve">5.6.2 Pente</w:t>
      </w:r>
    </w:p>
    <w:bookmarkEnd w:id="244"/>
    <w:bookmarkStart w:id="245" w:name="ombrage"/>
    <w:p>
      <w:pPr>
        <w:pStyle w:val="Heading3"/>
      </w:pPr>
      <w:r>
        <w:t xml:space="preserve">5.6.3 Ombrage</w:t>
      </w:r>
    </w:p>
    <w:bookmarkEnd w:id="245"/>
    <w:bookmarkStart w:id="246" w:name="visibilité"/>
    <w:p>
      <w:pPr>
        <w:pStyle w:val="Heading3"/>
      </w:pPr>
      <w:r>
        <w:t xml:space="preserve">5.6.4 Visibilité</w:t>
      </w:r>
    </w:p>
    <w:bookmarkEnd w:id="246"/>
    <w:bookmarkEnd w:id="247"/>
    <w:bookmarkStart w:id="248" w:name="quiz-de-révision-du-chapitre-3"/>
    <w:p>
      <w:pPr>
        <w:pStyle w:val="Heading2"/>
      </w:pPr>
      <w:r>
        <w:t xml:space="preserve">5.7 Quiz de révision du chapitre</w:t>
      </w:r>
    </w:p>
    <w:bookmarkEnd w:id="248"/>
    <w:bookmarkStart w:id="249" w:name="exercices-de-révision-3"/>
    <w:p>
      <w:pPr>
        <w:pStyle w:val="Heading2"/>
      </w:pPr>
      <w:r>
        <w:t xml:space="preserve">5.8 Exercices de révision</w:t>
      </w:r>
    </w:p>
    <w:bookmarkEnd w:id="249"/>
    <w:bookmarkEnd w:id="250"/>
    <w:bookmarkStart w:id="263" w:name="bibliographie"/>
    <w:p>
      <w:pPr>
        <w:pStyle w:val="Heading1"/>
      </w:pPr>
      <w:r>
        <w:t xml:space="preserve">Bibliographie</w:t>
      </w:r>
    </w:p>
    <w:bookmarkStart w:id="262" w:name="refs"/>
    <w:bookmarkStart w:id="252" w:name="ref-Cooley-1965"/>
    <w:p>
      <w:pPr>
        <w:pStyle w:val="Bibliography"/>
      </w:pPr>
      <w:r>
        <w:t xml:space="preserve">Cooley, James W. et John W. Tukey. 1965.</w:t>
      </w:r>
      <w:r>
        <w:t xml:space="preserve"> </w:t>
      </w:r>
      <w:r>
        <w:t xml:space="preserve">« An algorithm for the machine calculation of complex Fourier series. »</w:t>
      </w:r>
      <w:r>
        <w:t xml:space="preserve"> </w:t>
      </w:r>
      <w:r>
        <w:rPr>
          <w:i/>
          <w:iCs/>
        </w:rPr>
        <w:t xml:space="preserve">Math. Comput.</w:t>
      </w:r>
      <w:r>
        <w:t xml:space="preserve">: 297‑301.</w:t>
      </w:r>
      <w:r>
        <w:t xml:space="preserve"> </w:t>
      </w:r>
      <w:hyperlink r:id="rId251">
        <w:r>
          <w:rPr>
            <w:rStyle w:val="Hyperlink"/>
          </w:rPr>
          <w:t xml:space="preserve">https://web.stanford.edu/class/cme324/classics/cooley-tukey.pdf</w:t>
        </w:r>
      </w:hyperlink>
      <w:r>
        <w:t xml:space="preserve">.</w:t>
      </w:r>
    </w:p>
    <w:bookmarkEnd w:id="252"/>
    <w:bookmarkStart w:id="254"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53">
        <w:r>
          <w:rPr>
            <w:rStyle w:val="Hyperlink"/>
          </w:rPr>
          <w:t xml:space="preserve">https://doi.org/10.1038/s41586-020-2649-2</w:t>
        </w:r>
      </w:hyperlink>
      <w:r>
        <w:t xml:space="preserve">.</w:t>
      </w:r>
    </w:p>
    <w:bookmarkEnd w:id="254"/>
    <w:bookmarkStart w:id="256" w:name="ref-xarray-2017"/>
    <w:p>
      <w:pPr>
        <w:pStyle w:val="Bibliography"/>
      </w:pPr>
      <w:r>
        <w:t xml:space="preserve">Hoyer, S. et J. Hamman. 2017.</w:t>
      </w:r>
      <w:r>
        <w:t xml:space="preserve"> </w:t>
      </w:r>
      <w:r>
        <w:t xml:space="preserve">« xarray: N-D labeled Arrays and Datasets in Python. »</w:t>
      </w:r>
      <w:r>
        <w:t xml:space="preserve"> </w:t>
      </w:r>
      <w:r>
        <w:rPr>
          <w:i/>
          <w:iCs/>
        </w:rPr>
        <w:t xml:space="preserve">Journal of Open Research Software</w:t>
      </w:r>
      <w:r>
        <w:t xml:space="preserve"> </w:t>
      </w:r>
      <w:r>
        <w:t xml:space="preserve">5 (1): 10.</w:t>
      </w:r>
      <w:r>
        <w:t xml:space="preserve"> </w:t>
      </w:r>
      <w:hyperlink r:id="rId255">
        <w:r>
          <w:rPr>
            <w:rStyle w:val="Hyperlink"/>
          </w:rPr>
          <w:t xml:space="preserve">https://doi.org/10.5334/jors.148</w:t>
        </w:r>
      </w:hyperlink>
      <w:r>
        <w:t xml:space="preserve">.</w:t>
      </w:r>
    </w:p>
    <w:bookmarkEnd w:id="256"/>
    <w:bookmarkStart w:id="257" w:name="ref-Scharr1999"/>
    <w:p>
      <w:pPr>
        <w:pStyle w:val="Bibliography"/>
      </w:pPr>
      <w:r>
        <w:t xml:space="preserve">Jahne, Scharr, B et Korkel S. 1999.</w:t>
      </w:r>
      <w:r>
        <w:t xml:space="preserve"> </w:t>
      </w:r>
      <w:r>
        <w:rPr>
          <w:i/>
          <w:iCs/>
        </w:rPr>
        <w:t xml:space="preserve">Principles of filter design</w:t>
      </w:r>
      <w:r>
        <w:t xml:space="preserve">. Handbook of Computer Vision; Applications; Academic Press.</w:t>
      </w:r>
    </w:p>
    <w:bookmarkEnd w:id="257"/>
    <w:bookmarkStart w:id="259" w:name="ref-Lee-1986"/>
    <w:p>
      <w:pPr>
        <w:pStyle w:val="Bibliography"/>
      </w:pPr>
      <w:r>
        <w:t xml:space="preserve">Lee, J. S. 1986.</w:t>
      </w:r>
      <w:r>
        <w:t xml:space="preserve"> </w:t>
      </w:r>
      <w:r>
        <w:t xml:space="preserve">« Speckle suppression and analysis for synthetic aperture radar images. »</w:t>
      </w:r>
      <w:r>
        <w:t xml:space="preserve"> </w:t>
      </w:r>
      <w:r>
        <w:rPr>
          <w:i/>
          <w:iCs/>
        </w:rPr>
        <w:t xml:space="preserve">Opt. Eng.</w:t>
      </w:r>
      <w:r>
        <w:t xml:space="preserve"> </w:t>
      </w:r>
      <w:r>
        <w:t xml:space="preserve">25 (5): 636‑643.</w:t>
      </w:r>
      <w:r>
        <w:t xml:space="preserve"> </w:t>
      </w:r>
      <w:hyperlink r:id="rId258">
        <w:r>
          <w:rPr>
            <w:rStyle w:val="Hyperlink"/>
          </w:rPr>
          <w:t xml:space="preserve">https://doi.org/10.1117/12.7973877</w:t>
        </w:r>
      </w:hyperlink>
      <w:r>
        <w:t xml:space="preserve">.</w:t>
      </w:r>
    </w:p>
    <w:bookmarkEnd w:id="259"/>
    <w:bookmarkStart w:id="261" w:name="ref-OGCGeoTIFF"/>
    <w:p>
      <w:pPr>
        <w:pStyle w:val="Bibliography"/>
      </w:pPr>
      <w:r>
        <w:t xml:space="preserve">OGC. 2019.</w:t>
      </w:r>
      <w:r>
        <w:t xml:space="preserve"> </w:t>
      </w:r>
      <w:r>
        <w:t xml:space="preserve">« </w:t>
      </w:r>
      <w:r>
        <w:t xml:space="preserve">OGC GeoTIFF Standard</w:t>
      </w:r>
      <w:r>
        <w:t xml:space="preserve">. »</w:t>
      </w:r>
      <w:r>
        <w:t xml:space="preserve"> </w:t>
      </w:r>
      <w:hyperlink r:id="rId260">
        <w:r>
          <w:rPr>
            <w:rStyle w:val="Hyperlink"/>
          </w:rPr>
          <w:t xml:space="preserve">https://docs.ogc.org/is/19-008r4/19-008r4.html/</w:t>
        </w:r>
      </w:hyperlink>
      <w:r>
        <w:t xml:space="preserve">.</w:t>
      </w:r>
    </w:p>
    <w:bookmarkEnd w:id="261"/>
    <w:bookmarkEnd w:id="262"/>
    <w:bookmarkEnd w:id="2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27" Target="media/rId227.png" /><Relationship Type="http://schemas.openxmlformats.org/officeDocument/2006/relationships/image" Id="rId97" Target="media/rId97.svg" /><Relationship Type="http://schemas.openxmlformats.org/officeDocument/2006/relationships/image" Id="rId160" Target="media/rId160.png" /><Relationship Type="http://schemas.openxmlformats.org/officeDocument/2006/relationships/image" Id="rId145" Target="media/rId145.png" /><Relationship Type="http://schemas.openxmlformats.org/officeDocument/2006/relationships/image" Id="rId135" Target="media/rId135.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7"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8" Target="https://colab.research.google.com/github/sfoucher/TraitementImagesPythonVol1/blob/main/notebooks/02-RehaussementVisualisationImages.ipynb" TargetMode="External" /><Relationship Type="http://schemas.openxmlformats.org/officeDocument/2006/relationships/hyperlink" Id="rId205" Target="https://colab.research.google.com/github/sfoucher/TraitementImagesPythonVol1/blob/main/notebooks/03-TransformationSpectrales.ipynb" TargetMode="External" /><Relationship Type="http://schemas.openxmlformats.org/officeDocument/2006/relationships/hyperlink" Id="rId217" Target="https://colab.research.google.com/github/sfoucher/TraitementImagesPythonVol1/blob/main/notebooks/04-TransformationSpatiales.ipynb" TargetMode="External" /><Relationship Type="http://schemas.openxmlformats.org/officeDocument/2006/relationships/hyperlink" Id="rId107"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60" Target="https://docs.ogc.org/is/19-008r4/19-008r4.html/" TargetMode="External" /><Relationship Type="http://schemas.openxmlformats.org/officeDocument/2006/relationships/hyperlink" Id="rId116" Target="https://docs.opencv.org/4.10.0/index.html" TargetMode="External" /><Relationship Type="http://schemas.openxmlformats.org/officeDocument/2006/relationships/hyperlink" Id="rId144" Target="https://docs.python.org/fr/3/tutorial/introduction.html#lists" TargetMode="External" /><Relationship Type="http://schemas.openxmlformats.org/officeDocument/2006/relationships/hyperlink" Id="rId226" Target="https://docs.scipy.org/doc/scipy/reference/ndimage.html" TargetMode="External" /><Relationship Type="http://schemas.openxmlformats.org/officeDocument/2006/relationships/hyperlink" Id="rId157" Target="https://docs.xarray.dev/en/latest/getting-started-guide/why-xarray.html" TargetMode="External" /><Relationship Type="http://schemas.openxmlformats.org/officeDocument/2006/relationships/hyperlink" Id="rId106" Target="https://docs.xarray.dev/en/stable/" TargetMode="External" /><Relationship Type="http://schemas.openxmlformats.org/officeDocument/2006/relationships/hyperlink" Id="rId253" Target="https://doi.org/10.1038/s41586-020-2649-2" TargetMode="External" /><Relationship Type="http://schemas.openxmlformats.org/officeDocument/2006/relationships/hyperlink" Id="rId258" Target="https://doi.org/10.1117/12.7973877" TargetMode="External" /><Relationship Type="http://schemas.openxmlformats.org/officeDocument/2006/relationships/hyperlink" Id="rId255"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11" Target="https://gdal.org" TargetMode="External" /><Relationship Type="http://schemas.openxmlformats.org/officeDocument/2006/relationships/hyperlink" Id="rId112" Target="https://gdal.org/en/latest/drivers/raster/index.html" TargetMode="External" /><Relationship Type="http://schemas.openxmlformats.org/officeDocument/2006/relationships/hyperlink" Id="rId113" Target="https://gdal.org/en/latest/drivers/raster/jpeg.html#raster-jpeg" TargetMode="External" /><Relationship Type="http://schemas.openxmlformats.org/officeDocument/2006/relationships/hyperlink" Id="rId114" Target="https://gdal.org/en/latest/drivers/raster/png.html#raster-png" TargetMode="External" /><Relationship Type="http://schemas.openxmlformats.org/officeDocument/2006/relationships/hyperlink" Id="rId195"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6"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5"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2" Target="https://numpy.org/" TargetMode="External" /><Relationship Type="http://schemas.openxmlformats.org/officeDocument/2006/relationships/hyperlink" Id="rId140" Target="https://numpy.org/doc/stable/user/basics.types.html" TargetMode="External" /><Relationship Type="http://schemas.openxmlformats.org/officeDocument/2006/relationships/hyperlink" Id="rId103" Target="https://pypi.org/project/opencv-python/" TargetMode="External" /><Relationship Type="http://schemas.openxmlformats.org/officeDocument/2006/relationships/hyperlink" Id="rId31" Target="https://quarto.org/" TargetMode="External" /><Relationship Type="http://schemas.openxmlformats.org/officeDocument/2006/relationships/hyperlink" Id="rId105" Target="https://rasterio.readthedocs.io/en/stable/" TargetMode="External" /><Relationship Type="http://schemas.openxmlformats.org/officeDocument/2006/relationships/hyperlink" Id="rId184" Target="https://rasterio.readthedocs.io/en/stable/api/rasterio.io.html#rasterio.io.BufferedDatasetWriter.stats" TargetMode="External" /><Relationship Type="http://schemas.openxmlformats.org/officeDocument/2006/relationships/hyperlink" Id="rId130" Target="https://rasterio.readthedocs.io/en/stable/cli.html#info" TargetMode="External" /><Relationship Type="http://schemas.openxmlformats.org/officeDocument/2006/relationships/hyperlink" Id="rId104" Target="https://scikit-image.org/" TargetMode="External" /><Relationship Type="http://schemas.openxmlformats.org/officeDocument/2006/relationships/hyperlink" Id="rId101" Target="https://scipy.org/" TargetMode="External" /><Relationship Type="http://schemas.openxmlformats.org/officeDocument/2006/relationships/hyperlink" Id="rId251"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4"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7"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8" Target="https://colab.research.google.com/github/sfoucher/TraitementImagesPythonVol1/blob/main/notebooks/02-RehaussementVisualisationImages.ipynb" TargetMode="External" /><Relationship Type="http://schemas.openxmlformats.org/officeDocument/2006/relationships/hyperlink" Id="rId205" Target="https://colab.research.google.com/github/sfoucher/TraitementImagesPythonVol1/blob/main/notebooks/03-TransformationSpectrales.ipynb" TargetMode="External" /><Relationship Type="http://schemas.openxmlformats.org/officeDocument/2006/relationships/hyperlink" Id="rId217" Target="https://colab.research.google.com/github/sfoucher/TraitementImagesPythonVol1/blob/main/notebooks/04-TransformationSpatiales.ipynb" TargetMode="External" /><Relationship Type="http://schemas.openxmlformats.org/officeDocument/2006/relationships/hyperlink" Id="rId107"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60" Target="https://docs.ogc.org/is/19-008r4/19-008r4.html/" TargetMode="External" /><Relationship Type="http://schemas.openxmlformats.org/officeDocument/2006/relationships/hyperlink" Id="rId116" Target="https://docs.opencv.org/4.10.0/index.html" TargetMode="External" /><Relationship Type="http://schemas.openxmlformats.org/officeDocument/2006/relationships/hyperlink" Id="rId144" Target="https://docs.python.org/fr/3/tutorial/introduction.html#lists" TargetMode="External" /><Relationship Type="http://schemas.openxmlformats.org/officeDocument/2006/relationships/hyperlink" Id="rId226" Target="https://docs.scipy.org/doc/scipy/reference/ndimage.html" TargetMode="External" /><Relationship Type="http://schemas.openxmlformats.org/officeDocument/2006/relationships/hyperlink" Id="rId157" Target="https://docs.xarray.dev/en/latest/getting-started-guide/why-xarray.html" TargetMode="External" /><Relationship Type="http://schemas.openxmlformats.org/officeDocument/2006/relationships/hyperlink" Id="rId106" Target="https://docs.xarray.dev/en/stable/" TargetMode="External" /><Relationship Type="http://schemas.openxmlformats.org/officeDocument/2006/relationships/hyperlink" Id="rId253" Target="https://doi.org/10.1038/s41586-020-2649-2" TargetMode="External" /><Relationship Type="http://schemas.openxmlformats.org/officeDocument/2006/relationships/hyperlink" Id="rId258" Target="https://doi.org/10.1117/12.7973877" TargetMode="External" /><Relationship Type="http://schemas.openxmlformats.org/officeDocument/2006/relationships/hyperlink" Id="rId255"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11" Target="https://gdal.org" TargetMode="External" /><Relationship Type="http://schemas.openxmlformats.org/officeDocument/2006/relationships/hyperlink" Id="rId112" Target="https://gdal.org/en/latest/drivers/raster/index.html" TargetMode="External" /><Relationship Type="http://schemas.openxmlformats.org/officeDocument/2006/relationships/hyperlink" Id="rId113" Target="https://gdal.org/en/latest/drivers/raster/jpeg.html#raster-jpeg" TargetMode="External" /><Relationship Type="http://schemas.openxmlformats.org/officeDocument/2006/relationships/hyperlink" Id="rId114" Target="https://gdal.org/en/latest/drivers/raster/png.html#raster-png" TargetMode="External" /><Relationship Type="http://schemas.openxmlformats.org/officeDocument/2006/relationships/hyperlink" Id="rId195"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6"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5"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2" Target="https://numpy.org/" TargetMode="External" /><Relationship Type="http://schemas.openxmlformats.org/officeDocument/2006/relationships/hyperlink" Id="rId140" Target="https://numpy.org/doc/stable/user/basics.types.html" TargetMode="External" /><Relationship Type="http://schemas.openxmlformats.org/officeDocument/2006/relationships/hyperlink" Id="rId103" Target="https://pypi.org/project/opencv-python/" TargetMode="External" /><Relationship Type="http://schemas.openxmlformats.org/officeDocument/2006/relationships/hyperlink" Id="rId31" Target="https://quarto.org/" TargetMode="External" /><Relationship Type="http://schemas.openxmlformats.org/officeDocument/2006/relationships/hyperlink" Id="rId105" Target="https://rasterio.readthedocs.io/en/stable/" TargetMode="External" /><Relationship Type="http://schemas.openxmlformats.org/officeDocument/2006/relationships/hyperlink" Id="rId184" Target="https://rasterio.readthedocs.io/en/stable/api/rasterio.io.html#rasterio.io.BufferedDatasetWriter.stats" TargetMode="External" /><Relationship Type="http://schemas.openxmlformats.org/officeDocument/2006/relationships/hyperlink" Id="rId130" Target="https://rasterio.readthedocs.io/en/stable/cli.html#info" TargetMode="External" /><Relationship Type="http://schemas.openxmlformats.org/officeDocument/2006/relationships/hyperlink" Id="rId104" Target="https://scikit-image.org/" TargetMode="External" /><Relationship Type="http://schemas.openxmlformats.org/officeDocument/2006/relationships/hyperlink" Id="rId101" Target="https://scipy.org/" TargetMode="External" /><Relationship Type="http://schemas.openxmlformats.org/officeDocument/2006/relationships/hyperlink" Id="rId251"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4"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Samuel Foucher; Philippe Apparicio; Yacine Bouroubi; Mickaël Germain</dc:creator>
  <dc:language>fr</dc:language>
  <cp:keywords/>
  <dcterms:created xsi:type="dcterms:W3CDTF">2025-01-12T21:06:46Z</dcterms:created>
  <dcterms:modified xsi:type="dcterms:W3CDTF">2025-01-12T21:06:46Z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2025-01-12</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