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24.png" ContentType="image/png"/>
  <Override PartName="/word/media/rId97.svg" ContentType="image/svg+xml"/>
  <Override PartName="/word/media/rId145.png" ContentType="image/png"/>
  <Override PartName="/word/media/rId135.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2025-01-12</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Samuel Foucher, Apparicio Philippe, Mickaël Germain, Yacine Bouroubi et Étienne Clabaut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p>
    <w:tbl>
      <w:tblPr>
        <w:tblStyle w:val="Table"/>
        <w:tblW w:type="pct" w:w="5000"/>
        <w:tblLayout w:type="fixed"/>
        <w:tblLook w:firstRow="0" w:lastRow="0" w:firstColumn="0" w:lastColumn="0" w:noHBand="0" w:noVBand="0" w:val="0000"/>
      </w:tblPr>
      <w:tblGrid>
        <w:gridCol w:w="7920"/>
      </w:tblGrid>
      <w:tr>
        <w:tc>
          <w:tcPr/>
          <w:bookmarkStart w:id="85" w:name="fig-jupyterlab"/>
          <w:p>
            <w:pPr>
              <w:pStyle w:val="Compact"/>
              <w:jc w:val="center"/>
            </w:pPr>
            <w:r>
              <w:drawing>
                <wp:inline>
                  <wp:extent cx="5334000" cy="3853355"/>
                  <wp:effectExtent b="0" l="0" r="0" t="0"/>
                  <wp:docPr descr=""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La librairie NumPy est le fondement de nombreuses librairies scientifiques (d’après</w:t>
            </w:r>
            <w:r>
              <w:t xml:space="preserve"> </w:t>
            </w:r>
            <w:r>
              <w:t xml:space="preserve">(Harris 2020)</w:t>
            </w:r>
            <w:r>
              <w:t xml:space="preserve">).</w:t>
            </w:r>
          </w:p>
          <w:bookmarkEnd w:id="85"/>
        </w:tc>
      </w:tr>
    </w:tbl>
    <w:bookmarkEnd w:id="86"/>
    <w:bookmarkEnd w:id="87"/>
    <w:bookmarkStart w:id="91"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Start w:id="88" w:name="les-listes"/>
    <w:p>
      <w:pPr>
        <w:pStyle w:val="Heading3"/>
      </w:pPr>
      <w:r>
        <w:t xml:space="preserve">1.4.1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End w:id="88"/>
    <w:bookmarkStart w:id="89" w:name="les-tuples"/>
    <w:p>
      <w:pPr>
        <w:pStyle w:val="Heading3"/>
      </w:pPr>
      <w:r>
        <w:t xml:space="preserve">1.4.2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1.4.3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1.5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1.6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1.7 Quiz de révision du chapitre</w:t>
      </w:r>
    </w:p>
    <w:bookmarkEnd w:id="94"/>
    <w:bookmarkStart w:id="95" w:name="sec-016"/>
    <w:p>
      <w:pPr>
        <w:pStyle w:val="Heading2"/>
      </w:pPr>
      <w:r>
        <w:t xml:space="preserve">1.8 Cahier de révision (notebook)</w:t>
      </w:r>
    </w:p>
    <w:bookmarkEnd w:id="95"/>
    <w:bookmarkEnd w:id="96"/>
    <w:bookmarkStart w:id="172" w:name="sec-chap01"/>
    <w:p>
      <w:pPr>
        <w:pStyle w:val="Heading1"/>
      </w:pPr>
      <w:r>
        <w:t xml:space="preserve">2. Importation et manipulation de données spatiales</w:t>
      </w:r>
    </w:p>
    <w:bookmarkStart w:id="110"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8"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hyperlink r:id="rId101">
        <w:r>
          <w:rPr>
            <w:rStyle w:val="Hyperlink"/>
          </w:rPr>
          <w:t xml:space="preserve">SciPy -</w:t>
        </w:r>
      </w:hyperlink>
    </w:p>
    <w:p>
      <w:pPr>
        <w:numPr>
          <w:ilvl w:val="0"/>
          <w:numId w:val="1022"/>
        </w:numPr>
      </w:pPr>
      <w:hyperlink r:id="rId102">
        <w:r>
          <w:rPr>
            <w:rStyle w:val="Hyperlink"/>
          </w:rPr>
          <w:t xml:space="preserve">NumPy -</w:t>
        </w:r>
      </w:hyperlink>
    </w:p>
    <w:p>
      <w:pPr>
        <w:numPr>
          <w:ilvl w:val="0"/>
          <w:numId w:val="1022"/>
        </w:numPr>
      </w:pPr>
      <w:hyperlink r:id="rId103">
        <w:r>
          <w:rPr>
            <w:rStyle w:val="Hyperlink"/>
          </w:rPr>
          <w:t xml:space="preserve">opencv-python · PyPI</w:t>
        </w:r>
      </w:hyperlink>
    </w:p>
    <w:p>
      <w:pPr>
        <w:numPr>
          <w:ilvl w:val="0"/>
          <w:numId w:val="1022"/>
        </w:numPr>
      </w:pPr>
      <w:hyperlink r:id="rId104">
        <w:r>
          <w:rPr>
            <w:rStyle w:val="Hyperlink"/>
          </w:rPr>
          <w:t xml:space="preserve">scikit-image</w:t>
        </w:r>
      </w:hyperlink>
    </w:p>
    <w:p>
      <w:pPr>
        <w:numPr>
          <w:ilvl w:val="0"/>
          <w:numId w:val="1022"/>
        </w:numPr>
      </w:pPr>
      <w:hyperlink r:id="rId105">
        <w:r>
          <w:rPr>
            <w:rStyle w:val="Hyperlink"/>
          </w:rPr>
          <w:t xml:space="preserve">Rasterio</w:t>
        </w:r>
      </w:hyperlink>
    </w:p>
    <w:p>
      <w:pPr>
        <w:numPr>
          <w:ilvl w:val="0"/>
          <w:numId w:val="1022"/>
        </w:numPr>
      </w:pPr>
      <w:hyperlink r:id="rId106">
        <w:r>
          <w:rPr>
            <w:rStyle w:val="Hyperlink"/>
          </w:rPr>
          <w:t xml:space="preserve">Xarray</w:t>
        </w:r>
      </w:hyperlink>
    </w:p>
    <w:p>
      <w:pPr>
        <w:numPr>
          <w:ilvl w:val="0"/>
          <w:numId w:val="1022"/>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08"/>
    <w:bookmarkStart w:id="109"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09"/>
    <w:bookmarkEnd w:id="110"/>
    <w:bookmarkStart w:id="134" w:name="importation-dimages"/>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11">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2">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9"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12">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3">
        <w:r>
          <w:rPr>
            <w:rStyle w:val="Hyperlink"/>
          </w:rPr>
          <w:t xml:space="preserve">JPEG</w:t>
        </w:r>
      </w:hyperlink>
      <w:r>
        <w:t xml:space="preserve">,</w:t>
      </w:r>
      <w:r>
        <w:t xml:space="preserve"> </w:t>
      </w:r>
      <w:hyperlink r:id="rId114">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3"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5">
        <w:r>
          <w:rPr>
            <w:rStyle w:val="Hyperlink"/>
          </w:rPr>
          <w:t xml:space="preserve">PIL</w:t>
        </w:r>
      </w:hyperlink>
      <w:r>
        <w:t xml:space="preserve"> </w:t>
      </w:r>
      <w:r>
        <w:t xml:space="preserve">ou</w:t>
      </w:r>
      <w:r>
        <w:t xml:space="preserve"> </w:t>
      </w:r>
      <w:hyperlink r:id="rId116">
        <w:r>
          <w:rPr>
            <w:rStyle w:val="Hyperlink"/>
          </w:rPr>
          <w:t xml:space="preserve">OpenCV</w:t>
        </w:r>
      </w:hyperlink>
      <w:r>
        <w:t xml:space="preserve">.</w:t>
      </w:r>
    </w:p>
    <w:bookmarkStart w:id="118"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7"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7"/>
        </w:tc>
      </w:tr>
    </w:tbl>
    <w:bookmarkEnd w:id="118"/>
    <w:bookmarkStart w:id="120" w:name="lecture-avec-la-librairie-opencv"/>
    <w:p>
      <w:pPr>
        <w:pStyle w:val="Heading5"/>
      </w:pPr>
      <w:r>
        <w:t xml:space="preserve">2.2.1.1.2 Lecture avec la librairie OpenCV</w:t>
      </w:r>
    </w:p>
    <w:p>
      <w:pPr>
        <w:pStyle w:val="FirstParagraph"/>
      </w:pPr>
      <w:r>
        <w:t xml:space="preserve">La librairie</w:t>
      </w:r>
      <w:r>
        <w:t xml:space="preserve"> </w:t>
      </w:r>
      <w:hyperlink r:id="rId116">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9"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9"/>
        </w:tc>
      </w:tr>
    </w:tbl>
    <w:bookmarkEnd w:id="120"/>
    <w:bookmarkStart w:id="122"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05">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21"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21"/>
        </w:tc>
      </w:tr>
    </w:tbl>
    <w:bookmarkEnd w:id="122"/>
    <w:bookmarkEnd w:id="123"/>
    <w:bookmarkStart w:id="126"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4">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11">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5"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5"/>
    <w:bookmarkEnd w:id="126"/>
    <w:bookmarkStart w:id="128"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7">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8"/>
    <w:bookmarkEnd w:id="129"/>
    <w:bookmarkStart w:id="133"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30">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31"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31"/>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2"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2"/>
        </w:tc>
      </w:tr>
    </w:tbl>
    <w:bookmarkEnd w:id="133"/>
    <w:bookmarkEnd w:id="134"/>
    <w:bookmarkStart w:id="156" w:name="manipulation-des-images"/>
    <w:p>
      <w:pPr>
        <w:pStyle w:val="Heading2"/>
      </w:pPr>
      <w:r>
        <w:t xml:space="preserve">2.3 Manipulation des images</w:t>
      </w:r>
    </w:p>
    <w:bookmarkStart w:id="139"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2">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fig-naturenumpy1"/>
          <w:p>
            <w:pPr>
              <w:pStyle w:val="Compact"/>
              <w:jc w:val="center"/>
            </w:pPr>
            <w:r>
              <w:drawing>
                <wp:inline>
                  <wp:extent cx="5334000" cy="5010260"/>
                  <wp:effectExtent b="0" l="0" r="0" t="0"/>
                  <wp:docPr descr="" title="" id="136" name="Picture"/>
                  <a:graphic>
                    <a:graphicData uri="http://schemas.openxmlformats.org/drawingml/2006/picture">
                      <pic:pic>
                        <pic:nvPicPr>
                          <pic:cNvPr descr="https://raw.githubusercontent.com/sfoucher/TraitementImagesPythonVol1/refs/heads/main/images/41586_2020_2649_Fig2_HTML.png" id="137" name="Picture"/>
                          <pic:cNvPicPr>
                            <a:picLocks noChangeArrowheads="1" noChangeAspect="1"/>
                          </pic:cNvPicPr>
                        </pic:nvPicPr>
                        <pic:blipFill>
                          <a:blip r:embed="rId135"/>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8"/>
        </w:tc>
      </w:tr>
    </w:tbl>
    <w:bookmarkEnd w:id="139"/>
    <w:bookmarkStart w:id="143"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40">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1"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41"/>
        </w:tc>
      </w:tr>
    </w:tbl>
    <w:tbl>
      <w:tblPr>
        <w:tblStyle w:val="Table"/>
        <w:tblW w:type="pct" w:w="5000"/>
        <w:tblLayout w:type="fixed"/>
        <w:tblLook w:firstRow="0" w:lastRow="0" w:firstColumn="0" w:lastColumn="0" w:noHBand="0" w:noVBand="0" w:val="0000"/>
      </w:tblPr>
      <w:tblGrid>
        <w:gridCol w:w="7920"/>
      </w:tblGrid>
      <w:tr>
        <w:tc>
          <w:tcPr/>
          <w:bookmarkStart w:id="142"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2"/>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3"/>
    <w:bookmarkStart w:id="151"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4">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8" w:name="fig-naturenumpy2"/>
          <w:p>
            <w:pPr>
              <w:pStyle w:val="Compact"/>
              <w:jc w:val="center"/>
            </w:pPr>
            <w:r>
              <w:drawing>
                <wp:inline>
                  <wp:extent cx="5334000" cy="2440342"/>
                  <wp:effectExtent b="0" l="0" r="0" t="0"/>
                  <wp:docPr descr="" title="" id="146" name="Picture"/>
                  <a:graphic>
                    <a:graphicData uri="http://schemas.openxmlformats.org/drawingml/2006/picture">
                      <pic:pic>
                        <pic:nvPicPr>
                          <pic:cNvPr descr="https://raw.githubusercontent.com/sfoucher/TraitementImagesPythonVol1/refs/heads/main/images/41586_2020_2649_Fig1_HTML.png" id="147" name="Picture"/>
                          <pic:cNvPicPr>
                            <a:picLocks noChangeArrowheads="1" noChangeAspect="1"/>
                          </pic:cNvPicPr>
                        </pic:nvPicPr>
                        <pic:blipFill>
                          <a:blip r:embed="rId145"/>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8"/>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9" w:name="exemple-1-calcul-dun-rapport-de-bande"/>
    <w:p>
      <w:pPr>
        <w:pStyle w:val="Heading4"/>
      </w:pPr>
      <w:r>
        <w:t xml:space="preserve">2.3.3.1 Exemple 1: calcul d’un rapport de bande</w:t>
      </w:r>
    </w:p>
    <w:bookmarkEnd w:id="149"/>
    <w:bookmarkStart w:id="150" w:name="Xa95fb8caf71469fc049964e7ef94bab7297c7a6"/>
    <w:p>
      <w:pPr>
        <w:pStyle w:val="Heading4"/>
      </w:pPr>
      <w:r>
        <w:t xml:space="preserve">2.3.3.2 Exemple 2: application d’un filtrage spatial</w:t>
      </w:r>
    </w:p>
    <w:bookmarkEnd w:id="150"/>
    <w:bookmarkEnd w:id="151"/>
    <w:bookmarkStart w:id="153" w:name="mosaïquage-masquage-et-découpage"/>
    <w:p>
      <w:pPr>
        <w:pStyle w:val="Heading3"/>
      </w:pPr>
      <w:r>
        <w:t xml:space="preserve">2.3.4 Mosaïquage, masquage et découpage</w:t>
      </w:r>
    </w:p>
    <w:bookmarkStart w:id="152"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2"/>
    <w:bookmarkEnd w:id="153"/>
    <w:bookmarkStart w:id="154" w:name="changement-de-projection-cartographique"/>
    <w:p>
      <w:pPr>
        <w:pStyle w:val="Heading3"/>
      </w:pPr>
      <w:r>
        <w:t xml:space="preserve">2.3.5 Changement de projection cartographique</w:t>
      </w:r>
    </w:p>
    <w:bookmarkEnd w:id="154"/>
    <w:bookmarkStart w:id="155" w:name="recalage-dimages-et-co-registration"/>
    <w:p>
      <w:pPr>
        <w:pStyle w:val="Heading3"/>
      </w:pPr>
      <w:r>
        <w:t xml:space="preserve">2.3.6 Recalage d’images et co-registration</w:t>
      </w:r>
    </w:p>
    <w:bookmarkEnd w:id="155"/>
    <w:bookmarkEnd w:id="156"/>
    <w:bookmarkStart w:id="162" w:name="données-en-géoscience"/>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1" w:name="xarray"/>
    <w:p>
      <w:pPr>
        <w:pStyle w:val="Heading3"/>
      </w:pPr>
      <w:r>
        <w:t xml:space="preserve">2.4.1 xarray</w:t>
      </w:r>
    </w:p>
    <w:p>
      <w:pPr>
        <w:pStyle w:val="FirstParagraph"/>
      </w:pPr>
      <w:hyperlink r:id="rId157">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8"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8"/>
    <w:bookmarkStart w:id="159"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9"/>
    <w:bookmarkStart w:id="160"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p>
    <w:p>
      <w:pPr>
        <w:pStyle w:val="BodyText"/>
      </w:pPr>
      <w:r>
        <w:t xml:space="preserve">netcdf, xarray, GRIB.</w:t>
      </w:r>
    </w:p>
    <w:p>
      <w:pPr>
        <w:pStyle w:val="BodyText"/>
      </w:pPr>
      <w:r>
        <w:t xml:space="preserve">Données météos, exemple avec SWOT.</w:t>
      </w:r>
    </w:p>
    <w:bookmarkEnd w:id="160"/>
    <w:bookmarkEnd w:id="161"/>
    <w:bookmarkEnd w:id="162"/>
    <w:bookmarkStart w:id="167" w:name="importation-de-données-vectorielles"/>
    <w:p>
      <w:pPr>
        <w:pStyle w:val="Heading2"/>
      </w:pPr>
      <w:r>
        <w:t xml:space="preserve">2.5 Importation de données vectorielles</w:t>
      </w:r>
    </w:p>
    <w:bookmarkStart w:id="163" w:name="importation-dun-fichier-shapefile"/>
    <w:p>
      <w:pPr>
        <w:pStyle w:val="Heading3"/>
      </w:pPr>
      <w:r>
        <w:t xml:space="preserve">2.5.1 Importation d’un fichier</w:t>
      </w:r>
      <w:r>
        <w:t xml:space="preserve"> </w:t>
      </w:r>
      <w:r>
        <w:rPr>
          <w:i/>
          <w:iCs/>
        </w:rPr>
        <w:t xml:space="preserve">shapefile</w:t>
      </w:r>
    </w:p>
    <w:bookmarkEnd w:id="163"/>
    <w:bookmarkStart w:id="164" w:name="X0f143817d83c52404b6826d29e0a7b774f648af"/>
    <w:p>
      <w:pPr>
        <w:pStyle w:val="Heading3"/>
      </w:pPr>
      <w:r>
        <w:t xml:space="preserve">2.5.2 Importation d’une couche dans un</w:t>
      </w:r>
      <w:r>
        <w:t xml:space="preserve"> </w:t>
      </w:r>
      <w:r>
        <w:rPr>
          <w:i/>
          <w:iCs/>
        </w:rPr>
        <w:t xml:space="preserve">GeoPackage</w:t>
      </w:r>
    </w:p>
    <w:bookmarkEnd w:id="164"/>
    <w:bookmarkStart w:id="165" w:name="X63f691f5cfc56e6c2c2ddd2b7c0c6c672369599"/>
    <w:p>
      <w:pPr>
        <w:pStyle w:val="Heading3"/>
      </w:pPr>
      <w:r>
        <w:t xml:space="preserve">2.5.3 Importation d’une couche dans une</w:t>
      </w:r>
      <w:r>
        <w:t xml:space="preserve"> </w:t>
      </w:r>
      <w:r>
        <w:rPr>
          <w:i/>
          <w:iCs/>
        </w:rPr>
        <w:t xml:space="preserve">geodatabase</w:t>
      </w:r>
      <w:r>
        <w:t xml:space="preserve"> </w:t>
      </w:r>
      <w:r>
        <w:t xml:space="preserve">d’ESRI</w:t>
      </w:r>
    </w:p>
    <w:bookmarkEnd w:id="165"/>
    <w:bookmarkStart w:id="166" w:name="importation-dun-fichier-shapefile-1"/>
    <w:p>
      <w:pPr>
        <w:pStyle w:val="Heading3"/>
      </w:pPr>
      <w:r>
        <w:t xml:space="preserve">2.5.4 Importation d’un fichier</w:t>
      </w:r>
      <w:r>
        <w:t xml:space="preserve"> </w:t>
      </w:r>
      <w:r>
        <w:rPr>
          <w:i/>
          <w:iCs/>
        </w:rPr>
        <w:t xml:space="preserve">shapefile</w:t>
      </w:r>
    </w:p>
    <w:bookmarkEnd w:id="166"/>
    <w:bookmarkEnd w:id="167"/>
    <w:bookmarkStart w:id="169" w:name="manipulation-de-données-vectorielles"/>
    <w:p>
      <w:pPr>
        <w:pStyle w:val="Heading2"/>
      </w:pPr>
      <w:r>
        <w:t xml:space="preserve">2.6 Manipulation de données vectorielles</w:t>
      </w:r>
    </w:p>
    <w:bookmarkStart w:id="168" w:name="requêtes-attributaires"/>
    <w:p>
      <w:pPr>
        <w:pStyle w:val="Heading3"/>
      </w:pPr>
      <w:r>
        <w:t xml:space="preserve">2.6.1 Requêtes attributaires</w:t>
      </w:r>
    </w:p>
    <w:bookmarkEnd w:id="168"/>
    <w:bookmarkEnd w:id="169"/>
    <w:bookmarkStart w:id="170" w:name="quiz-de-révision-du-chapitre-1"/>
    <w:p>
      <w:pPr>
        <w:pStyle w:val="Heading2"/>
      </w:pPr>
      <w:r>
        <w:t xml:space="preserve">2.7 Quiz de révision du chapitre</w:t>
      </w:r>
    </w:p>
    <w:bookmarkEnd w:id="170"/>
    <w:bookmarkStart w:id="171" w:name="exercices-de-révision"/>
    <w:p>
      <w:pPr>
        <w:pStyle w:val="Heading2"/>
      </w:pPr>
      <w:r>
        <w:t xml:space="preserve">2.8 Exercices de révision</w:t>
      </w:r>
    </w:p>
    <w:bookmarkEnd w:id="171"/>
    <w:bookmarkEnd w:id="172"/>
    <w:bookmarkStart w:id="199"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79" w:name="rocket-préambule-1"/>
    <w:p>
      <w:pPr>
        <w:pStyle w:val="Heading2"/>
      </w:pPr>
      <w:r>
        <w:t xml:space="preserve">3.1 :rocket: Préambule</w:t>
      </w:r>
    </w:p>
    <w:bookmarkStart w:id="176"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p>
    <w:p>
      <w:pPr>
        <w:pStyle w:val="BodyText"/>
      </w:pPr>
      <w:hyperlink r:id="rId175">
        <w:r>
          <w:drawing>
            <wp:inline>
              <wp:extent cx="1114425" cy="190500"/>
              <wp:effectExtent b="0" l="0" r="0" t="0"/>
              <wp:docPr descr="" title="" id="173" name="Picture"/>
              <a:graphic>
                <a:graphicData uri="http://schemas.openxmlformats.org/drawingml/2006/picture">
                  <pic:pic>
                    <pic:nvPicPr>
                      <pic:cNvPr descr="https://colab.research.google.com/assets/colab-badge.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6"/>
    <w:bookmarkStart w:id="177"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hyperlink r:id="rId101">
        <w:r>
          <w:rPr>
            <w:rStyle w:val="Hyperlink"/>
          </w:rPr>
          <w:t xml:space="preserve">SciPy -</w:t>
        </w:r>
      </w:hyperlink>
    </w:p>
    <w:p>
      <w:pPr>
        <w:numPr>
          <w:ilvl w:val="0"/>
          <w:numId w:val="1027"/>
        </w:numPr>
      </w:pPr>
      <w:hyperlink r:id="rId102">
        <w:r>
          <w:rPr>
            <w:rStyle w:val="Hyperlink"/>
          </w:rPr>
          <w:t xml:space="preserve">NumPy -</w:t>
        </w:r>
      </w:hyperlink>
    </w:p>
    <w:p>
      <w:pPr>
        <w:numPr>
          <w:ilvl w:val="0"/>
          <w:numId w:val="1027"/>
        </w:numPr>
      </w:pPr>
      <w:hyperlink r:id="rId103">
        <w:r>
          <w:rPr>
            <w:rStyle w:val="Hyperlink"/>
          </w:rPr>
          <w:t xml:space="preserve">opencv-python · PyPI</w:t>
        </w:r>
      </w:hyperlink>
    </w:p>
    <w:p>
      <w:pPr>
        <w:numPr>
          <w:ilvl w:val="0"/>
          <w:numId w:val="1027"/>
        </w:numPr>
      </w:pPr>
      <w:hyperlink r:id="rId104">
        <w:r>
          <w:rPr>
            <w:rStyle w:val="Hyperlink"/>
          </w:rPr>
          <w:t xml:space="preserve">scikit-image</w:t>
        </w:r>
      </w:hyperlink>
    </w:p>
    <w:p>
      <w:pPr>
        <w:numPr>
          <w:ilvl w:val="0"/>
          <w:numId w:val="1027"/>
        </w:numPr>
      </w:pPr>
      <w:hyperlink r:id="rId105">
        <w:r>
          <w:rPr>
            <w:rStyle w:val="Hyperlink"/>
          </w:rPr>
          <w:t xml:space="preserve">Rasterio</w:t>
        </w:r>
      </w:hyperlink>
    </w:p>
    <w:p>
      <w:pPr>
        <w:numPr>
          <w:ilvl w:val="0"/>
          <w:numId w:val="1027"/>
        </w:numPr>
      </w:pPr>
      <w:hyperlink r:id="rId106">
        <w:r>
          <w:rPr>
            <w:rStyle w:val="Hyperlink"/>
          </w:rPr>
          <w:t xml:space="preserve">Xarray</w:t>
        </w:r>
      </w:hyperlink>
    </w:p>
    <w:p>
      <w:pPr>
        <w:numPr>
          <w:ilvl w:val="0"/>
          <w:numId w:val="1027"/>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77"/>
    <w:bookmarkStart w:id="178" w:name="données-1"/>
    <w:p>
      <w:pPr>
        <w:pStyle w:val="Heading3"/>
      </w:pPr>
      <w:r>
        <w:t xml:space="preserve">3.1.3 Données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178"/>
    <w:bookmarkEnd w:id="179"/>
    <w:bookmarkStart w:id="189"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4"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0"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0"/>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1">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3"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2"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2"/>
    <w:bookmarkEnd w:id="183"/>
    <w:bookmarkEnd w:id="184"/>
    <w:bookmarkStart w:id="186"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w:bookmarkStart w:id="185" w:name="eq-rehauss-lin"/>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r>
            <m:t>  </m:t>
          </m:r>
          <m:d>
            <m:dPr>
              <m:begChr m:val="("/>
              <m:endChr m:val=")"/>
              <m:sepChr m:val=""/>
              <m:grow/>
            </m:dPr>
            <m:e>
              <m:r>
                <m:t>3.1</m:t>
              </m:r>
            </m:e>
          </m:d>
        </m:oMath>
      </m:oMathPara>
      <w:bookmarkEnd w:id="185"/>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6"/>
    <w:bookmarkStart w:id="187" w:name="réhaussements-non-linéaires"/>
    <w:p>
      <w:pPr>
        <w:pStyle w:val="Heading3"/>
      </w:pPr>
      <w:r>
        <w:t xml:space="preserve">3.2.3 Réhaussements non linéaires</w:t>
      </w:r>
    </w:p>
    <w:p>
      <w:pPr>
        <w:pStyle w:val="FirstParagraph"/>
      </w:pPr>
      <w:r>
        <w:t xml:space="preserve">Calcul d’histogrammes, étirement, égalisation, styling</w:t>
      </w:r>
    </w:p>
    <w:bookmarkEnd w:id="187"/>
    <w:bookmarkStart w:id="188"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88"/>
    <w:bookmarkEnd w:id="189"/>
    <w:bookmarkStart w:id="196" w:name="visualisation"/>
    <w:p>
      <w:pPr>
        <w:pStyle w:val="Heading2"/>
      </w:pPr>
      <w:r>
        <w:t xml:space="preserve">3.3 Visualisation</w:t>
      </w:r>
    </w:p>
    <w:bookmarkStart w:id="190"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90"/>
    <w:bookmarkStart w:id="191"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1"/>
    <w:bookmarkStart w:id="194"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2">
        <w:r>
          <w:rPr>
            <w:rStyle w:val="Hyperlink"/>
          </w:rPr>
          <w:t xml:space="preserve">17. Geemap — Introduction to GIS Programming</w:t>
        </w:r>
      </w:hyperlink>
    </w:p>
    <w:p>
      <w:pPr>
        <w:pStyle w:val="BodyText"/>
      </w:pPr>
      <w:r>
        <w:t xml:space="preserve">🔖 __ — via</w:t>
      </w:r>
      <w:r>
        <w:t xml:space="preserve"> </w:t>
      </w:r>
      <w:hyperlink r:id="rId193">
        <w:r>
          <w:rPr>
            <w:rStyle w:val="Hyperlink"/>
          </w:rPr>
          <w:t xml:space="preserve">data/raster at main · opengeos/data</w:t>
        </w:r>
      </w:hyperlink>
    </w:p>
    <w:bookmarkEnd w:id="194"/>
    <w:bookmarkStart w:id="195" w:name="visualisation-3d"/>
    <w:p>
      <w:pPr>
        <w:pStyle w:val="Heading3"/>
      </w:pPr>
      <w:r>
        <w:t xml:space="preserve">3.3.4 Visualisation 3D</w:t>
      </w:r>
    </w:p>
    <w:p>
      <w:pPr>
        <w:pStyle w:val="FirstParagraph"/>
      </w:pPr>
      <w:r>
        <w:t xml:space="preserve">drapper une image satellite sur un DEM</w:t>
      </w:r>
    </w:p>
    <w:bookmarkEnd w:id="195"/>
    <w:bookmarkEnd w:id="196"/>
    <w:bookmarkStart w:id="197" w:name="quiz-de-révision-du-chapitre-2"/>
    <w:p>
      <w:pPr>
        <w:pStyle w:val="Heading2"/>
      </w:pPr>
      <w:r>
        <w:t xml:space="preserve">3.4 Quiz de révision du chapitre</w:t>
      </w:r>
    </w:p>
    <w:bookmarkEnd w:id="197"/>
    <w:bookmarkStart w:id="198" w:name="exercices-de-révision-1"/>
    <w:p>
      <w:pPr>
        <w:pStyle w:val="Heading2"/>
      </w:pPr>
      <w:r>
        <w:t xml:space="preserve">3.5 Exercices de révision</w:t>
      </w:r>
    </w:p>
    <w:bookmarkEnd w:id="198"/>
    <w:bookmarkEnd w:id="199"/>
    <w:bookmarkStart w:id="211" w:name="sec-chap03"/>
    <w:p>
      <w:pPr>
        <w:pStyle w:val="Heading1"/>
      </w:pPr>
      <w:r>
        <w:t xml:space="preserve">4. Transformations spectrales</w:t>
      </w:r>
    </w:p>
    <w:bookmarkStart w:id="205"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2">
        <w:r>
          <w:drawing>
            <wp:inline>
              <wp:extent cx="1114425" cy="190500"/>
              <wp:effectExtent b="0" l="0" r="0" t="0"/>
              <wp:docPr descr="" title="" id="200" name="Picture"/>
              <a:graphic>
                <a:graphicData uri="http://schemas.openxmlformats.org/drawingml/2006/picture">
                  <pic:pic>
                    <pic:nvPicPr>
                      <pic:cNvPr descr="https://colab.research.google.com/assets/colab-badge.svg" id="20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3" w:name="librairies-2"/>
    <w:p>
      <w:pPr>
        <w:pStyle w:val="Heading3"/>
      </w:pPr>
      <w:r>
        <w:t xml:space="preserve">4.1.1 Librairies</w:t>
      </w:r>
    </w:p>
    <w:p>
      <w:pPr>
        <w:pStyle w:val="FirstParagraph"/>
      </w:pPr>
      <w:r>
        <w:t xml:space="preserve">Les librairies qui vont être explorées dans ce chapitre sont les suivantes:</w:t>
      </w:r>
    </w:p>
    <w:p>
      <w:pPr>
        <w:numPr>
          <w:ilvl w:val="0"/>
          <w:numId w:val="1028"/>
        </w:numPr>
      </w:pPr>
      <w:hyperlink r:id="rId101">
        <w:r>
          <w:rPr>
            <w:rStyle w:val="Hyperlink"/>
          </w:rPr>
          <w:t xml:space="preserve">SciPy -</w:t>
        </w:r>
      </w:hyperlink>
    </w:p>
    <w:p>
      <w:pPr>
        <w:numPr>
          <w:ilvl w:val="0"/>
          <w:numId w:val="1028"/>
        </w:numPr>
      </w:pPr>
      <w:hyperlink r:id="rId102">
        <w:r>
          <w:rPr>
            <w:rStyle w:val="Hyperlink"/>
          </w:rPr>
          <w:t xml:space="preserve">NumPy -</w:t>
        </w:r>
      </w:hyperlink>
    </w:p>
    <w:p>
      <w:pPr>
        <w:numPr>
          <w:ilvl w:val="0"/>
          <w:numId w:val="1028"/>
        </w:numPr>
      </w:pPr>
      <w:hyperlink r:id="rId103">
        <w:r>
          <w:rPr>
            <w:rStyle w:val="Hyperlink"/>
          </w:rPr>
          <w:t xml:space="preserve">opencv-python · PyPI</w:t>
        </w:r>
      </w:hyperlink>
    </w:p>
    <w:p>
      <w:pPr>
        <w:numPr>
          <w:ilvl w:val="0"/>
          <w:numId w:val="1028"/>
        </w:numPr>
      </w:pPr>
      <w:hyperlink r:id="rId104">
        <w:r>
          <w:rPr>
            <w:rStyle w:val="Hyperlink"/>
          </w:rPr>
          <w:t xml:space="preserve">scikit-image</w:t>
        </w:r>
      </w:hyperlink>
    </w:p>
    <w:p>
      <w:pPr>
        <w:numPr>
          <w:ilvl w:val="0"/>
          <w:numId w:val="1028"/>
        </w:numPr>
      </w:pPr>
      <w:hyperlink r:id="rId105">
        <w:r>
          <w:rPr>
            <w:rStyle w:val="Hyperlink"/>
          </w:rPr>
          <w:t xml:space="preserve">Rasterio</w:t>
        </w:r>
      </w:hyperlink>
    </w:p>
    <w:p>
      <w:pPr>
        <w:numPr>
          <w:ilvl w:val="0"/>
          <w:numId w:val="1028"/>
        </w:numPr>
      </w:pPr>
      <w:hyperlink r:id="rId106">
        <w:r>
          <w:rPr>
            <w:rStyle w:val="Hyperlink"/>
          </w:rPr>
          <w:t xml:space="preserve">Xarray</w:t>
        </w:r>
      </w:hyperlink>
    </w:p>
    <w:p>
      <w:pPr>
        <w:numPr>
          <w:ilvl w:val="0"/>
          <w:numId w:val="1028"/>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3"/>
    <w:bookmarkStart w:id="204" w:name="images-utilisées"/>
    <w:p>
      <w:pPr>
        <w:pStyle w:val="Heading3"/>
      </w:pPr>
      <w:r>
        <w:t xml:space="preserve">4.1.2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subset_1_of_S2A_MSIL2A_20240625T153941_N0510_R011_T18TYR_20240625T221903_resampled.tif </w:t>
      </w:r>
      <w:r>
        <w:rPr>
          <w:rStyle w:val="OperatorTok"/>
        </w:rPr>
        <w:t xml:space="preserve">-</w:t>
      </w:r>
      <w:r>
        <w:rPr>
          <w:rStyle w:val="NormalTok"/>
        </w:rPr>
        <w:t xml:space="preserve">O sentinel2.tif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img_s2:</w:t>
      </w:r>
      <w:r>
        <w:br/>
      </w:r>
      <w:r>
        <w:rPr>
          <w:rStyle w:val="NormalTok"/>
        </w:rPr>
        <w:t xml:space="preserve">    </w:t>
      </w:r>
      <w:r>
        <w:rPr>
          <w:rStyle w:val="BuiltInTok"/>
        </w:rPr>
        <w:t xml:space="preserve">print</w:t>
      </w:r>
      <w:r>
        <w:rPr>
          <w:rStyle w:val="NormalTok"/>
        </w:rPr>
        <w:t xml:space="preserve">(img_s2)</w:t>
      </w:r>
    </w:p>
    <w:bookmarkEnd w:id="204"/>
    <w:bookmarkEnd w:id="205"/>
    <w:bookmarkStart w:id="206"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6"/>
    <w:bookmarkStart w:id="207"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07"/>
    <w:bookmarkStart w:id="209" w:name="réduction-de-dimension"/>
    <w:p>
      <w:pPr>
        <w:pStyle w:val="Heading2"/>
      </w:pPr>
      <w:r>
        <w:t xml:space="preserve">4.4 Réduction de dimension</w:t>
      </w:r>
    </w:p>
    <w:bookmarkStart w:id="208" w:name="analyses-en-composantes-principales"/>
    <w:p>
      <w:pPr>
        <w:pStyle w:val="Heading3"/>
      </w:pPr>
      <w:r>
        <w:t xml:space="preserve">4.4.1 Analyses en composantes principales</w:t>
      </w:r>
    </w:p>
    <w:bookmarkEnd w:id="208"/>
    <w:bookmarkEnd w:id="209"/>
    <w:bookmarkStart w:id="210" w:name="exercices-de-révision-2"/>
    <w:p>
      <w:pPr>
        <w:pStyle w:val="Heading2"/>
      </w:pPr>
      <w:r>
        <w:t xml:space="preserve">4.5 Exercices de révision</w:t>
      </w:r>
    </w:p>
    <w:bookmarkEnd w:id="210"/>
    <w:bookmarkEnd w:id="211"/>
    <w:bookmarkStart w:id="247" w:name="sec-chap04"/>
    <w:p>
      <w:pPr>
        <w:pStyle w:val="Heading1"/>
      </w:pPr>
      <w:r>
        <w:t xml:space="preserve">5. Transformations spatiales</w:t>
      </w:r>
    </w:p>
    <w:bookmarkStart w:id="218" w:name="rocket-préambule-3"/>
    <w:p>
      <w:pPr>
        <w:pStyle w:val="Heading2"/>
      </w:pPr>
      <w:r>
        <w:t xml:space="preserve">5.1 :rocket: Préambule</w:t>
      </w:r>
    </w:p>
    <w:p>
      <w:pPr>
        <w:pStyle w:val="FirstParagraph"/>
      </w:pPr>
      <w:r>
        <w:t xml:space="preserve">Assurez-vous de lire ce préambule avant d’exécutez le reste du notebook.</w:t>
      </w:r>
    </w:p>
    <w:bookmarkStart w:id="215"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4">
        <w:r>
          <w:drawing>
            <wp:inline>
              <wp:extent cx="1114425" cy="190500"/>
              <wp:effectExtent b="0" l="0" r="0" t="0"/>
              <wp:docPr descr="" title="" id="212" name="Picture"/>
              <a:graphic>
                <a:graphicData uri="http://schemas.openxmlformats.org/drawingml/2006/picture">
                  <pic:pic>
                    <pic:nvPicPr>
                      <pic:cNvPr descr="https://colab.research.google.com/assets/colab-badge.svg" id="21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5"/>
    <w:bookmarkStart w:id="216" w:name="librairies-3"/>
    <w:p>
      <w:pPr>
        <w:pStyle w:val="Heading3"/>
      </w:pPr>
      <w:r>
        <w:t xml:space="preserve">5.1.2 Librairies</w:t>
      </w:r>
    </w:p>
    <w:p>
      <w:pPr>
        <w:pStyle w:val="FirstParagraph"/>
      </w:pPr>
      <w:r>
        <w:t xml:space="preserve">Les librairies qui vont être explorées dans ce chapitre sont les suivantes:</w:t>
      </w:r>
    </w:p>
    <w:p>
      <w:pPr>
        <w:numPr>
          <w:ilvl w:val="0"/>
          <w:numId w:val="1029"/>
        </w:numPr>
      </w:pPr>
      <w:hyperlink r:id="rId101">
        <w:r>
          <w:rPr>
            <w:rStyle w:val="Hyperlink"/>
          </w:rPr>
          <w:t xml:space="preserve">SciPy -</w:t>
        </w:r>
      </w:hyperlink>
    </w:p>
    <w:p>
      <w:pPr>
        <w:numPr>
          <w:ilvl w:val="0"/>
          <w:numId w:val="1029"/>
        </w:numPr>
      </w:pPr>
      <w:hyperlink r:id="rId102">
        <w:r>
          <w:rPr>
            <w:rStyle w:val="Hyperlink"/>
          </w:rPr>
          <w:t xml:space="preserve">NumPy -</w:t>
        </w:r>
      </w:hyperlink>
    </w:p>
    <w:p>
      <w:pPr>
        <w:numPr>
          <w:ilvl w:val="0"/>
          <w:numId w:val="1029"/>
        </w:numPr>
      </w:pPr>
      <w:hyperlink r:id="rId103">
        <w:r>
          <w:rPr>
            <w:rStyle w:val="Hyperlink"/>
          </w:rPr>
          <w:t xml:space="preserve">opencv-python · PyPI</w:t>
        </w:r>
      </w:hyperlink>
    </w:p>
    <w:p>
      <w:pPr>
        <w:numPr>
          <w:ilvl w:val="0"/>
          <w:numId w:val="1029"/>
        </w:numPr>
      </w:pPr>
      <w:hyperlink r:id="rId104">
        <w:r>
          <w:rPr>
            <w:rStyle w:val="Hyperlink"/>
          </w:rPr>
          <w:t xml:space="preserve">scikit-image</w:t>
        </w:r>
      </w:hyperlink>
    </w:p>
    <w:p>
      <w:pPr>
        <w:numPr>
          <w:ilvl w:val="0"/>
          <w:numId w:val="1029"/>
        </w:numPr>
      </w:pPr>
      <w:hyperlink r:id="rId105">
        <w:r>
          <w:rPr>
            <w:rStyle w:val="Hyperlink"/>
          </w:rPr>
          <w:t xml:space="preserve">Rasterio</w:t>
        </w:r>
      </w:hyperlink>
    </w:p>
    <w:p>
      <w:pPr>
        <w:numPr>
          <w:ilvl w:val="0"/>
          <w:numId w:val="1029"/>
        </w:numPr>
      </w:pPr>
      <w:hyperlink r:id="rId106">
        <w:r>
          <w:rPr>
            <w:rStyle w:val="Hyperlink"/>
          </w:rPr>
          <w:t xml:space="preserve">Xarray</w:t>
        </w:r>
      </w:hyperlink>
    </w:p>
    <w:p>
      <w:pPr>
        <w:numPr>
          <w:ilvl w:val="0"/>
          <w:numId w:val="1029"/>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6"/>
    <w:bookmarkStart w:id="217" w:name="images-utilisées-1"/>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17"/>
    <w:bookmarkEnd w:id="218"/>
    <w:bookmarkStart w:id="222"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19"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La transformée inverse prend une forme similaire:</w:t>
      </w:r>
    </w:p>
    <w:p>
      <w:pPr>
        <w:pStyle w:val="BodyText"/>
      </w:pPr>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19"/>
    <w:bookmarkStart w:id="220" w:name="filtrage-fréquentielle"/>
    <w:p>
      <w:pPr>
        <w:pStyle w:val="Heading3"/>
      </w:pPr>
      <w:r>
        <w:t xml:space="preserve">5.2.2 Filtrage fréquentielle</w:t>
      </w:r>
    </w:p>
    <w:bookmarkEnd w:id="220"/>
    <w:bookmarkStart w:id="221"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21"/>
    <w:bookmarkEnd w:id="222"/>
    <w:bookmarkStart w:id="237" w:name="filtrage-dimage"/>
    <w:p>
      <w:pPr>
        <w:pStyle w:val="Heading2"/>
      </w:pPr>
      <w:r>
        <w:t xml:space="preserve">5.3 Filtrage d’image</w:t>
      </w:r>
    </w:p>
    <w:p>
      <w:pPr>
        <w:pStyle w:val="FirstParagraph"/>
      </w:pPr>
      <w:r>
        <w:t xml:space="preserve">Le filtrage d’image a plusieurs objectifs en télédétection:</w:t>
      </w:r>
    </w:p>
    <w:p>
      <w:pPr>
        <w:numPr>
          <w:ilvl w:val="0"/>
          <w:numId w:val="1030"/>
        </w:numPr>
      </w:pPr>
      <w:r>
        <w:t xml:space="preserve">La réduction du bruit afin d’améliorer la résolution radiométrique et améliorer la lisibilité de l’image.</w:t>
      </w:r>
    </w:p>
    <w:p>
      <w:pPr>
        <w:numPr>
          <w:ilvl w:val="0"/>
          <w:numId w:val="1030"/>
        </w:numPr>
      </w:pPr>
      <w:r>
        <w:t xml:space="preserve">Le réhaussement de l’image afin d’améliorer le contraste ou faire ressortir les contours.</w:t>
      </w:r>
    </w:p>
    <w:p>
      <w:pPr>
        <w:numPr>
          <w:ilvl w:val="0"/>
          <w:numId w:val="1030"/>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1"/>
        </w:numPr>
      </w:pPr>
      <w:r>
        <w:t xml:space="preserve">Le filtrage peut-être global ou local, c.à.d prendre en compte toute l’image pour filtrer (ex: filtrage par Fourier) ou seulement localement avec une fenêtre ou un voisinage local.</w:t>
      </w:r>
    </w:p>
    <w:p>
      <w:pPr>
        <w:numPr>
          <w:ilvl w:val="0"/>
          <w:numId w:val="1031"/>
        </w:numPr>
      </w:pPr>
      <w:r>
        <w:t xml:space="preserve">La fonction de filtrage peut-être linéaire ou non linéaire.</w:t>
      </w:r>
    </w:p>
    <w:p>
      <w:pPr>
        <w:numPr>
          <w:ilvl w:val="0"/>
          <w:numId w:val="1031"/>
        </w:numPr>
      </w:pPr>
      <w:r>
        <w:t xml:space="preserve">La fonction de filtrage peut être stationnaire ou adaptative</w:t>
      </w:r>
    </w:p>
    <w:p>
      <w:pPr>
        <w:numPr>
          <w:ilvl w:val="0"/>
          <w:numId w:val="1031"/>
        </w:numPr>
      </w:pPr>
      <w:r>
        <w:t xml:space="preserve">Le filtrage peut-être mono-échelle ou multi-échelles</w:t>
      </w:r>
    </w:p>
    <w:p>
      <w:pPr>
        <w:pStyle w:val="FirstParagraph"/>
      </w:pPr>
      <w:r>
        <w:t xml:space="preserve">La librairie Scipy (</w:t>
      </w:r>
      <w:hyperlink r:id="rId223">
        <w:r>
          <w:rPr>
            <w:rStyle w:val="Hyperlink"/>
          </w:rPr>
          <w:t xml:space="preserve">Multidimensional image processing (scipy.ndimage)</w:t>
        </w:r>
      </w:hyperlink>
      <w:r>
        <w:t xml:space="preserve">) contient une panoplie complète de filtres.</w:t>
      </w:r>
    </w:p>
    <w:bookmarkStart w:id="234"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5" name="Picture"/>
                  <a:graphic>
                    <a:graphicData uri="http://schemas.openxmlformats.org/drawingml/2006/picture">
                      <pic:pic>
                        <pic:nvPicPr>
                          <pic:cNvPr descr="/opt/quarto/share/formats/docx/note.png" id="226" name="Picture"/>
                          <pic:cNvPicPr>
                            <a:picLocks noChangeArrowheads="1" noChangeAspect="1"/>
                          </pic:cNvPicPr>
                        </pic:nvPicPr>
                        <pic:blipFill>
                          <a:blip r:embed="rId2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7" name="Picture"/>
                  <a:graphic>
                    <a:graphicData uri="http://schemas.openxmlformats.org/drawingml/2006/picture">
                      <pic:pic>
                        <pic:nvPicPr>
                          <pic:cNvPr descr="/opt/quarto/share/formats/docx/note.png" id="228" name="Picture"/>
                          <pic:cNvPicPr>
                            <a:picLocks noChangeArrowheads="1" noChangeAspect="1"/>
                          </pic:cNvPicPr>
                        </pic:nvPicPr>
                        <pic:blipFill>
                          <a:blip r:embed="rId2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30"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 Prenons l’exemple du filtre de Scharr</w:t>
      </w:r>
      <w:r>
        <w:t xml:space="preserve"> </w:t>
      </w:r>
      <w:r>
        <w:t xml:space="preserve">(Jahne et S. 1999)</w:t>
      </w:r>
      <w:r>
        <w:t xml:space="preserve">, ce filtre permet de détecter les contours horizontaux et verticaux:</w:t>
      </w:r>
    </w:p>
    <w:p>
      <w:pPr>
        <w:pStyle w:val="BodyText"/>
      </w:pPr>
      <m:oMathPara>
        <m:oMathParaPr>
          <m:jc m:val="center"/>
        </m:oMathParaPr>
        <m:oMath>
          <m:r>
            <m:t>F</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r>
                  <m:e>
                    <m:r>
                      <m:rPr>
                        <m:sty m:val="p"/>
                      </m:rPr>
                      <m:t>−</m:t>
                    </m:r>
                    <m:r>
                      <m:t>10</m:t>
                    </m:r>
                    <m:r>
                      <m:rPr>
                        <m:sty m:val="p"/>
                      </m:rPr>
                      <m:t>+</m:t>
                    </m:r>
                    <m:r>
                      <m:t>0</m:t>
                    </m:r>
                    <m:r>
                      <m:t>j</m:t>
                    </m:r>
                  </m:e>
                  <m:e>
                    <m:r>
                      <m:t>0</m:t>
                    </m:r>
                    <m:r>
                      <m:rPr>
                        <m:sty m:val="p"/>
                      </m:rPr>
                      <m:t>+</m:t>
                    </m:r>
                    <m:r>
                      <m:t>0</m:t>
                    </m:r>
                    <m:r>
                      <m:t>j</m:t>
                    </m:r>
                  </m:e>
                  <m:e>
                    <m:r>
                      <m:rPr>
                        <m:sty m:val="p"/>
                      </m:rPr>
                      <m:t>+</m:t>
                    </m:r>
                    <m:r>
                      <m:t>10</m:t>
                    </m:r>
                    <m:r>
                      <m:rPr>
                        <m:sty m:val="p"/>
                      </m:rPr>
                      <m:t>+</m:t>
                    </m:r>
                    <m:r>
                      <m:t>0</m:t>
                    </m:r>
                    <m:r>
                      <m:t>j</m:t>
                    </m:r>
                  </m:e>
                </m:m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
            </m:e>
          </m:d>
        </m:oMath>
      </m:oMathPara>
    </w:p>
    <w:p>
      <w:pPr>
        <w:pStyle w:val="FirstParagraph"/>
      </w:pPr>
      <w:r>
        <w:t xml:space="preserve">Remarquez l’utilisation de chiffres complexes afin de passer deux filtres différents sur la partie réelle et imaginaire.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Start w:id="229" w:name="gestion-des-bordures"/>
    <w:p>
      <w:pPr>
        <w:pStyle w:val="Heading5"/>
      </w:pPr>
      <w:r>
        <w:t xml:space="preserve">5.3.1.1.1 Gestion des bordures</w:t>
      </w:r>
    </w:p>
    <w:bookmarkEnd w:id="229"/>
    <w:bookmarkEnd w:id="230"/>
    <w:bookmarkStart w:id="233"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31" name="Picture"/>
                  <a:graphic>
                    <a:graphicData uri="http://schemas.openxmlformats.org/drawingml/2006/picture">
                      <pic:pic>
                        <pic:nvPicPr>
                          <pic:cNvPr descr="/opt/quarto/share/formats/docx/important.png" id="23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 On peut ici imposer les mêmes filtres de gradient dans la couche convolutionnelle:</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torch.nn </w:t>
      </w:r>
      <w:r>
        <w:rPr>
          <w:rStyle w:val="ImportTok"/>
        </w:rPr>
        <w:t xml:space="preserve">as</w:t>
      </w:r>
      <w:r>
        <w:rPr>
          <w:rStyle w:val="NormalTok"/>
        </w:rPr>
        <w:t xml:space="preserve"> nn</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normalized_img</w:t>
      </w:r>
      <w:r>
        <w:rPr>
          <w:rStyle w:val="OperatorTok"/>
        </w:rPr>
        <w:t xml:space="preserve">=</w:t>
      </w:r>
      <w:r>
        <w:rPr>
          <w:rStyle w:val="NormalTok"/>
        </w:rPr>
        <w:t xml:space="preserve"> torch.tensor(img_rgb.to_numpy())</w:t>
      </w:r>
      <w:r>
        <w:br/>
      </w:r>
      <w:r>
        <w:rPr>
          <w:rStyle w:val="NormalTok"/>
        </w:rPr>
        <w:t xml:space="preserve">nchannels</w:t>
      </w:r>
      <w:r>
        <w:rPr>
          <w:rStyle w:val="OperatorTok"/>
        </w:rPr>
        <w:t xml:space="preserve">=</w:t>
      </w:r>
      <w:r>
        <w:rPr>
          <w:rStyle w:val="NormalTok"/>
        </w:rPr>
        <w:t xml:space="preserve"> normalized_img.size()[</w:t>
      </w:r>
      <w:r>
        <w:rPr>
          <w:rStyle w:val="DecValTok"/>
        </w:rPr>
        <w:t xml:space="preserve">0</w:t>
      </w:r>
      <w:r>
        <w:rPr>
          <w:rStyle w:val="NormalTok"/>
        </w:rPr>
        <w:t xml:space="preserve">] </w:t>
      </w:r>
      <w:r>
        <w:rPr>
          <w:rStyle w:val="CommentTok"/>
        </w:rPr>
        <w:t xml:space="preserve"># nombre de canaux de l'image</w:t>
      </w:r>
      <w:r>
        <w:br/>
      </w:r>
      <w:r>
        <w:br/>
      </w:r>
      <w:r>
        <w:rPr>
          <w:rStyle w:val="CommentTok"/>
        </w:rPr>
        <w:t xml:space="preserve"># Define a conv2d layer</w:t>
      </w:r>
      <w:r>
        <w:br/>
      </w:r>
      <w:r>
        <w:rPr>
          <w:rStyle w:val="NormalTok"/>
        </w:rPr>
        <w:t xml:space="preserve">conv_layer </w:t>
      </w:r>
      <w:r>
        <w:rPr>
          <w:rStyle w:val="OperatorTok"/>
        </w:rPr>
        <w:t xml:space="preserve">=</w:t>
      </w:r>
      <w:r>
        <w:rPr>
          <w:rStyle w:val="NormalTok"/>
        </w:rPr>
        <w:t xml:space="preserve"> nn.Conv2d(in_channels</w:t>
      </w:r>
      <w:r>
        <w:rPr>
          <w:rStyle w:val="OperatorTok"/>
        </w:rPr>
        <w:t xml:space="preserve">=</w:t>
      </w:r>
      <w:r>
        <w:rPr>
          <w:rStyle w:val="NormalTok"/>
        </w:rPr>
        <w:t xml:space="preserve"> nchannels, out_channels</w:t>
      </w:r>
      <w:r>
        <w:rPr>
          <w:rStyle w:val="OperatorTok"/>
        </w:rPr>
        <w:t xml:space="preserve">=</w:t>
      </w:r>
      <w:r>
        <w:rPr>
          <w:rStyle w:val="DecValTok"/>
        </w:rPr>
        <w:t xml:space="preserve">2</w:t>
      </w:r>
      <w:r>
        <w:rPr>
          <w:rStyle w:val="NormalTok"/>
        </w:rPr>
        <w:t xml:space="preserve">, kernel_size</w:t>
      </w:r>
      <w:r>
        <w:rPr>
          <w:rStyle w:val="OperatorTok"/>
        </w:rPr>
        <w:t xml:space="preserve">=</w:t>
      </w:r>
      <w:r>
        <w:rPr>
          <w:rStyle w:val="DecValTok"/>
        </w:rPr>
        <w:t xml:space="preserve">3</w:t>
      </w:r>
      <w:r>
        <w:rPr>
          <w:rStyle w:val="NormalTok"/>
        </w:rPr>
        <w:t xml:space="preserve">, padding</w:t>
      </w:r>
      <w:r>
        <w:rPr>
          <w:rStyle w:val="OperatorTok"/>
        </w:rPr>
        <w:t xml:space="preserve">=</w:t>
      </w:r>
      <w:r>
        <w:rPr>
          <w:rStyle w:val="DecValTok"/>
        </w:rPr>
        <w:t xml:space="preserve">1</w:t>
      </w:r>
      <w:r>
        <w:rPr>
          <w:rStyle w:val="NormalTok"/>
        </w:rPr>
        <w:t xml:space="preserve">, stride</w:t>
      </w:r>
      <w:r>
        <w:rPr>
          <w:rStyle w:val="OperatorTok"/>
        </w:rPr>
        <w:t xml:space="preserve">=</w:t>
      </w:r>
      <w:r>
        <w:rPr>
          <w:rStyle w:val="DecValTok"/>
        </w:rPr>
        <w:t xml:space="preserve">1</w:t>
      </w:r>
      <w:r>
        <w:rPr>
          <w:rStyle w:val="NormalTok"/>
        </w:rPr>
        <w:t xml:space="preserve">, dilation</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Filtre de Sobel</w:t>
      </w:r>
      <w:r>
        <w:br/>
      </w:r>
      <w:r>
        <w:rPr>
          <w:rStyle w:val="NormalTok"/>
        </w:rPr>
        <w:t xml:space="preserve">sobel_x </w:t>
      </w:r>
      <w:r>
        <w:rPr>
          <w:rStyle w:val="OperatorTok"/>
        </w:rPr>
        <w:t xml:space="preserve">=</w:t>
      </w:r>
      <w:r>
        <w:rPr>
          <w:rStyle w:val="NormalTok"/>
        </w:rPr>
        <w:t xml:space="preserve"> np.array([[</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OperatorTok"/>
        </w:rPr>
        <w:t xml:space="preserve">-</w:t>
      </w:r>
      <w:r>
        <w:rPr>
          <w:rStyle w:val="DecValTok"/>
        </w:rPr>
        <w:t xml:space="preserve">10</w:t>
      </w:r>
      <w:r>
        <w:rPr>
          <w:rStyle w:val="NormalTok"/>
        </w:rPr>
        <w:t xml:space="preserve">, </w:t>
      </w:r>
      <w:r>
        <w:rPr>
          <w:rStyle w:val="DecValTok"/>
        </w:rPr>
        <w:t xml:space="preserve">0</w:t>
      </w:r>
      <w:r>
        <w:rPr>
          <w:rStyle w:val="NormalTok"/>
        </w:rPr>
        <w:t xml:space="preserve">, </w:t>
      </w:r>
      <w:r>
        <w:rPr>
          <w:rStyle w:val="DecValTok"/>
        </w:rPr>
        <w:t xml:space="preserve">10</w:t>
      </w:r>
      <w:r>
        <w:rPr>
          <w:rStyle w:val="NormalTok"/>
        </w:rPr>
        <w:t xml:space="preserve">], [</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sobel_y </w:t>
      </w:r>
      <w:r>
        <w:rPr>
          <w:rStyle w:val="OperatorTok"/>
        </w:rPr>
        <w:t xml:space="preserve">=</w:t>
      </w:r>
      <w:r>
        <w:rPr>
          <w:rStyle w:val="NormalTok"/>
        </w:rPr>
        <w:t xml:space="preserve"> np.array([[</w:t>
      </w:r>
      <w:r>
        <w:rPr>
          <w:rStyle w:val="OperatorTok"/>
        </w:rPr>
        <w:t xml:space="preserve">-</w:t>
      </w:r>
      <w:r>
        <w:rPr>
          <w:rStyle w:val="DecValTok"/>
        </w:rPr>
        <w:t xml:space="preserve">3</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np.stack([sobel_x, sobel_y])</w:t>
      </w:r>
      <w:r>
        <w:br/>
      </w:r>
      <w:r>
        <w:rPr>
          <w:rStyle w:val="NormalTok"/>
        </w:rPr>
        <w:t xml:space="preserve">kernel </w:t>
      </w:r>
      <w:r>
        <w:rPr>
          <w:rStyle w:val="OperatorTok"/>
        </w:rPr>
        <w:t xml:space="preserve">=</w:t>
      </w:r>
      <w:r>
        <w:rPr>
          <w:rStyle w:val="NormalTok"/>
        </w:rPr>
        <w:t xml:space="preserve"> kernel.reshape(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np.tile(kernel,(</w:t>
      </w:r>
      <w:r>
        <w:rPr>
          <w:rStyle w:val="DecValTok"/>
        </w:rPr>
        <w:t xml:space="preserve">1</w:t>
      </w:r>
      <w:r>
        <w:rPr>
          <w:rStyle w:val="NormalTok"/>
        </w:rPr>
        <w:t xml:space="preserve">,nchannels,</w:t>
      </w:r>
      <w:r>
        <w:rPr>
          <w:rStyle w:val="DecValTok"/>
        </w:rPr>
        <w:t xml:space="preserve">1</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(kernel.shape)</w:t>
      </w:r>
      <w:r>
        <w:br/>
      </w:r>
      <w:r>
        <w:rPr>
          <w:rStyle w:val="NormalTok"/>
        </w:rPr>
        <w:t xml:space="preserve">kernel </w:t>
      </w:r>
      <w:r>
        <w:rPr>
          <w:rStyle w:val="OperatorTok"/>
        </w:rPr>
        <w:t xml:space="preserve">=</w:t>
      </w:r>
      <w:r>
        <w:rPr>
          <w:rStyle w:val="NormalTok"/>
        </w:rPr>
        <w:t xml:space="preserve"> torch.as_tensor(kernel,dtype</w:t>
      </w:r>
      <w:r>
        <w:rPr>
          <w:rStyle w:val="OperatorTok"/>
        </w:rPr>
        <w:t xml:space="preserve">=</w:t>
      </w:r>
      <w:r>
        <w:rPr>
          <w:rStyle w:val="NormalTok"/>
        </w:rPr>
        <w:t xml:space="preserve">torch.float32)</w:t>
      </w:r>
      <w:r>
        <w:br/>
      </w:r>
      <w:r>
        <w:rPr>
          <w:rStyle w:val="NormalTok"/>
        </w:rPr>
        <w:t xml:space="preserve">conv_layer.weight </w:t>
      </w:r>
      <w:r>
        <w:rPr>
          <w:rStyle w:val="OperatorTok"/>
        </w:rPr>
        <w:t xml:space="preserve">=</w:t>
      </w:r>
      <w:r>
        <w:rPr>
          <w:rStyle w:val="NormalTok"/>
        </w:rPr>
        <w:t xml:space="preserve"> nn.Parameter(kernel)</w:t>
      </w:r>
      <w:r>
        <w:br/>
      </w:r>
      <w:r>
        <w:rPr>
          <w:rStyle w:val="NormalTok"/>
        </w:rPr>
        <w:t xml:space="preserve">conv_layer.bias </w:t>
      </w:r>
      <w:r>
        <w:rPr>
          <w:rStyle w:val="OperatorTok"/>
        </w:rPr>
        <w:t xml:space="preserve">=</w:t>
      </w:r>
      <w:r>
        <w:rPr>
          <w:rStyle w:val="NormalTok"/>
        </w:rPr>
        <w:t xml:space="preserve"> nn.Parameter(torch.zeros(</w:t>
      </w:r>
      <w:r>
        <w:rPr>
          <w:rStyle w:val="DecValTok"/>
        </w:rPr>
        <w:t xml:space="preserve">2</w:t>
      </w:r>
      <w:r>
        <w:rPr>
          <w:rStyle w:val="NormalTok"/>
        </w:rPr>
        <w:t xml:space="preserve">,))</w:t>
      </w:r>
      <w:r>
        <w:br/>
      </w:r>
      <w:r>
        <w:br/>
      </w:r>
      <w:r>
        <w:rPr>
          <w:rStyle w:val="BuiltInTok"/>
        </w:rPr>
        <w:t xml:space="preserve">input</w:t>
      </w:r>
      <w:r>
        <w:rPr>
          <w:rStyle w:val="OperatorTok"/>
        </w:rPr>
        <w:t xml:space="preserve">=</w:t>
      </w:r>
      <w:r>
        <w:rPr>
          <w:rStyle w:val="NormalTok"/>
        </w:rPr>
        <w:t xml:space="preserve"> normalized_img.unsqueeze(</w:t>
      </w:r>
      <w:r>
        <w:rPr>
          <w:rStyle w:val="DecValTok"/>
        </w:rPr>
        <w:t xml:space="preserve">0</w:t>
      </w:r>
      <w:r>
        <w:rPr>
          <w:rStyle w:val="NormalTok"/>
        </w:rPr>
        <w:t xml:space="preserve">) </w:t>
      </w:r>
      <w:r>
        <w:rPr>
          <w:rStyle w:val="CommentTok"/>
        </w:rPr>
        <w:t xml:space="preserve"># il faut ajouter une dimension pour le nombre d'échantillons</w:t>
      </w:r>
      <w:r>
        <w:br/>
      </w:r>
      <w:r>
        <w:rPr>
          <w:rStyle w:val="BuiltInTok"/>
        </w:rPr>
        <w:t xml:space="preserve">print</w:t>
      </w:r>
      <w:r>
        <w:rPr>
          <w:rStyle w:val="NormalTok"/>
        </w:rPr>
        <w:t xml:space="preserve">(</w:t>
      </w:r>
      <w:r>
        <w:rPr>
          <w:rStyle w:val="BuiltInTok"/>
        </w:rPr>
        <w:t xml:space="preserve">input</w:t>
      </w:r>
      <w:r>
        <w:rPr>
          <w:rStyle w:val="NormalTok"/>
        </w:rPr>
        <w:t xml:space="preserve">.shape)</w:t>
      </w:r>
      <w:r>
        <w:br/>
      </w:r>
      <w:r>
        <w:rPr>
          <w:rStyle w:val="CommentTok"/>
        </w:rPr>
        <w:t xml:space="preserve"># Visualize the filters</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axs[i].imshow(conv_layer.weight.data.numpy()[i, </w:t>
      </w:r>
      <w:r>
        <w:rPr>
          <w:rStyle w:val="DecValTok"/>
        </w:rPr>
        <w:t xml:space="preserve">0</w:t>
      </w:r>
      <w:r>
        <w:rPr>
          <w:rStyle w:val="NormalTok"/>
        </w:rPr>
        <w:t xml:space="preserve">])</w:t>
      </w:r>
      <w:r>
        <w:br/>
      </w:r>
      <w:r>
        <w:rPr>
          <w:rStyle w:val="NormalTok"/>
        </w:rPr>
        <w:t xml:space="preserve">    axs[i].set_title(</w:t>
      </w:r>
      <w:r>
        <w:rPr>
          <w:rStyle w:val="SpecialStringTok"/>
        </w:rPr>
        <w:t xml:space="preserve">f'Filter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p>
      <w:pPr>
        <w:pStyle w:val="FirstParagraph"/>
      </w:pPr>
      <w:r>
        <w:t xml:space="preserve">Le résultat est alors calculé sur GPU (si disponible):</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CommentTok"/>
        </w:rPr>
        <w:t xml:space="preserve"># Forward pass</w:t>
      </w:r>
      <w:r>
        <w:br/>
      </w:r>
      <w:r>
        <w:rPr>
          <w:rStyle w:val="NormalTok"/>
        </w:rPr>
        <w:t xml:space="preserve">output </w:t>
      </w:r>
      <w:r>
        <w:rPr>
          <w:rStyle w:val="OperatorTok"/>
        </w:rPr>
        <w:t xml:space="preserve">=</w:t>
      </w:r>
      <w:r>
        <w:rPr>
          <w:rStyle w:val="NormalTok"/>
        </w:rPr>
        <w:t xml:space="preserve"> conv_layer(</w:t>
      </w:r>
      <w:r>
        <w:rPr>
          <w:rStyle w:val="BuiltInTok"/>
        </w:rPr>
        <w:t xml:space="preserve">input</w:t>
      </w:r>
      <w:r>
        <w:rPr>
          <w:rStyle w:val="NormalTok"/>
        </w:rPr>
        <w:t xml:space="preserve">)</w:t>
      </w:r>
      <w:r>
        <w:br/>
      </w:r>
      <w:r>
        <w:rPr>
          <w:rStyle w:val="BuiltInTok"/>
        </w:rPr>
        <w:t xml:space="preserve">print</w:t>
      </w:r>
      <w:r>
        <w:rPr>
          <w:rStyle w:val="NormalTok"/>
        </w:rPr>
        <w:t xml:space="preserve">(</w:t>
      </w:r>
      <w:r>
        <w:rPr>
          <w:rStyle w:val="SpecialStringTok"/>
        </w:rPr>
        <w:t xml:space="preserve">f'Image (BxCxHxW): </w:t>
      </w:r>
      <w:r>
        <w:rPr>
          <w:rStyle w:val="SpecialCharTok"/>
        </w:rPr>
        <w:t xml:space="preserve">{</w:t>
      </w:r>
      <w:r>
        <w:rPr>
          <w:rStyle w:val="BuiltInTok"/>
        </w:rPr>
        <w:t xml:space="preserve">input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f'Sortie (BxFxHxW): </w:t>
      </w:r>
      <w:r>
        <w:rPr>
          <w:rStyle w:val="SpecialCharTok"/>
        </w:rPr>
        <w:t xml:space="preserve">{</w:t>
      </w:r>
      <w:r>
        <w:rPr>
          <w:rStyle w:val="NormalTok"/>
        </w:rPr>
        <w:t xml:space="preserve">output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axs[i].imshow(output.detach().data.numpy()[</w:t>
      </w:r>
      <w:r>
        <w:rPr>
          <w:rStyle w:val="DecValTok"/>
        </w:rPr>
        <w:t xml:space="preserve">0</w:t>
      </w:r>
      <w:r>
        <w:rPr>
          <w:rStyle w:val="NormalTok"/>
        </w:rPr>
        <w:t xml:space="preserve">,i], vmin</w:t>
      </w:r>
      <w:r>
        <w:rPr>
          <w:rStyle w:val="OperatorTok"/>
        </w:rPr>
        <w:t xml:space="preserve">=-</w:t>
      </w:r>
      <w:r>
        <w:rPr>
          <w:rStyle w:val="DecValTok"/>
        </w:rPr>
        <w:t xml:space="preserve">1</w:t>
      </w:r>
      <w:r>
        <w:rPr>
          <w:rStyle w:val="NormalTok"/>
        </w:rPr>
        <w:t xml:space="preserve">, vmax</w:t>
      </w:r>
      <w:r>
        <w:rPr>
          <w:rStyle w:val="OperatorTok"/>
        </w:rPr>
        <w:t xml:space="preserve">=</w:t>
      </w:r>
      <w:r>
        <w:rPr>
          <w:rStyle w:val="DecValTok"/>
        </w:rPr>
        <w:t xml:space="preserve">1</w:t>
      </w:r>
      <w:r>
        <w:rPr>
          <w:rStyle w:val="NormalTok"/>
        </w:rPr>
        <w:t xml:space="preserve">)</w:t>
      </w:r>
      <w:r>
        <w:br/>
      </w:r>
      <w:r>
        <w:rPr>
          <w:rStyle w:val="NormalTok"/>
        </w:rPr>
        <w:t xml:space="preserve">    axs[i].set_title(</w:t>
      </w:r>
      <w:r>
        <w:rPr>
          <w:rStyle w:val="SpecialStringTok"/>
        </w:rPr>
        <w:t xml:space="preserve">f'Filter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bookmarkEnd w:id="233"/>
    <w:bookmarkEnd w:id="234"/>
    <w:bookmarkStart w:id="236"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CommentTok"/>
        </w:rPr>
        <w:t xml:space="preserve">#img_SAR.sel(band=2).drop("band").imshow()</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xr.ufuncs.log10(filtre_moyen).plot.imshow()</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w:bookmarkStart w:id="235" w:name="eq-lee-filter"/>
      <m:oMathPara>
        <m:oMathParaPr>
          <m:jc m:val="center"/>
        </m:oMathParaPr>
        <m:oMath>
          <m:m>
            <m:mPr>
              <m:baseJc m:val="center"/>
              <m:plcHide m:val="on"/>
              <m:mcs>
                <m:mc>
                  <m:mcPr>
                    <m:mcJc m:val="right"/>
                    <m:count m:val="1"/>
                  </m:mcPr>
                </m:mc>
                <m:mc>
                  <m:mcPr>
                    <m:mcJc m:val="left"/>
                    <m:count m:val="1"/>
                  </m:mcPr>
                </m:mc>
              </m:mcs>
            </m:mPr>
            <m:mr>
              <m:e>
                <m:sSub>
                  <m:e>
                    <m:r>
                      <m:t>I</m:t>
                    </m:r>
                  </m:e>
                  <m:sub>
                    <m:r>
                      <m:t>F</m:t>
                    </m:r>
                  </m:sub>
                </m:sSub>
              </m:e>
              <m:e>
                <m:r>
                  <m:rPr>
                    <m:sty m:val="p"/>
                  </m:rPr>
                  <m:t>=</m:t>
                </m:r>
                <m:sSub>
                  <m:e>
                    <m:r>
                      <m:t>I</m:t>
                    </m:r>
                  </m:e>
                  <m:sub>
                    <m:r>
                      <m:t>M</m:t>
                    </m:r>
                  </m:sub>
                </m:sSub>
                <m:r>
                  <m:rPr>
                    <m:sty m:val="p"/>
                  </m:rPr>
                  <m:t>+</m:t>
                </m:r>
                <m:r>
                  <m:t>K</m:t>
                </m:r>
                <m:r>
                  <m:rPr>
                    <m:sty m:val="p"/>
                  </m:rPr>
                  <m:t>×</m:t>
                </m:r>
                <m:d>
                  <m:dPr>
                    <m:begChr m:val="("/>
                    <m:endChr m:val=")"/>
                    <m:sepChr m:val=""/>
                    <m:grow/>
                  </m:dPr>
                  <m:e>
                    <m:r>
                      <m:t>I</m:t>
                    </m:r>
                    <m:r>
                      <m:rPr>
                        <m:sty m:val="p"/>
                      </m:rPr>
                      <m:t>−</m:t>
                    </m:r>
                    <m:sSub>
                      <m:e>
                        <m:r>
                          <m:t>I</m:t>
                        </m:r>
                      </m:e>
                      <m:sub>
                        <m:r>
                          <m:t>M</m:t>
                        </m:r>
                      </m:sub>
                    </m:sSub>
                  </m:e>
                </m:d>
              </m:e>
            </m:mr>
            <m:mr>
              <m:e>
                <m:r>
                  <m:t>K</m:t>
                </m:r>
              </m:e>
              <m:e>
                <m:r>
                  <m:rPr>
                    <m:sty m:val="p"/>
                  </m:rPr>
                  <m:t>=</m:t>
                </m:r>
                <m:f>
                  <m:fPr>
                    <m:type m:val="bar"/>
                  </m:fPr>
                  <m:num>
                    <m:sSubSup>
                      <m:e>
                        <m:r>
                          <m:t>σ</m:t>
                        </m:r>
                      </m:e>
                      <m:sub>
                        <m:r>
                          <m:t>I</m:t>
                        </m:r>
                      </m:sub>
                      <m:sup>
                        <m:r>
                          <m:t>2</m:t>
                        </m:r>
                      </m:sup>
                    </m:sSubSup>
                  </m:num>
                  <m:den>
                    <m:sSubSup>
                      <m:e>
                        <m:r>
                          <m:t>σ</m:t>
                        </m:r>
                      </m:e>
                      <m:sub>
                        <m:r>
                          <m:t>I</m:t>
                        </m:r>
                      </m:sub>
                      <m:sup>
                        <m:r>
                          <m:t>2</m:t>
                        </m:r>
                      </m:sup>
                    </m:sSubSup>
                    <m:r>
                      <m:rPr>
                        <m:sty m:val="p"/>
                      </m:rPr>
                      <m:t>+</m:t>
                    </m:r>
                    <m:sSubSup>
                      <m:e>
                        <m:r>
                          <m:t>σ</m:t>
                        </m:r>
                      </m:e>
                      <m:sub>
                        <m:r>
                          <m:t>b</m:t>
                        </m:r>
                        <m:r>
                          <m:t>r</m:t>
                        </m:r>
                        <m:r>
                          <m:t>u</m:t>
                        </m:r>
                        <m:r>
                          <m:t>i</m:t>
                        </m:r>
                        <m:r>
                          <m:t>t</m:t>
                        </m:r>
                      </m:sub>
                      <m:sup>
                        <m:r>
                          <m:t>2</m:t>
                        </m:r>
                      </m:sup>
                    </m:sSubSup>
                  </m:den>
                </m:f>
              </m:e>
            </m:mr>
          </m:m>
          <m:r>
            <m:t>  </m:t>
          </m:r>
          <m:d>
            <m:dPr>
              <m:begChr m:val="("/>
              <m:endChr m:val=")"/>
              <m:sepChr m:val=""/>
              <m:grow/>
            </m:dPr>
            <m:e>
              <m:r>
                <m:t>5.1</m:t>
              </m:r>
            </m:e>
          </m:d>
        </m:oMath>
      </m:oMathPara>
      <w:bookmarkEnd w:id="235"/>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bookmarkEnd w:id="236"/>
    <w:bookmarkEnd w:id="237"/>
    <w:bookmarkStart w:id="238" w:name="segmentation"/>
    <w:p>
      <w:pPr>
        <w:pStyle w:val="Heading2"/>
      </w:pPr>
      <w:r>
        <w:t xml:space="preserve">5.4 Segmentation</w:t>
      </w:r>
    </w:p>
    <w:bookmarkEnd w:id="238"/>
    <w:bookmarkStart w:id="239" w:name="vectorisation-et-rasterisation"/>
    <w:p>
      <w:pPr>
        <w:pStyle w:val="Heading2"/>
      </w:pPr>
      <w:r>
        <w:t xml:space="preserve">5.5 Vectorisation et rasterisation</w:t>
      </w:r>
    </w:p>
    <w:bookmarkEnd w:id="239"/>
    <w:bookmarkStart w:id="244" w:name="analyse-de-terrain"/>
    <w:p>
      <w:pPr>
        <w:pStyle w:val="Heading2"/>
      </w:pPr>
      <w:r>
        <w:t xml:space="preserve">5.6 Analyse de terrain</w:t>
      </w:r>
    </w:p>
    <w:bookmarkStart w:id="240" w:name="élévation"/>
    <w:p>
      <w:pPr>
        <w:pStyle w:val="Heading3"/>
      </w:pPr>
      <w:r>
        <w:t xml:space="preserve">5.6.1 Élévation</w:t>
      </w:r>
    </w:p>
    <w:bookmarkEnd w:id="240"/>
    <w:bookmarkStart w:id="241" w:name="pente"/>
    <w:p>
      <w:pPr>
        <w:pStyle w:val="Heading3"/>
      </w:pPr>
      <w:r>
        <w:t xml:space="preserve">5.6.2 Pente</w:t>
      </w:r>
    </w:p>
    <w:bookmarkEnd w:id="241"/>
    <w:bookmarkStart w:id="242" w:name="ombrage"/>
    <w:p>
      <w:pPr>
        <w:pStyle w:val="Heading3"/>
      </w:pPr>
      <w:r>
        <w:t xml:space="preserve">5.6.3 Ombrage</w:t>
      </w:r>
    </w:p>
    <w:bookmarkEnd w:id="242"/>
    <w:bookmarkStart w:id="243" w:name="visibilité"/>
    <w:p>
      <w:pPr>
        <w:pStyle w:val="Heading3"/>
      </w:pPr>
      <w:r>
        <w:t xml:space="preserve">5.6.4 Visibilité</w:t>
      </w:r>
    </w:p>
    <w:bookmarkEnd w:id="243"/>
    <w:bookmarkEnd w:id="244"/>
    <w:bookmarkStart w:id="245" w:name="quiz-de-révision-du-chapitre-3"/>
    <w:p>
      <w:pPr>
        <w:pStyle w:val="Heading2"/>
      </w:pPr>
      <w:r>
        <w:t xml:space="preserve">5.7 Quiz de révision du chapitre</w:t>
      </w:r>
    </w:p>
    <w:bookmarkEnd w:id="245"/>
    <w:bookmarkStart w:id="246" w:name="exercices-de-révision-3"/>
    <w:p>
      <w:pPr>
        <w:pStyle w:val="Heading2"/>
      </w:pPr>
      <w:r>
        <w:t xml:space="preserve">5.8 Exercices de révision</w:t>
      </w:r>
    </w:p>
    <w:bookmarkEnd w:id="246"/>
    <w:bookmarkEnd w:id="247"/>
    <w:bookmarkStart w:id="260" w:name="bibliographie"/>
    <w:p>
      <w:pPr>
        <w:pStyle w:val="Heading1"/>
      </w:pPr>
      <w:r>
        <w:t xml:space="preserve">Bibliographie</w:t>
      </w:r>
    </w:p>
    <w:bookmarkStart w:id="259" w:name="refs"/>
    <w:bookmarkStart w:id="249"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48">
        <w:r>
          <w:rPr>
            <w:rStyle w:val="Hyperlink"/>
          </w:rPr>
          <w:t xml:space="preserve">https://web.stanford.edu/class/cme324/classics/cooley-tukey.pdf</w:t>
        </w:r>
      </w:hyperlink>
      <w:r>
        <w:t xml:space="preserve">.</w:t>
      </w:r>
    </w:p>
    <w:bookmarkEnd w:id="249"/>
    <w:bookmarkStart w:id="251"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50">
        <w:r>
          <w:rPr>
            <w:rStyle w:val="Hyperlink"/>
          </w:rPr>
          <w:t xml:space="preserve">https://doi.org/10.1038/s41586-020-2649-2</w:t>
        </w:r>
      </w:hyperlink>
      <w:r>
        <w:t xml:space="preserve">.</w:t>
      </w:r>
    </w:p>
    <w:bookmarkEnd w:id="251"/>
    <w:bookmarkStart w:id="253"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252">
        <w:r>
          <w:rPr>
            <w:rStyle w:val="Hyperlink"/>
          </w:rPr>
          <w:t xml:space="preserve">https://doi.org/10.5334/jors.148</w:t>
        </w:r>
      </w:hyperlink>
      <w:r>
        <w:t xml:space="preserve">.</w:t>
      </w:r>
    </w:p>
    <w:bookmarkEnd w:id="253"/>
    <w:bookmarkStart w:id="254" w:name="ref-Scharr1999"/>
    <w:p>
      <w:pPr>
        <w:pStyle w:val="Bibliography"/>
      </w:pPr>
      <w:r>
        <w:t xml:space="preserve">Jahne, Scharr, B et Korkel S. 1999.</w:t>
      </w:r>
      <w:r>
        <w:t xml:space="preserve"> </w:t>
      </w:r>
      <w:r>
        <w:rPr>
          <w:i/>
          <w:iCs/>
        </w:rPr>
        <w:t xml:space="preserve">Principles of filter design</w:t>
      </w:r>
      <w:r>
        <w:t xml:space="preserve">. Handbook of Computer Vision; Applications; Academic Press.</w:t>
      </w:r>
    </w:p>
    <w:bookmarkEnd w:id="254"/>
    <w:bookmarkStart w:id="256"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255">
        <w:r>
          <w:rPr>
            <w:rStyle w:val="Hyperlink"/>
          </w:rPr>
          <w:t xml:space="preserve">https://doi.org/10.1117/12.7973877</w:t>
        </w:r>
      </w:hyperlink>
      <w:r>
        <w:t xml:space="preserve">.</w:t>
      </w:r>
    </w:p>
    <w:bookmarkEnd w:id="256"/>
    <w:bookmarkStart w:id="258" w:name="ref-OGCGeoTIFF"/>
    <w:p>
      <w:pPr>
        <w:pStyle w:val="Bibliography"/>
      </w:pPr>
      <w:r>
        <w:t xml:space="preserve">OGC. 2019.</w:t>
      </w:r>
      <w:r>
        <w:t xml:space="preserve"> </w:t>
      </w:r>
      <w:r>
        <w:t xml:space="preserve">« </w:t>
      </w:r>
      <w:r>
        <w:t xml:space="preserve">OGC GeoTIFF Standard</w:t>
      </w:r>
      <w:r>
        <w:t xml:space="preserve">. »</w:t>
      </w:r>
      <w:r>
        <w:t xml:space="preserve"> </w:t>
      </w:r>
      <w:hyperlink r:id="rId257">
        <w:r>
          <w:rPr>
            <w:rStyle w:val="Hyperlink"/>
          </w:rPr>
          <w:t xml:space="preserve">https://docs.ogc.org/is/19-008r4/19-008r4.html/</w:t>
        </w:r>
      </w:hyperlink>
      <w:r>
        <w:t xml:space="preserve">.</w:t>
      </w:r>
    </w:p>
    <w:bookmarkEnd w:id="258"/>
    <w:bookmarkEnd w:id="259"/>
    <w:bookmarkEnd w:id="2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24" Target="media/rId224.png" /><Relationship Type="http://schemas.openxmlformats.org/officeDocument/2006/relationships/image" Id="rId97" Target="media/rId97.svg" /><Relationship Type="http://schemas.openxmlformats.org/officeDocument/2006/relationships/image" Id="rId145" Target="media/rId145.png" /><Relationship Type="http://schemas.openxmlformats.org/officeDocument/2006/relationships/image" Id="rId135" Target="media/rId135.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2" Target="https://colab.research.google.com/github/sfoucher/TraitementImagesPythonVol1/blob/main/notebooks/03-TransformationSpectrales.ipynb" TargetMode="External" /><Relationship Type="http://schemas.openxmlformats.org/officeDocument/2006/relationships/hyperlink" Id="rId214"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57"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23"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0" Target="https://doi.org/10.1038/s41586-020-2649-2" TargetMode="External" /><Relationship Type="http://schemas.openxmlformats.org/officeDocument/2006/relationships/hyperlink" Id="rId255" Target="https://doi.org/10.1117/12.7973877" TargetMode="External" /><Relationship Type="http://schemas.openxmlformats.org/officeDocument/2006/relationships/hyperlink" Id="rId252"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2"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3"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48"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2" Target="https://colab.research.google.com/github/sfoucher/TraitementImagesPythonVol1/blob/main/notebooks/03-TransformationSpectrales.ipynb" TargetMode="External" /><Relationship Type="http://schemas.openxmlformats.org/officeDocument/2006/relationships/hyperlink" Id="rId214"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57"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23"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0" Target="https://doi.org/10.1038/s41586-020-2649-2" TargetMode="External" /><Relationship Type="http://schemas.openxmlformats.org/officeDocument/2006/relationships/hyperlink" Id="rId255" Target="https://doi.org/10.1117/12.7973877" TargetMode="External" /><Relationship Type="http://schemas.openxmlformats.org/officeDocument/2006/relationships/hyperlink" Id="rId252"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2"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3"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48"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2025-01-13T01:31:12Z</dcterms:created>
  <dcterms:modified xsi:type="dcterms:W3CDTF">2025-01-13T01:31:12Z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2025-01-12</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