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2.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sec-013"/>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sec-012"/>
    <w:p>
      <w:pPr>
        <w:pStyle w:val="Heading2"/>
      </w:pPr>
      <w:r>
        <w:t xml:space="preserve">2.5 Importation de données vectorielles</w:t>
      </w:r>
    </w:p>
    <w:bookmarkStart w:id="163" w:name="sec-0121"/>
    <w:p>
      <w:pPr>
        <w:pStyle w:val="Heading3"/>
      </w:pPr>
      <w:r>
        <w:t xml:space="preserve">2.5.1 Importation d’un fichier</w:t>
      </w:r>
      <w:r>
        <w:t xml:space="preserve"> </w:t>
      </w:r>
      <w:r>
        <w:rPr>
          <w:i/>
          <w:iCs/>
        </w:rPr>
        <w:t xml:space="preserve">shapefile</w:t>
      </w:r>
    </w:p>
    <w:bookmarkEnd w:id="163"/>
    <w:bookmarkStart w:id="164" w:name="sec-0122"/>
    <w:p>
      <w:pPr>
        <w:pStyle w:val="Heading3"/>
      </w:pPr>
      <w:r>
        <w:t xml:space="preserve">2.5.2 Importation d’une couche dans un</w:t>
      </w:r>
      <w:r>
        <w:t xml:space="preserve"> </w:t>
      </w:r>
      <w:r>
        <w:rPr>
          <w:i/>
          <w:iCs/>
        </w:rPr>
        <w:t xml:space="preserve">GeoPackage</w:t>
      </w:r>
    </w:p>
    <w:bookmarkEnd w:id="164"/>
    <w:bookmarkStart w:id="16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sec-0124"/>
    <w:p>
      <w:pPr>
        <w:pStyle w:val="Heading3"/>
      </w:pPr>
      <w:r>
        <w:t xml:space="preserve">2.5.4 Importation d’un fichier</w:t>
      </w:r>
      <w:r>
        <w:t xml:space="preserve"> </w:t>
      </w:r>
      <w:r>
        <w:rPr>
          <w:i/>
          <w:iCs/>
        </w:rPr>
        <w:t xml:space="preserve">shapefile</w:t>
      </w:r>
    </w:p>
    <w:bookmarkEnd w:id="166"/>
    <w:bookmarkEnd w:id="167"/>
    <w:bookmarkStart w:id="169" w:name="sec-014"/>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sec-015"/>
    <w:p>
      <w:pPr>
        <w:pStyle w:val="Heading2"/>
      </w:pPr>
      <w:r>
        <w:t xml:space="preserve">2.7 Quiz de révision du chapitre</w:t>
      </w:r>
    </w:p>
    <w:bookmarkEnd w:id="170"/>
    <w:bookmarkStart w:id="17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71"/>
    <w:bookmarkEnd w:id="172"/>
    <w:bookmarkStart w:id="198"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7"/>
    <w:bookmarkStart w:id="178"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8"/>
    <w:bookmarkEnd w:id="179"/>
    <w:bookmarkStart w:id="188"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5"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5"/>
    <w:bookmarkStart w:id="186" w:name="réhaussements-non-linéaires"/>
    <w:p>
      <w:pPr>
        <w:pStyle w:val="Heading3"/>
      </w:pPr>
      <w:r>
        <w:t xml:space="preserve">3.2.3 Réhaussements non linéaires</w:t>
      </w:r>
    </w:p>
    <w:p>
      <w:pPr>
        <w:pStyle w:val="FirstParagraph"/>
      </w:pPr>
      <w:r>
        <w:t xml:space="preserve">Calcul d’histogrammes, étirement, égalisation, styling</w:t>
      </w:r>
    </w:p>
    <w:bookmarkEnd w:id="186"/>
    <w:bookmarkStart w:id="187"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7"/>
    <w:bookmarkEnd w:id="188"/>
    <w:bookmarkStart w:id="195" w:name="visualisation"/>
    <w:p>
      <w:pPr>
        <w:pStyle w:val="Heading2"/>
      </w:pPr>
      <w:r>
        <w:t xml:space="preserve">3.3 Visualisation</w:t>
      </w:r>
    </w:p>
    <w:bookmarkStart w:id="189"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9"/>
    <w:bookmarkStart w:id="190"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0"/>
    <w:bookmarkStart w:id="193"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1">
        <w:r>
          <w:rPr>
            <w:rStyle w:val="Hyperlink"/>
          </w:rPr>
          <w:t xml:space="preserve">17. Geemap — Introduction to GIS Programming</w:t>
        </w:r>
      </w:hyperlink>
    </w:p>
    <w:p>
      <w:pPr>
        <w:pStyle w:val="BodyText"/>
      </w:pPr>
      <w:r>
        <w:t xml:space="preserve">🔖 __ — via</w:t>
      </w:r>
      <w:r>
        <w:t xml:space="preserve"> </w:t>
      </w:r>
      <w:hyperlink r:id="rId192">
        <w:r>
          <w:rPr>
            <w:rStyle w:val="Hyperlink"/>
          </w:rPr>
          <w:t xml:space="preserve">data/raster at main · opengeos/data</w:t>
        </w:r>
      </w:hyperlink>
    </w:p>
    <w:bookmarkEnd w:id="193"/>
    <w:bookmarkStart w:id="194" w:name="visualisation-3d"/>
    <w:p>
      <w:pPr>
        <w:pStyle w:val="Heading3"/>
      </w:pPr>
      <w:r>
        <w:t xml:space="preserve">3.3.4 Visualisation 3D</w:t>
      </w:r>
    </w:p>
    <w:p>
      <w:pPr>
        <w:pStyle w:val="FirstParagraph"/>
      </w:pPr>
      <w:r>
        <w:t xml:space="preserve">drapper une image satellite sur un DEM</w:t>
      </w:r>
    </w:p>
    <w:bookmarkEnd w:id="194"/>
    <w:bookmarkEnd w:id="195"/>
    <w:bookmarkStart w:id="196" w:name="quiz-de-révision-du-chapitre-1"/>
    <w:p>
      <w:pPr>
        <w:pStyle w:val="Heading2"/>
      </w:pPr>
      <w:r>
        <w:t xml:space="preserve">3.4 Quiz de révision du chapitre</w:t>
      </w:r>
    </w:p>
    <w:bookmarkEnd w:id="196"/>
    <w:bookmarkStart w:id="197" w:name="exercices-de-révision"/>
    <w:p>
      <w:pPr>
        <w:pStyle w:val="Heading2"/>
      </w:pPr>
      <w:r>
        <w:t xml:space="preserve">3.5 Exercices de révision</w:t>
      </w:r>
    </w:p>
    <w:bookmarkEnd w:id="197"/>
    <w:bookmarkEnd w:id="198"/>
    <w:bookmarkStart w:id="209" w:name="sec-chap03"/>
    <w:p>
      <w:pPr>
        <w:pStyle w:val="Heading1"/>
      </w:pPr>
      <w:r>
        <w:t xml:space="preserve">4. Transformations spectrales</w:t>
      </w:r>
    </w:p>
    <w:bookmarkStart w:id="203"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1">
        <w:r>
          <w:drawing>
            <wp:inline>
              <wp:extent cx="1114425" cy="190500"/>
              <wp:effectExtent b="0" l="0" r="0" t="0"/>
              <wp:docPr descr="" title="" id="199" name="Picture"/>
              <a:graphic>
                <a:graphicData uri="http://schemas.openxmlformats.org/drawingml/2006/picture">
                  <pic:pic>
                    <pic:nvPicPr>
                      <pic:cNvPr descr="https://colab.research.google.com/assets/colab-badge.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2"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202"/>
    <w:bookmarkEnd w:id="203"/>
    <w:bookmarkStart w:id="204"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4"/>
    <w:bookmarkStart w:id="205"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5"/>
    <w:bookmarkStart w:id="207" w:name="réduction-de-dimension"/>
    <w:p>
      <w:pPr>
        <w:pStyle w:val="Heading2"/>
      </w:pPr>
      <w:r>
        <w:t xml:space="preserve">4.4 Réduction de dimension</w:t>
      </w:r>
    </w:p>
    <w:bookmarkStart w:id="206" w:name="analyses-en-composantes-principales"/>
    <w:p>
      <w:pPr>
        <w:pStyle w:val="Heading3"/>
      </w:pPr>
      <w:r>
        <w:t xml:space="preserve">4.4.1 Analyses en composantes principales</w:t>
      </w:r>
    </w:p>
    <w:bookmarkEnd w:id="206"/>
    <w:bookmarkEnd w:id="207"/>
    <w:bookmarkStart w:id="208" w:name="exercices-de-révision-1"/>
    <w:p>
      <w:pPr>
        <w:pStyle w:val="Heading2"/>
      </w:pPr>
      <w:r>
        <w:t xml:space="preserve">4.5 Exercices de révision</w:t>
      </w:r>
    </w:p>
    <w:bookmarkEnd w:id="208"/>
    <w:bookmarkEnd w:id="209"/>
    <w:bookmarkStart w:id="244" w:name="sec-chap04"/>
    <w:p>
      <w:pPr>
        <w:pStyle w:val="Heading1"/>
      </w:pPr>
      <w:r>
        <w:t xml:space="preserve">5. Transformations spatiales</w:t>
      </w:r>
    </w:p>
    <w:bookmarkStart w:id="216" w:name="rocket-préambule-3"/>
    <w:p>
      <w:pPr>
        <w:pStyle w:val="Heading2"/>
      </w:pPr>
      <w:r>
        <w:t xml:space="preserve">5.1 :rocket: Préambule</w:t>
      </w:r>
    </w:p>
    <w:p>
      <w:pPr>
        <w:pStyle w:val="FirstParagraph"/>
      </w:pPr>
      <w:r>
        <w:t xml:space="preserve">Assurez-vous de lire ce préambule avant d’exécutez le reste du notebook.</w:t>
      </w:r>
    </w:p>
    <w:bookmarkStart w:id="213"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2">
        <w:r>
          <w:drawing>
            <wp:inline>
              <wp:extent cx="1114425" cy="190500"/>
              <wp:effectExtent b="0" l="0" r="0" t="0"/>
              <wp:docPr descr="" title="" id="210" name="Picture"/>
              <a:graphic>
                <a:graphicData uri="http://schemas.openxmlformats.org/drawingml/2006/picture">
                  <pic:pic>
                    <pic:nvPicPr>
                      <pic:cNvPr descr="https://colab.research.google.com/assets/colab-badge.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3"/>
    <w:bookmarkStart w:id="214"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4"/>
    <w:bookmarkStart w:id="215"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5"/>
    <w:bookmarkEnd w:id="216"/>
    <w:bookmarkStart w:id="220"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7"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17"/>
    <w:bookmarkStart w:id="218" w:name="filtrage-fréquentielle"/>
    <w:p>
      <w:pPr>
        <w:pStyle w:val="Heading3"/>
      </w:pPr>
      <w:r>
        <w:t xml:space="preserve">5.2.2 Filtrage fréquentielle</w:t>
      </w:r>
    </w:p>
    <w:bookmarkEnd w:id="218"/>
    <w:bookmarkStart w:id="219"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19"/>
    <w:bookmarkEnd w:id="220"/>
    <w:bookmarkStart w:id="234"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1">
        <w:r>
          <w:rPr>
            <w:rStyle w:val="Hyperlink"/>
          </w:rPr>
          <w:t xml:space="preserve">Multidimensional image processing (scipy.ndimage)</w:t>
        </w:r>
      </w:hyperlink>
      <w:r>
        <w:t xml:space="preserve">) contient une panoplie complète de filtres.</w:t>
      </w:r>
    </w:p>
    <w:bookmarkStart w:id="232"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3" name="Picture"/>
                  <a:graphic>
                    <a:graphicData uri="http://schemas.openxmlformats.org/drawingml/2006/picture">
                      <pic:pic>
                        <pic:nvPicPr>
                          <pic:cNvPr descr="/opt/quarto/share/formats/docx/note.png" id="224" name="Picture"/>
                          <pic:cNvPicPr>
                            <a:picLocks noChangeArrowheads="1" noChangeAspect="1"/>
                          </pic:cNvPicPr>
                        </pic:nvPicPr>
                        <pic:blipFill>
                          <a:blip r:embed="rId2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5" name="Picture"/>
                  <a:graphic>
                    <a:graphicData uri="http://schemas.openxmlformats.org/drawingml/2006/picture">
                      <pic:pic>
                        <pic:nvPicPr>
                          <pic:cNvPr descr="/opt/quarto/share/formats/docx/note.png" id="226" name="Picture"/>
                          <pic:cNvPicPr>
                            <a:picLocks noChangeArrowheads="1" noChangeAspect="1"/>
                          </pic:cNvPicPr>
                        </pic:nvPicPr>
                        <pic:blipFill>
                          <a:blip r:embed="rId2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8"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27" w:name="gestion-des-bordures"/>
    <w:p>
      <w:pPr>
        <w:pStyle w:val="Heading5"/>
      </w:pPr>
      <w:r>
        <w:t xml:space="preserve">5.3.1.1.1 Gestion des bordures</w:t>
      </w:r>
    </w:p>
    <w:bookmarkEnd w:id="227"/>
    <w:bookmarkEnd w:id="228"/>
    <w:bookmarkStart w:id="231"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29" name="Picture"/>
                  <a:graphic>
                    <a:graphicData uri="http://schemas.openxmlformats.org/drawingml/2006/picture">
                      <pic:pic>
                        <pic:nvPicPr>
                          <pic:cNvPr descr="/opt/quarto/share/formats/docx/important.png" id="23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231"/>
    <w:bookmarkEnd w:id="232"/>
    <w:bookmarkStart w:id="233"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r>
        <w:t xml:space="preserve">$$ I_F = I_M + K \times (I - I_M)\\
K= \frac{\sigma^2_I}{\sigma^2_I + \sigma^2_{bruit}}
$$</w:t>
      </w:r>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xr.ufuncs.log10(filtre_moyen).isel(x</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),y</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)).plot.imshow()</w:t>
      </w:r>
      <w:r>
        <w:br/>
      </w:r>
      <w:r>
        <w:rPr>
          <w:rStyle w:val="NormalTok"/>
        </w:rPr>
        <w:t xml:space="preserve">axes[</w:t>
      </w:r>
      <w:r>
        <w:rPr>
          <w:rStyle w:val="DecValTok"/>
        </w:rPr>
        <w:t xml:space="preserve">0</w:t>
      </w:r>
      <w:r>
        <w:rPr>
          <w:rStyle w:val="NormalTok"/>
        </w:rPr>
        <w:t xml:space="preserve">].set_title(</w:t>
      </w:r>
      <w:r>
        <w:rPr>
          <w:rStyle w:val="StringTok"/>
        </w:rPr>
        <w:t xml:space="preserve">"Filtre moyen"</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xr.ufuncs.log10(filtered).isel(x</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),y</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)).plot.imshow() </w:t>
      </w:r>
      <w:r>
        <w:rPr>
          <w:rStyle w:val="CommentTok"/>
        </w:rPr>
        <w:t xml:space="preserve">#cmap=plt.get_cmap('hot'),</w:t>
      </w:r>
      <w:r>
        <w:br/>
      </w:r>
      <w:r>
        <w:rPr>
          <w:rStyle w:val="NormalTok"/>
        </w:rPr>
        <w:t xml:space="preserve">axes[</w:t>
      </w:r>
      <w:r>
        <w:rPr>
          <w:rStyle w:val="DecValTok"/>
        </w:rPr>
        <w:t xml:space="preserve">1</w:t>
      </w:r>
      <w:r>
        <w:rPr>
          <w:rStyle w:val="NormalTok"/>
        </w:rPr>
        <w:t xml:space="preserve">].set_title(</w:t>
      </w:r>
      <w:r>
        <w:rPr>
          <w:rStyle w:val="StringTok"/>
        </w:rPr>
        <w:t xml:space="preserve">"Filtre de Lee"</w:t>
      </w:r>
      <w:r>
        <w:rPr>
          <w:rStyle w:val="NormalTok"/>
        </w:rPr>
        <w:t xml:space="preserve">)</w:t>
      </w:r>
    </w:p>
    <w:bookmarkEnd w:id="233"/>
    <w:bookmarkEnd w:id="234"/>
    <w:bookmarkStart w:id="235" w:name="segmentation"/>
    <w:p>
      <w:pPr>
        <w:pStyle w:val="Heading2"/>
      </w:pPr>
      <w:r>
        <w:t xml:space="preserve">5.4 Segmentation</w:t>
      </w:r>
    </w:p>
    <w:bookmarkEnd w:id="235"/>
    <w:bookmarkStart w:id="236" w:name="vectorisation-et-rasterisation"/>
    <w:p>
      <w:pPr>
        <w:pStyle w:val="Heading2"/>
      </w:pPr>
      <w:r>
        <w:t xml:space="preserve">5.5 Vectorisation et rasterisation</w:t>
      </w:r>
    </w:p>
    <w:bookmarkEnd w:id="236"/>
    <w:bookmarkStart w:id="241" w:name="analyse-de-terrain"/>
    <w:p>
      <w:pPr>
        <w:pStyle w:val="Heading2"/>
      </w:pPr>
      <w:r>
        <w:t xml:space="preserve">5.6 Analyse de terrain</w:t>
      </w:r>
    </w:p>
    <w:bookmarkStart w:id="237" w:name="élévation"/>
    <w:p>
      <w:pPr>
        <w:pStyle w:val="Heading3"/>
      </w:pPr>
      <w:r>
        <w:t xml:space="preserve">5.6.1 Élévation</w:t>
      </w:r>
    </w:p>
    <w:bookmarkEnd w:id="237"/>
    <w:bookmarkStart w:id="238" w:name="pente"/>
    <w:p>
      <w:pPr>
        <w:pStyle w:val="Heading3"/>
      </w:pPr>
      <w:r>
        <w:t xml:space="preserve">5.6.2 Pente</w:t>
      </w:r>
    </w:p>
    <w:bookmarkEnd w:id="238"/>
    <w:bookmarkStart w:id="239" w:name="ombrage"/>
    <w:p>
      <w:pPr>
        <w:pStyle w:val="Heading3"/>
      </w:pPr>
      <w:r>
        <w:t xml:space="preserve">5.6.3 Ombrage</w:t>
      </w:r>
    </w:p>
    <w:bookmarkEnd w:id="239"/>
    <w:bookmarkStart w:id="240" w:name="visibilité"/>
    <w:p>
      <w:pPr>
        <w:pStyle w:val="Heading3"/>
      </w:pPr>
      <w:r>
        <w:t xml:space="preserve">5.6.4 Visibilité</w:t>
      </w:r>
    </w:p>
    <w:bookmarkEnd w:id="240"/>
    <w:bookmarkEnd w:id="241"/>
    <w:bookmarkStart w:id="242" w:name="quiz-de-révision-du-chapitre-2"/>
    <w:p>
      <w:pPr>
        <w:pStyle w:val="Heading2"/>
      </w:pPr>
      <w:r>
        <w:t xml:space="preserve">5.7 Quiz de révision du chapitre</w:t>
      </w:r>
    </w:p>
    <w:bookmarkEnd w:id="242"/>
    <w:bookmarkStart w:id="243" w:name="exercices-de-révision-2"/>
    <w:p>
      <w:pPr>
        <w:pStyle w:val="Heading2"/>
      </w:pPr>
      <w:r>
        <w:t xml:space="preserve">5.8 Exercices de révision</w:t>
      </w:r>
    </w:p>
    <w:bookmarkEnd w:id="243"/>
    <w:bookmarkEnd w:id="244"/>
    <w:bookmarkStart w:id="256" w:name="bibliographie"/>
    <w:p>
      <w:pPr>
        <w:pStyle w:val="Heading1"/>
      </w:pPr>
      <w:r>
        <w:t xml:space="preserve">Bibliographie</w:t>
      </w:r>
    </w:p>
    <w:bookmarkStart w:id="255" w:name="refs"/>
    <w:bookmarkStart w:id="246"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5">
        <w:r>
          <w:rPr>
            <w:rStyle w:val="Hyperlink"/>
          </w:rPr>
          <w:t xml:space="preserve">https://web.stanford.edu/class/cme324/classics/cooley-tukey.pdf</w:t>
        </w:r>
      </w:hyperlink>
      <w:r>
        <w:t xml:space="preserve">.</w:t>
      </w:r>
    </w:p>
    <w:bookmarkEnd w:id="246"/>
    <w:bookmarkStart w:id="248"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47">
        <w:r>
          <w:rPr>
            <w:rStyle w:val="Hyperlink"/>
          </w:rPr>
          <w:t xml:space="preserve">https://doi.org/10.1038/s41586-020-2649-2</w:t>
        </w:r>
      </w:hyperlink>
      <w:r>
        <w:t xml:space="preserve">.</w:t>
      </w:r>
    </w:p>
    <w:bookmarkEnd w:id="248"/>
    <w:bookmarkStart w:id="250"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49">
        <w:r>
          <w:rPr>
            <w:rStyle w:val="Hyperlink"/>
          </w:rPr>
          <w:t xml:space="preserve">https://doi.org/10.5334/jors.148</w:t>
        </w:r>
      </w:hyperlink>
      <w:r>
        <w:t xml:space="preserve">.</w:t>
      </w:r>
    </w:p>
    <w:bookmarkEnd w:id="250"/>
    <w:bookmarkStart w:id="252"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1">
        <w:r>
          <w:rPr>
            <w:rStyle w:val="Hyperlink"/>
          </w:rPr>
          <w:t xml:space="preserve">https://doi.org/10.1117/12.7973877</w:t>
        </w:r>
      </w:hyperlink>
      <w:r>
        <w:t xml:space="preserve">.</w:t>
      </w:r>
    </w:p>
    <w:bookmarkEnd w:id="252"/>
    <w:bookmarkStart w:id="254" w:name="ref-OGCGeoTIFF"/>
    <w:p>
      <w:pPr>
        <w:pStyle w:val="Bibliography"/>
      </w:pPr>
      <w:r>
        <w:t xml:space="preserve">OGC. 2019.</w:t>
      </w:r>
      <w:r>
        <w:t xml:space="preserve"> </w:t>
      </w:r>
      <w:r>
        <w:t xml:space="preserve">« </w:t>
      </w:r>
      <w:r>
        <w:t xml:space="preserve">OGC GeoTIFF Standard</w:t>
      </w:r>
      <w:r>
        <w:t xml:space="preserve">. »</w:t>
      </w:r>
      <w:r>
        <w:t xml:space="preserve"> </w:t>
      </w:r>
      <w:hyperlink r:id="rId253">
        <w:r>
          <w:rPr>
            <w:rStyle w:val="Hyperlink"/>
          </w:rPr>
          <w:t xml:space="preserve">https://docs.ogc.org/is/19-008r4/19-008r4.html/</w:t>
        </w:r>
      </w:hyperlink>
      <w:r>
        <w:t xml:space="preserve">.</w:t>
      </w:r>
    </w:p>
    <w:bookmarkEnd w:id="254"/>
    <w:bookmarkEnd w:id="255"/>
    <w:bookmarkEnd w:id="2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2" Target="media/rId222.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2"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3"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1"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7" Target="https://doi.org/10.1038/s41586-020-2649-2" TargetMode="External" /><Relationship Type="http://schemas.openxmlformats.org/officeDocument/2006/relationships/hyperlink" Id="rId251" Target="https://doi.org/10.1117/12.7973877" TargetMode="External" /><Relationship Type="http://schemas.openxmlformats.org/officeDocument/2006/relationships/hyperlink" Id="rId249"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5"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2"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3"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1"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7" Target="https://doi.org/10.1038/s41586-020-2649-2" TargetMode="External" /><Relationship Type="http://schemas.openxmlformats.org/officeDocument/2006/relationships/hyperlink" Id="rId251" Target="https://doi.org/10.1117/12.7973877" TargetMode="External" /><Relationship Type="http://schemas.openxmlformats.org/officeDocument/2006/relationships/hyperlink" Id="rId249"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5"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2025-01-11T23:01:35Z</dcterms:created>
  <dcterms:modified xsi:type="dcterms:W3CDTF">2025-01-11T23:01:35Z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