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26.png" ContentType="image/png"/>
  <Override PartName="/word/media/rId97.svg" ContentType="image/svg+xml"/>
  <Override PartName="/word/media/rId157.png" ContentType="image/png"/>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2025-01-12</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p>
    <w:tbl>
      <w:tblPr>
        <w:tblStyle w:val="Table"/>
        <w:tblW w:type="pct" w:w="5000"/>
        <w:tblLayout w:type="fixed"/>
        <w:tblLook w:firstRow="0" w:lastRow="0" w:firstColumn="0" w:lastColumn="0" w:noHBand="0" w:noVBand="0" w:val="0000"/>
      </w:tblPr>
      <w:tblGrid>
        <w:gridCol w:w="7920"/>
      </w:tblGrid>
      <w:tr>
        <w:tc>
          <w:tcPr/>
          <w:bookmarkStart w:id="85" w:name="fig-jupyterlab"/>
          <w:p>
            <w:pPr>
              <w:pStyle w:val="Compact"/>
              <w:jc w:val="center"/>
            </w:pPr>
            <w:r>
              <w:drawing>
                <wp:inline>
                  <wp:extent cx="5334000" cy="3853355"/>
                  <wp:effectExtent b="0" l="0" r="0" t="0"/>
                  <wp:docPr descr=""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La librairie NumPy est le fondement de nombreuses librairies scientifiques (d’après</w:t>
            </w:r>
            <w:r>
              <w:t xml:space="preserve"> </w:t>
            </w:r>
            <w:r>
              <w:t xml:space="preserve">(Harris 2020)</w:t>
            </w:r>
            <w:r>
              <w:t xml:space="preserve">).</w:t>
            </w:r>
          </w:p>
          <w:bookmarkEnd w:id="85"/>
        </w:tc>
      </w:tr>
    </w:tbl>
    <w:bookmarkEnd w:id="86"/>
    <w:bookmarkEnd w:id="87"/>
    <w:bookmarkStart w:id="91"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Start w:id="88" w:name="les-listes"/>
    <w:p>
      <w:pPr>
        <w:pStyle w:val="Heading3"/>
      </w:pPr>
      <w:r>
        <w:t xml:space="preserve">1.4.1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End w:id="88"/>
    <w:bookmarkStart w:id="89" w:name="les-tuples"/>
    <w:p>
      <w:pPr>
        <w:pStyle w:val="Heading3"/>
      </w:pPr>
      <w:r>
        <w:t xml:space="preserve">1.4.2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1.4.3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1.5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1.6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1.7 Quiz de révision du chapitre</w:t>
      </w:r>
    </w:p>
    <w:bookmarkEnd w:id="94"/>
    <w:bookmarkStart w:id="95" w:name="sec-016"/>
    <w:p>
      <w:pPr>
        <w:pStyle w:val="Heading2"/>
      </w:pPr>
      <w:r>
        <w:t xml:space="preserve">1.8 Cahier de révision (notebook)</w:t>
      </w:r>
    </w:p>
    <w:bookmarkEnd w:id="95"/>
    <w:bookmarkEnd w:id="96"/>
    <w:bookmarkStart w:id="172"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62" w:name="sec-013"/>
    <w:p>
      <w:pPr>
        <w:pStyle w:val="Heading2"/>
      </w:pPr>
      <w:r>
        <w:t xml:space="preserve">2.4 Données en géoscience</w:t>
      </w:r>
    </w:p>
    <w:p>
      <w:pPr>
        <w:pStyle w:val="FirstParagraph"/>
      </w:pPr>
      <w:r>
        <w:t xml:space="preserve">Les données en géoscience contiennent beaucoup de métadonnées et peuvent être composées de différentes variables avec différentes unités, résolution, etc. Ces données sont aussi souvent étiquetées avec des dates sur certains axes, des coordonnées géographiques, des identifiants d’expériences, etc. Par conséquent, utiliser seulement des matrices est souvent incomplet</w:t>
      </w:r>
      <w:r>
        <w:t xml:space="preserve"> </w:t>
      </w:r>
      <w:r>
        <w:t xml:space="preserve">(Hoyer et Hamman 2017)</w:t>
      </w:r>
      <w:r>
        <w:t xml:space="preserve">.</w:t>
      </w:r>
    </w:p>
    <w:p>
      <w:pPr>
        <w:pStyle w:val="BodyText"/>
      </w:pPr>
      <w:r>
        <w:t xml:space="preserve">Calibration, unités, données manquantes, données éparses.</w:t>
      </w:r>
    </w:p>
    <w:bookmarkStart w:id="161" w:name="xarray"/>
    <w:p>
      <w:pPr>
        <w:pStyle w:val="Heading3"/>
      </w:pPr>
      <w:r>
        <w:t xml:space="preserve">2.4.1 xarray</w:t>
      </w:r>
    </w:p>
    <w:p>
      <w:pPr>
        <w:pStyle w:val="FirstParagraph"/>
      </w:pPr>
      <w:hyperlink r:id="rId154">
        <w:r>
          <w:rPr>
            <w:rStyle w:val="Hyperlink"/>
          </w:rPr>
          <w:t xml:space="preserve">Xarray</w:t>
        </w:r>
      </w:hyperlink>
      <w:r>
        <w:t xml:space="preserve"> </w:t>
      </w:r>
      <w:r>
        <w:t xml:space="preserve">est une puissante bibliothèque Python qui améliore les matrices multidimensionnelles de type numpy en y ajoutant des étiquettes, des dimensions, des coordonnées et des attributs. Elle fournit deux structures de données principales :</w:t>
      </w:r>
      <w:r>
        <w:t xml:space="preserve"> </w:t>
      </w:r>
      <w:r>
        <w:rPr>
          <w:rStyle w:val="VerbatimChar"/>
        </w:rPr>
        <w:t xml:space="preserve">DataArray</w:t>
      </w:r>
      <w:r>
        <w:t xml:space="preserve"> </w:t>
      </w:r>
      <w:r>
        <w:t xml:space="preserve">(un tableau étiqueté à N dimensions) et</w:t>
      </w:r>
      <w:r>
        <w:t xml:space="preserve"> </w:t>
      </w:r>
      <w:r>
        <w:rPr>
          <w:rStyle w:val="VerbatimChar"/>
        </w:rPr>
        <w:t xml:space="preserve">Dataset</w:t>
      </w:r>
      <w:r>
        <w:t xml:space="preserve"> </w:t>
      </w:r>
      <w:r>
        <w:t xml:space="preserve">(une base de données de tableaux multidimensionnels en mémoire).</w:t>
      </w:r>
    </w:p>
    <w:p>
      <w:pPr>
        <w:pStyle w:val="BodyText"/>
      </w:pPr>
      <w:r>
        <w:t xml:space="preserve">Les caractéristiques principales sont les suivantes:</w:t>
      </w:r>
    </w:p>
    <w:p>
      <w:pPr>
        <w:numPr>
          <w:ilvl w:val="0"/>
          <w:numId w:val="1024"/>
        </w:numPr>
      </w:pPr>
      <w:r>
        <w:t xml:space="preserve">Opérations sur les dimensions nommées au lieu des numéros d’axe</w:t>
      </w:r>
    </w:p>
    <w:p>
      <w:pPr>
        <w:numPr>
          <w:ilvl w:val="0"/>
          <w:numId w:val="1024"/>
        </w:numPr>
      </w:pPr>
      <w:r>
        <w:t xml:space="preserve">Sélection et opérations basées sur les étiquettes</w:t>
      </w:r>
    </w:p>
    <w:p>
      <w:pPr>
        <w:numPr>
          <w:ilvl w:val="0"/>
          <w:numId w:val="1024"/>
        </w:numPr>
      </w:pPr>
      <w:r>
        <w:t xml:space="preserve">Diffusion automatique de tableaux basée sur les noms de dimensions</w:t>
      </w:r>
    </w:p>
    <w:p>
      <w:pPr>
        <w:numPr>
          <w:ilvl w:val="0"/>
          <w:numId w:val="1024"/>
        </w:numPr>
      </w:pPr>
      <w:r>
        <w:t xml:space="preserve">Alignement de type base de données avec des étiquettes de coordonnées</w:t>
      </w:r>
    </w:p>
    <w:p>
      <w:pPr>
        <w:numPr>
          <w:ilvl w:val="0"/>
          <w:numId w:val="1024"/>
        </w:numPr>
      </w:pPr>
      <w:r>
        <w:t xml:space="preserve">Suivi des métadonnées grâce aux dictionnaires Python</w:t>
      </w:r>
    </w:p>
    <w:bookmarkStart w:id="155" w:name="avantages"/>
    <w:p>
      <w:pPr>
        <w:pStyle w:val="Heading4"/>
      </w:pPr>
      <w:r>
        <w:t xml:space="preserve">2.4.1.1 Avantages</w:t>
      </w:r>
    </w:p>
    <w:p>
      <w:pPr>
        <w:pStyle w:val="FirstParagraph"/>
      </w:pPr>
      <w:r>
        <w:t xml:space="preserve">La bibliothèque réduit considérablement la complexité du code et améliore la lisibilité du code pour les applications de calcul scientifique dans divers domaines, notamment la physique, l’astronomie, les géosciences, la bio-informatique, l’ingénierie, la finance et l’apprentissage profond. Elle s’intègre de manière transparente avec NumPy et pandas tout en restant compatible avec l’écosystème Python au sens large.</w:t>
      </w:r>
    </w:p>
    <w:bookmarkEnd w:id="155"/>
    <w:bookmarkStart w:id="156" w:name="dataarray"/>
    <w:p>
      <w:pPr>
        <w:pStyle w:val="Heading4"/>
      </w:pPr>
      <w:r>
        <w:t xml:space="preserve">2.4.1.2 DataArray</w:t>
      </w:r>
    </w:p>
    <w:p>
      <w:pPr>
        <w:pStyle w:val="FirstParagraph"/>
      </w:pPr>
      <w:r>
        <w:t xml:space="preserve">Un tableau multidimensionnel étiqueté avec des propriétés clées :</w:t>
      </w:r>
    </w:p>
    <w:p>
      <w:pPr>
        <w:numPr>
          <w:ilvl w:val="0"/>
          <w:numId w:val="1025"/>
        </w:numPr>
      </w:pPr>
      <w:r>
        <w:rPr>
          <w:rStyle w:val="VerbatimChar"/>
        </w:rPr>
        <w:t xml:space="preserve">valeurs</w:t>
      </w:r>
      <w:r>
        <w:t xml:space="preserve"> </w:t>
      </w:r>
      <w:r>
        <w:t xml:space="preserve">: Les données réelles du tableau</w:t>
      </w:r>
    </w:p>
    <w:p>
      <w:pPr>
        <w:numPr>
          <w:ilvl w:val="0"/>
          <w:numId w:val="1025"/>
        </w:numPr>
      </w:pPr>
      <w:r>
        <w:rPr>
          <w:rStyle w:val="VerbatimChar"/>
        </w:rPr>
        <w:t xml:space="preserve">dims</w:t>
      </w:r>
      <w:r>
        <w:t xml:space="preserve"> </w:t>
      </w:r>
      <w:r>
        <w:t xml:space="preserve">: Dimensions nommées (par exemple, « x », « y », « z »)</w:t>
      </w:r>
    </w:p>
    <w:p>
      <w:pPr>
        <w:numPr>
          <w:ilvl w:val="0"/>
          <w:numId w:val="1025"/>
        </w:numPr>
      </w:pPr>
      <w:r>
        <w:rPr>
          <w:rStyle w:val="VerbatimChar"/>
        </w:rPr>
        <w:t xml:space="preserve">coords</w:t>
      </w:r>
      <w:r>
        <w:t xml:space="preserve"> </w:t>
      </w:r>
      <w:r>
        <w:t xml:space="preserve">: Dictionnaire de tableaux étiquetant chaque point</w:t>
      </w:r>
    </w:p>
    <w:p>
      <w:pPr>
        <w:numPr>
          <w:ilvl w:val="0"/>
          <w:numId w:val="1025"/>
        </w:numPr>
      </w:pPr>
      <w:r>
        <w:rPr>
          <w:rStyle w:val="VerbatimChar"/>
        </w:rPr>
        <w:t xml:space="preserve">attrs</w:t>
      </w:r>
      <w:r>
        <w:t xml:space="preserve"> </w:t>
      </w:r>
      <w:r>
        <w:t xml:space="preserve">: Stockage de métadonnées arbitraires</w:t>
      </w:r>
    </w:p>
    <w:p>
      <w:pPr>
        <w:numPr>
          <w:ilvl w:val="0"/>
          <w:numId w:val="1025"/>
        </w:numPr>
      </w:pPr>
      <w:r>
        <w:rPr>
          <w:rStyle w:val="VerbatimChar"/>
        </w:rPr>
        <w:t xml:space="preserve">name</w:t>
      </w:r>
      <w:r>
        <w:t xml:space="preserve"> </w:t>
      </w:r>
      <w:r>
        <w:t xml:space="preserve">: Identifiant facultatif</w:t>
      </w:r>
    </w:p>
    <w:bookmarkEnd w:id="156"/>
    <w:bookmarkStart w:id="160" w:name="dataset"/>
    <w:p>
      <w:pPr>
        <w:pStyle w:val="Heading4"/>
      </w:pPr>
      <w:r>
        <w:t xml:space="preserve">2.4.1.3 Dataset</w:t>
      </w:r>
    </w:p>
    <w:p>
      <w:pPr>
        <w:pStyle w:val="FirstParagraph"/>
      </w:pPr>
      <w:r>
        <w:t xml:space="preserve">Un conteneur de type dictionnaire de</w:t>
      </w:r>
      <w:r>
        <w:t xml:space="preserve"> </w:t>
      </w:r>
      <w:r>
        <w:rPr>
          <w:rStyle w:val="VerbatimChar"/>
        </w:rPr>
        <w:t xml:space="preserve">DataArrays</w:t>
      </w:r>
      <w:r>
        <w:t xml:space="preserve"> </w:t>
      </w:r>
      <w:r>
        <w:t xml:space="preserve">avec des dimensions alignées, contenant :</w:t>
      </w:r>
    </w:p>
    <w:p>
      <w:pPr>
        <w:numPr>
          <w:ilvl w:val="0"/>
          <w:numId w:val="1026"/>
        </w:numPr>
      </w:pPr>
      <w:r>
        <w:rPr>
          <w:rStyle w:val="VerbatimChar"/>
        </w:rPr>
        <w:t xml:space="preserve">dims</w:t>
      </w:r>
      <w:r>
        <w:t xml:space="preserve"> </w:t>
      </w:r>
      <w:r>
        <w:t xml:space="preserve">: Dictionnaire de correspondance entre les noms des dimensions et les longueurs</w:t>
      </w:r>
    </w:p>
    <w:p>
      <w:pPr>
        <w:numPr>
          <w:ilvl w:val="0"/>
          <w:numId w:val="1026"/>
        </w:numPr>
      </w:pPr>
      <w:r>
        <w:rPr>
          <w:rStyle w:val="VerbatimChar"/>
        </w:rPr>
        <w:t xml:space="preserve">data_vars</w:t>
      </w:r>
      <w:r>
        <w:t xml:space="preserve"> </w:t>
      </w:r>
      <w:r>
        <w:t xml:space="preserve">: Dictionnaire des variables du DataArray</w:t>
      </w:r>
    </w:p>
    <w:p>
      <w:pPr>
        <w:numPr>
          <w:ilvl w:val="0"/>
          <w:numId w:val="1026"/>
        </w:numPr>
      </w:pPr>
      <w:r>
        <w:rPr>
          <w:rStyle w:val="VerbatimChar"/>
        </w:rPr>
        <w:t xml:space="preserve">coords</w:t>
      </w:r>
      <w:r>
        <w:t xml:space="preserve"> </w:t>
      </w:r>
      <w:r>
        <w:t xml:space="preserve">: Dictionnaire des variables de coordonnées</w:t>
      </w:r>
    </w:p>
    <w:p>
      <w:pPr>
        <w:numPr>
          <w:ilvl w:val="0"/>
          <w:numId w:val="1026"/>
        </w:numPr>
      </w:pPr>
      <w:r>
        <w:rPr>
          <w:rStyle w:val="VerbatimChar"/>
        </w:rPr>
        <w:t xml:space="preserve">attrs</w:t>
      </w:r>
      <w:r>
        <w:t xml:space="preserve"> </w:t>
      </w:r>
      <w:r>
        <w:t xml:space="preserve">: Stockage des métadonnées</w:t>
      </w:r>
    </w:p>
    <w:p>
      <w:pPr>
        <w:pStyle w:val="FirstParagraph"/>
      </w:pPr>
      <w:r>
        <w:t xml:space="preserve">Les principales différences sont les suivantes :</w:t>
      </w:r>
      <w:r>
        <w:t xml:space="preserve"> </w:t>
      </w:r>
      <w:r>
        <w:t xml:space="preserve">- DataArray contient un seul tableau avec des étiquettes</w:t>
      </w:r>
      <w:r>
        <w:t xml:space="preserve"> </w:t>
      </w:r>
      <w:r>
        <w:t xml:space="preserve">- Le Dataset contient plusieurs DataArrays alignés.</w:t>
      </w:r>
    </w:p>
    <w:p>
      <w:pPr>
        <w:pStyle w:val="BodyText"/>
      </w:pPr>
      <w:r>
        <w:t xml:space="preserve">Ces trois structures prennent en charge les opérations de type dictionnaire et les calculs de coordination tout en conservant les métadonnées.</w:t>
      </w:r>
    </w:p>
    <w:p>
      <w:pPr>
        <w:pStyle w:val="BodyText"/>
      </w:pPr>
      <w:r>
        <w:drawing>
          <wp:inline>
            <wp:extent cx="5334000" cy="2670962"/>
            <wp:effectExtent b="0" l="0" r="0" t="0"/>
            <wp:docPr descr="" title="" id="158" name="Picture"/>
            <a:graphic>
              <a:graphicData uri="http://schemas.openxmlformats.org/drawingml/2006/picture">
                <pic:pic>
                  <pic:nvPicPr>
                    <pic:cNvPr descr="https://docs.xarray.dev/en/latest/_images/dataset-diagram.png" id="159" name="Picture"/>
                    <pic:cNvPicPr>
                      <a:picLocks noChangeArrowheads="1" noChangeAspect="1"/>
                    </pic:cNvPicPr>
                  </pic:nvPicPr>
                  <pic:blipFill>
                    <a:blip r:embed="rId157"/>
                    <a:stretch>
                      <a:fillRect/>
                    </a:stretch>
                  </pic:blipFill>
                  <pic:spPr bwMode="auto">
                    <a:xfrm>
                      <a:off x="0" y="0"/>
                      <a:ext cx="5334000" cy="2670962"/>
                    </a:xfrm>
                    <a:prstGeom prst="rect">
                      <a:avLst/>
                    </a:prstGeom>
                    <a:noFill/>
                    <a:ln w="9525">
                      <a:noFill/>
                      <a:headEnd/>
                      <a:tailEnd/>
                    </a:ln>
                  </pic:spPr>
                </pic:pic>
              </a:graphicData>
            </a:graphic>
          </wp:inline>
        </w:drawing>
      </w:r>
    </w:p>
    <w:p>
      <w:pPr>
        <w:pStyle w:val="BodyText"/>
      </w:pPr>
      <w:r>
        <w:t xml:space="preserve">netcdf, xarray, GRIB.</w:t>
      </w:r>
    </w:p>
    <w:p>
      <w:pPr>
        <w:pStyle w:val="BodyText"/>
      </w:pPr>
      <w:r>
        <w:t xml:space="preserve">Données météos, exemple avec SWOT.</w:t>
      </w:r>
    </w:p>
    <w:bookmarkEnd w:id="160"/>
    <w:bookmarkEnd w:id="161"/>
    <w:bookmarkEnd w:id="162"/>
    <w:bookmarkStart w:id="167" w:name="sec-012"/>
    <w:p>
      <w:pPr>
        <w:pStyle w:val="Heading2"/>
      </w:pPr>
      <w:r>
        <w:t xml:space="preserve">2.5 Importation de données vectorielles</w:t>
      </w:r>
    </w:p>
    <w:bookmarkStart w:id="163" w:name="sec-0121"/>
    <w:p>
      <w:pPr>
        <w:pStyle w:val="Heading3"/>
      </w:pPr>
      <w:r>
        <w:t xml:space="preserve">2.5.1 Importation d’un fichier</w:t>
      </w:r>
      <w:r>
        <w:t xml:space="preserve"> </w:t>
      </w:r>
      <w:r>
        <w:rPr>
          <w:i/>
          <w:iCs/>
        </w:rPr>
        <w:t xml:space="preserve">shapefile</w:t>
      </w:r>
    </w:p>
    <w:bookmarkEnd w:id="163"/>
    <w:bookmarkStart w:id="164" w:name="sec-0122"/>
    <w:p>
      <w:pPr>
        <w:pStyle w:val="Heading3"/>
      </w:pPr>
      <w:r>
        <w:t xml:space="preserve">2.5.2 Importation d’une couche dans un</w:t>
      </w:r>
      <w:r>
        <w:t xml:space="preserve"> </w:t>
      </w:r>
      <w:r>
        <w:rPr>
          <w:i/>
          <w:iCs/>
        </w:rPr>
        <w:t xml:space="preserve">GeoPackage</w:t>
      </w:r>
    </w:p>
    <w:bookmarkEnd w:id="164"/>
    <w:bookmarkStart w:id="165"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65"/>
    <w:bookmarkStart w:id="166" w:name="sec-0124"/>
    <w:p>
      <w:pPr>
        <w:pStyle w:val="Heading3"/>
      </w:pPr>
      <w:r>
        <w:t xml:space="preserve">2.5.4 Importation d’un fichier</w:t>
      </w:r>
      <w:r>
        <w:t xml:space="preserve"> </w:t>
      </w:r>
      <w:r>
        <w:rPr>
          <w:i/>
          <w:iCs/>
        </w:rPr>
        <w:t xml:space="preserve">shapefile</w:t>
      </w:r>
    </w:p>
    <w:bookmarkEnd w:id="166"/>
    <w:bookmarkEnd w:id="167"/>
    <w:bookmarkStart w:id="169" w:name="sec-014"/>
    <w:p>
      <w:pPr>
        <w:pStyle w:val="Heading2"/>
      </w:pPr>
      <w:r>
        <w:t xml:space="preserve">2.6 Manipulation de données vectorielles</w:t>
      </w:r>
    </w:p>
    <w:bookmarkStart w:id="168" w:name="requêtes-attributaires"/>
    <w:p>
      <w:pPr>
        <w:pStyle w:val="Heading3"/>
      </w:pPr>
      <w:r>
        <w:t xml:space="preserve">2.6.1 Requêtes attributaires</w:t>
      </w:r>
    </w:p>
    <w:bookmarkEnd w:id="168"/>
    <w:bookmarkEnd w:id="169"/>
    <w:bookmarkStart w:id="170" w:name="sec-015"/>
    <w:p>
      <w:pPr>
        <w:pStyle w:val="Heading2"/>
      </w:pPr>
      <w:r>
        <w:t xml:space="preserve">2.7 Quiz de révision du chapitre</w:t>
      </w:r>
    </w:p>
    <w:bookmarkEnd w:id="170"/>
    <w:bookmarkStart w:id="171"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71"/>
    <w:bookmarkEnd w:id="172"/>
    <w:bookmarkStart w:id="199"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9" w:name="rocket-préambule-1"/>
    <w:p>
      <w:pPr>
        <w:pStyle w:val="Heading2"/>
      </w:pPr>
      <w:r>
        <w:t xml:space="preserve">3.1 :rocket: Préambule</w:t>
      </w:r>
    </w:p>
    <w:bookmarkStart w:id="176"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p>
    <w:p>
      <w:pPr>
        <w:pStyle w:val="BodyText"/>
      </w:pPr>
      <w:hyperlink r:id="rId175">
        <w:r>
          <w:drawing>
            <wp:inline>
              <wp:extent cx="1114425" cy="190500"/>
              <wp:effectExtent b="0" l="0" r="0" t="0"/>
              <wp:docPr descr="" title="" id="173" name="Picture"/>
              <a:graphic>
                <a:graphicData uri="http://schemas.openxmlformats.org/drawingml/2006/picture">
                  <pic:pic>
                    <pic:nvPicPr>
                      <pic:cNvPr descr="https://colab.research.google.com/assets/colab-badge.svg" id="17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76"/>
    <w:bookmarkStart w:id="177"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7"/>
        </w:numPr>
      </w:pPr>
      <w:r>
        <w:t xml:space="preserve">SciPy</w:t>
      </w:r>
    </w:p>
    <w:p>
      <w:pPr>
        <w:numPr>
          <w:ilvl w:val="0"/>
          <w:numId w:val="1027"/>
        </w:numPr>
      </w:pPr>
      <w:r>
        <w:t xml:space="preserve">NumPy</w:t>
      </w:r>
    </w:p>
    <w:p>
      <w:pPr>
        <w:numPr>
          <w:ilvl w:val="0"/>
          <w:numId w:val="1027"/>
        </w:numPr>
      </w:pPr>
      <w:r>
        <w:t xml:space="preserve">OpenCV</w:t>
      </w:r>
    </w:p>
    <w:p>
      <w:pPr>
        <w:numPr>
          <w:ilvl w:val="0"/>
          <w:numId w:val="1027"/>
        </w:numPr>
      </w:pPr>
      <w:r>
        <w:t xml:space="preserve">RasterIO</w:t>
      </w:r>
    </w:p>
    <w:p>
      <w:pPr>
        <w:numPr>
          <w:ilvl w:val="0"/>
          <w:numId w:val="1027"/>
        </w:numPr>
      </w:pPr>
      <w:r>
        <w:t xml:space="preserve">Geemap</w:t>
      </w:r>
    </w:p>
    <w:p>
      <w:pPr>
        <w:numPr>
          <w:ilvl w:val="0"/>
          <w:numId w:val="1027"/>
        </w:numPr>
      </w:pPr>
      <w:hyperlink r:id="rId101">
        <w:r>
          <w:rPr>
            <w:rStyle w:val="Hyperlink"/>
          </w:rPr>
          <w:t xml:space="preserve">rioxarray</w:t>
        </w:r>
      </w:hyperlink>
    </w:p>
    <w:p>
      <w:pPr>
        <w:numPr>
          <w:ilvl w:val="0"/>
          <w:numId w:val="1027"/>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177"/>
    <w:bookmarkStart w:id="178" w:name="données-1"/>
    <w:p>
      <w:pPr>
        <w:pStyle w:val="Heading3"/>
      </w:pPr>
      <w:r>
        <w:t xml:space="preserve">3.1.3 Données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178"/>
    <w:bookmarkEnd w:id="179"/>
    <w:bookmarkStart w:id="189"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84"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80"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80"/>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81">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83"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82"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82"/>
    <w:bookmarkEnd w:id="183"/>
    <w:bookmarkEnd w:id="184"/>
    <w:bookmarkStart w:id="186"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w:bookmarkStart w:id="185" w:name="eq-rehauss-lin"/>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r>
            <m:t>  </m:t>
          </m:r>
          <m:d>
            <m:dPr>
              <m:begChr m:val="("/>
              <m:endChr m:val=")"/>
              <m:sepChr m:val=""/>
              <m:grow/>
            </m:dPr>
            <m:e>
              <m:r>
                <m:t>3.1</m:t>
              </m:r>
            </m:e>
          </m:d>
        </m:oMath>
      </m:oMathPara>
      <w:bookmarkEnd w:id="185"/>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86"/>
    <w:bookmarkStart w:id="187" w:name="réhaussements-non-linéaires"/>
    <w:p>
      <w:pPr>
        <w:pStyle w:val="Heading3"/>
      </w:pPr>
      <w:r>
        <w:t xml:space="preserve">3.2.3 Réhaussements non linéaires</w:t>
      </w:r>
    </w:p>
    <w:p>
      <w:pPr>
        <w:pStyle w:val="FirstParagraph"/>
      </w:pPr>
      <w:r>
        <w:t xml:space="preserve">Calcul d’histogrammes, étirement, égalisation, styling</w:t>
      </w:r>
    </w:p>
    <w:bookmarkEnd w:id="187"/>
    <w:bookmarkStart w:id="188"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88"/>
    <w:bookmarkEnd w:id="189"/>
    <w:bookmarkStart w:id="196" w:name="visualisation"/>
    <w:p>
      <w:pPr>
        <w:pStyle w:val="Heading2"/>
      </w:pPr>
      <w:r>
        <w:t xml:space="preserve">3.3 Visualisation</w:t>
      </w:r>
    </w:p>
    <w:bookmarkStart w:id="190"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90"/>
    <w:bookmarkStart w:id="191"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91"/>
    <w:bookmarkStart w:id="194"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92">
        <w:r>
          <w:rPr>
            <w:rStyle w:val="Hyperlink"/>
          </w:rPr>
          <w:t xml:space="preserve">17. Geemap — Introduction to GIS Programming</w:t>
        </w:r>
      </w:hyperlink>
    </w:p>
    <w:p>
      <w:pPr>
        <w:pStyle w:val="BodyText"/>
      </w:pPr>
      <w:r>
        <w:t xml:space="preserve">🔖 __ — via</w:t>
      </w:r>
      <w:r>
        <w:t xml:space="preserve"> </w:t>
      </w:r>
      <w:hyperlink r:id="rId193">
        <w:r>
          <w:rPr>
            <w:rStyle w:val="Hyperlink"/>
          </w:rPr>
          <w:t xml:space="preserve">data/raster at main · opengeos/data</w:t>
        </w:r>
      </w:hyperlink>
    </w:p>
    <w:bookmarkEnd w:id="194"/>
    <w:bookmarkStart w:id="195" w:name="visualisation-3d"/>
    <w:p>
      <w:pPr>
        <w:pStyle w:val="Heading3"/>
      </w:pPr>
      <w:r>
        <w:t xml:space="preserve">3.3.4 Visualisation 3D</w:t>
      </w:r>
    </w:p>
    <w:p>
      <w:pPr>
        <w:pStyle w:val="FirstParagraph"/>
      </w:pPr>
      <w:r>
        <w:t xml:space="preserve">drapper une image satellite sur un DEM</w:t>
      </w:r>
    </w:p>
    <w:bookmarkEnd w:id="195"/>
    <w:bookmarkEnd w:id="196"/>
    <w:bookmarkStart w:id="197" w:name="quiz-de-révision-du-chapitre-1"/>
    <w:p>
      <w:pPr>
        <w:pStyle w:val="Heading2"/>
      </w:pPr>
      <w:r>
        <w:t xml:space="preserve">3.4 Quiz de révision du chapitre</w:t>
      </w:r>
    </w:p>
    <w:bookmarkEnd w:id="197"/>
    <w:bookmarkStart w:id="198" w:name="exercices-de-révision"/>
    <w:p>
      <w:pPr>
        <w:pStyle w:val="Heading2"/>
      </w:pPr>
      <w:r>
        <w:t xml:space="preserve">3.5 Exercices de révision</w:t>
      </w:r>
    </w:p>
    <w:bookmarkEnd w:id="198"/>
    <w:bookmarkEnd w:id="199"/>
    <w:bookmarkStart w:id="211" w:name="sec-chap03"/>
    <w:p>
      <w:pPr>
        <w:pStyle w:val="Heading1"/>
      </w:pPr>
      <w:r>
        <w:t xml:space="preserve">4. Transformations spectrales</w:t>
      </w:r>
    </w:p>
    <w:bookmarkStart w:id="205"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202">
        <w:r>
          <w:drawing>
            <wp:inline>
              <wp:extent cx="1114425" cy="190500"/>
              <wp:effectExtent b="0" l="0" r="0" t="0"/>
              <wp:docPr descr="" title="" id="200" name="Picture"/>
              <a:graphic>
                <a:graphicData uri="http://schemas.openxmlformats.org/drawingml/2006/picture">
                  <pic:pic>
                    <pic:nvPicPr>
                      <pic:cNvPr descr="https://colab.research.google.com/assets/colab-badge.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203"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8"/>
        </w:numPr>
      </w:pPr>
      <w:r>
        <w:t xml:space="preserve">NumPy</w:t>
      </w:r>
    </w:p>
    <w:p>
      <w:pPr>
        <w:numPr>
          <w:ilvl w:val="0"/>
          <w:numId w:val="1028"/>
        </w:numPr>
      </w:pPr>
      <w:r>
        <w:t xml:space="preserve">OpenCV</w:t>
      </w:r>
    </w:p>
    <w:p>
      <w:pPr>
        <w:numPr>
          <w:ilvl w:val="0"/>
          <w:numId w:val="1028"/>
        </w:numPr>
      </w:pPr>
      <w:r>
        <w:t xml:space="preserve">RasterIO</w:t>
      </w:r>
    </w:p>
    <w:p>
      <w:pPr>
        <w:numPr>
          <w:ilvl w:val="0"/>
          <w:numId w:val="1028"/>
        </w:numPr>
      </w:pPr>
      <w:r>
        <w:t xml:space="preserve">Geemap</w:t>
      </w:r>
    </w:p>
    <w:p>
      <w:pPr>
        <w:numPr>
          <w:ilvl w:val="0"/>
          <w:numId w:val="1028"/>
        </w:numPr>
      </w:pPr>
      <w:hyperlink r:id="rId101">
        <w:r>
          <w:rPr>
            <w:rStyle w:val="Hyperlink"/>
          </w:rPr>
          <w:t xml:space="preserve">rioxarray</w:t>
        </w:r>
      </w:hyperlink>
    </w:p>
    <w:p>
      <w:pPr>
        <w:numPr>
          <w:ilvl w:val="0"/>
          <w:numId w:val="1028"/>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3"/>
    <w:bookmarkStart w:id="204" w:name="images-utilisées"/>
    <w:p>
      <w:pPr>
        <w:pStyle w:val="Heading3"/>
      </w:pPr>
      <w:r>
        <w:t xml:space="preserve">4.1.2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subset_1_of_S2A_MSIL2A_20240625T153941_N0510_R011_T18TYR_20240625T221903_resampled.tif </w:t>
      </w:r>
      <w:r>
        <w:rPr>
          <w:rStyle w:val="OperatorTok"/>
        </w:rPr>
        <w:t xml:space="preserve">-</w:t>
      </w:r>
      <w:r>
        <w:rPr>
          <w:rStyle w:val="NormalTok"/>
        </w:rPr>
        <w:t xml:space="preserve">O sentinel2.tif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'sentinel2.tif'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img_s2:</w:t>
      </w:r>
      <w:r>
        <w:br/>
      </w:r>
      <w:r>
        <w:rPr>
          <w:rStyle w:val="NormalTok"/>
        </w:rPr>
        <w:t xml:space="preserve">    </w:t>
      </w:r>
      <w:r>
        <w:rPr>
          <w:rStyle w:val="BuiltInTok"/>
        </w:rPr>
        <w:t xml:space="preserve">print</w:t>
      </w:r>
      <w:r>
        <w:rPr>
          <w:rStyle w:val="NormalTok"/>
        </w:rPr>
        <w:t xml:space="preserve">(img_s2)</w:t>
      </w:r>
    </w:p>
    <w:bookmarkEnd w:id="204"/>
    <w:bookmarkEnd w:id="205"/>
    <w:bookmarkStart w:id="206"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206"/>
    <w:bookmarkStart w:id="207"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207"/>
    <w:bookmarkStart w:id="209" w:name="réduction-de-dimension"/>
    <w:p>
      <w:pPr>
        <w:pStyle w:val="Heading2"/>
      </w:pPr>
      <w:r>
        <w:t xml:space="preserve">4.4 Réduction de dimension</w:t>
      </w:r>
    </w:p>
    <w:bookmarkStart w:id="208" w:name="analyses-en-composantes-principales"/>
    <w:p>
      <w:pPr>
        <w:pStyle w:val="Heading3"/>
      </w:pPr>
      <w:r>
        <w:t xml:space="preserve">4.4.1 Analyses en composantes principales</w:t>
      </w:r>
    </w:p>
    <w:bookmarkEnd w:id="208"/>
    <w:bookmarkEnd w:id="209"/>
    <w:bookmarkStart w:id="210" w:name="exercices-de-révision-1"/>
    <w:p>
      <w:pPr>
        <w:pStyle w:val="Heading2"/>
      </w:pPr>
      <w:r>
        <w:t xml:space="preserve">4.5 Exercices de révision</w:t>
      </w:r>
    </w:p>
    <w:bookmarkEnd w:id="210"/>
    <w:bookmarkEnd w:id="211"/>
    <w:bookmarkStart w:id="249" w:name="sec-chap04"/>
    <w:p>
      <w:pPr>
        <w:pStyle w:val="Heading1"/>
      </w:pPr>
      <w:r>
        <w:t xml:space="preserve">5. Transformations spatiales</w:t>
      </w:r>
    </w:p>
    <w:bookmarkStart w:id="218" w:name="rocket-préambule-3"/>
    <w:p>
      <w:pPr>
        <w:pStyle w:val="Heading2"/>
      </w:pPr>
      <w:r>
        <w:t xml:space="preserve">5.1 :rocket: Préambule</w:t>
      </w:r>
    </w:p>
    <w:p>
      <w:pPr>
        <w:pStyle w:val="FirstParagraph"/>
      </w:pPr>
      <w:r>
        <w:t xml:space="preserve">Assurez-vous de lire ce préambule avant d’exécutez le reste du notebook.</w:t>
      </w:r>
    </w:p>
    <w:bookmarkStart w:id="215"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14">
        <w:r>
          <w:drawing>
            <wp:inline>
              <wp:extent cx="1114425" cy="190500"/>
              <wp:effectExtent b="0" l="0" r="0" t="0"/>
              <wp:docPr descr="" title="" id="212" name="Picture"/>
              <a:graphic>
                <a:graphicData uri="http://schemas.openxmlformats.org/drawingml/2006/picture">
                  <pic:pic>
                    <pic:nvPicPr>
                      <pic:cNvPr descr="https://colab.research.google.com/assets/colab-badge.svg" id="21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15"/>
    <w:bookmarkStart w:id="216"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9"/>
        </w:numPr>
      </w:pPr>
      <w:r>
        <w:t xml:space="preserve">NumPy</w:t>
      </w:r>
    </w:p>
    <w:p>
      <w:pPr>
        <w:numPr>
          <w:ilvl w:val="0"/>
          <w:numId w:val="1029"/>
        </w:numPr>
      </w:pPr>
      <w:r>
        <w:t xml:space="preserve">OpenCV</w:t>
      </w:r>
    </w:p>
    <w:p>
      <w:pPr>
        <w:numPr>
          <w:ilvl w:val="0"/>
          <w:numId w:val="1029"/>
        </w:numPr>
      </w:pPr>
      <w:r>
        <w:t xml:space="preserve">RasterIO</w:t>
      </w:r>
    </w:p>
    <w:p>
      <w:pPr>
        <w:numPr>
          <w:ilvl w:val="0"/>
          <w:numId w:val="1029"/>
        </w:numPr>
      </w:pPr>
      <w:r>
        <w:t xml:space="preserve">Geemap</w:t>
      </w:r>
    </w:p>
    <w:p>
      <w:pPr>
        <w:numPr>
          <w:ilvl w:val="0"/>
          <w:numId w:val="1029"/>
        </w:numPr>
      </w:pPr>
      <w:hyperlink r:id="rId101">
        <w:r>
          <w:rPr>
            <w:rStyle w:val="Hyperlink"/>
          </w:rPr>
          <w:t xml:space="preserve">rioxarray</w:t>
        </w:r>
      </w:hyperlink>
    </w:p>
    <w:p>
      <w:pPr>
        <w:numPr>
          <w:ilvl w:val="0"/>
          <w:numId w:val="1029"/>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16"/>
    <w:bookmarkStart w:id="217" w:name="images-utilisées-1"/>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'subset_0_of_S1A_split_NR_Cal_Deb_ML_Spk_SRGR.tif'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(img_SAR)</w:t>
      </w:r>
    </w:p>
    <w:bookmarkEnd w:id="217"/>
    <w:bookmarkEnd w:id="218"/>
    <w:bookmarkStart w:id="224"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21"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w:bookmarkStart w:id="219" w:name="eq-dft"/>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5.1</m:t>
              </m:r>
            </m:e>
          </m:d>
        </m:oMath>
      </m:oMathPara>
      <w:bookmarkEnd w:id="219"/>
    </w:p>
    <w:p>
      <w:pPr>
        <w:pStyle w:val="FirstParagraph"/>
      </w:pPr>
      <w:r>
        <w:t xml:space="preserve">La transformée inverse prend une forme similaire:</w:t>
      </w:r>
    </w:p>
    <w:p>
      <w:pPr>
        <w:pStyle w:val="BodyText"/>
      </w:pPr>
      <w:bookmarkStart w:id="220" w:name="eq-idft"/>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r>
            <m:t>  </m:t>
          </m:r>
          <m:d>
            <m:dPr>
              <m:begChr m:val="("/>
              <m:endChr m:val=")"/>
              <m:sepChr m:val=""/>
              <m:grow/>
            </m:dPr>
            <m:e>
              <m:r>
                <m:t>5.2</m:t>
              </m:r>
            </m:e>
          </m:d>
        </m:oMath>
      </m:oMathPara>
      <w:bookmarkEnd w:id="220"/>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"Signal périodique"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"Composantes de Fourier (amplitude)"</w:t>
      </w:r>
      <w:r>
        <w:rPr>
          <w:rStyle w:val="NormalTok"/>
        </w:rPr>
        <w:t xml:space="preserve">)</w:t>
      </w:r>
      <w:r>
        <w:br/>
      </w:r>
      <w:r>
        <w:rPr>
          <w:rStyle w:val="NormalTok"/>
        </w:rPr>
        <w:t xml:space="preserve">plt.show()</w:t>
      </w:r>
    </w:p>
    <w:bookmarkEnd w:id="221"/>
    <w:bookmarkStart w:id="222" w:name="filtrage-fréquentielle"/>
    <w:p>
      <w:pPr>
        <w:pStyle w:val="Heading3"/>
      </w:pPr>
      <w:r>
        <w:t xml:space="preserve">5.2.2 Filtrage fréquentielle</w:t>
      </w:r>
    </w:p>
    <w:bookmarkEnd w:id="222"/>
    <w:bookmarkStart w:id="223"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produire lorsque vous sous-échantillonner fortement une image avec un facteur de décimation (par exemple 1 pixel sur 2). En prenant un pixel sur 2, on réduit la fréquence d’échantillonnage d’un facteur 2 ce qui nous impose de réduire le contenu fréquentielle de l’image et donc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le contenu fréquentiel est de filtrer par un filtre passe-bas pour réduire les hautes fréquences par exemple avec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23"/>
    <w:bookmarkEnd w:id="224"/>
    <w:bookmarkStart w:id="239" w:name="filtrage-dimage"/>
    <w:p>
      <w:pPr>
        <w:pStyle w:val="Heading2"/>
      </w:pPr>
      <w:r>
        <w:t xml:space="preserve">5.3 Filtrage d’image</w:t>
      </w:r>
    </w:p>
    <w:p>
      <w:pPr>
        <w:pStyle w:val="FirstParagraph"/>
      </w:pPr>
      <w:r>
        <w:t xml:space="preserve">Le filtrage d’image a plusieurs objectifs en télédétection:</w:t>
      </w:r>
    </w:p>
    <w:p>
      <w:pPr>
        <w:numPr>
          <w:ilvl w:val="0"/>
          <w:numId w:val="1030"/>
        </w:numPr>
      </w:pPr>
      <w:r>
        <w:t xml:space="preserve">La réduction du bruit afin d’améliorer la résolution radiométrique et améliorer la lisibilité de l’image.</w:t>
      </w:r>
    </w:p>
    <w:p>
      <w:pPr>
        <w:numPr>
          <w:ilvl w:val="0"/>
          <w:numId w:val="1030"/>
        </w:numPr>
      </w:pPr>
      <w:r>
        <w:t xml:space="preserve">Le réhaussement de l’image afin d’améliorer le contraste ou faire ressortir les contours.</w:t>
      </w:r>
    </w:p>
    <w:p>
      <w:pPr>
        <w:numPr>
          <w:ilvl w:val="0"/>
          <w:numId w:val="1030"/>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31"/>
        </w:numPr>
      </w:pPr>
      <w:r>
        <w:t xml:space="preserve">Le filtrage peut-être global ou local, c.à.d prendre en compte toute l’image pour filtrer (ex: filtrage par Fourier) ou seulement localement avec une fenêtre ou un voisinage local.</w:t>
      </w:r>
    </w:p>
    <w:p>
      <w:pPr>
        <w:numPr>
          <w:ilvl w:val="0"/>
          <w:numId w:val="1031"/>
        </w:numPr>
      </w:pPr>
      <w:r>
        <w:t xml:space="preserve">La fonction de filtrage peut-être linéaire ou non linéaire.</w:t>
      </w:r>
    </w:p>
    <w:p>
      <w:pPr>
        <w:numPr>
          <w:ilvl w:val="0"/>
          <w:numId w:val="1031"/>
        </w:numPr>
      </w:pPr>
      <w:r>
        <w:t xml:space="preserve">La fonction de filtrage peut être stationnaire ou adaptative</w:t>
      </w:r>
    </w:p>
    <w:p>
      <w:pPr>
        <w:numPr>
          <w:ilvl w:val="0"/>
          <w:numId w:val="1031"/>
        </w:numPr>
      </w:pPr>
      <w:r>
        <w:t xml:space="preserve">Le filtrage peut-être mono-échelle ou multi-échelles</w:t>
      </w:r>
    </w:p>
    <w:p>
      <w:pPr>
        <w:pStyle w:val="FirstParagraph"/>
      </w:pPr>
      <w:r>
        <w:t xml:space="preserve">La librairie Scipy (</w:t>
      </w:r>
      <w:hyperlink r:id="rId225">
        <w:r>
          <w:rPr>
            <w:rStyle w:val="Hyperlink"/>
          </w:rPr>
          <w:t xml:space="preserve">Multidimensional image processing (scipy.ndimage)</w:t>
        </w:r>
      </w:hyperlink>
      <w:r>
        <w:t xml:space="preserve">) contient une panoplie complète de filtres.</w:t>
      </w:r>
    </w:p>
    <w:bookmarkStart w:id="236"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27" name="Picture"/>
                  <a:graphic>
                    <a:graphicData uri="http://schemas.openxmlformats.org/drawingml/2006/picture">
                      <pic:pic>
                        <pic:nvPicPr>
                          <pic:cNvPr descr="/opt/quarto/share/formats/docx/note.png" id="228" name="Picture"/>
                          <pic:cNvPicPr>
                            <a:picLocks noChangeArrowheads="1" noChangeAspect="1"/>
                          </pic:cNvPicPr>
                        </pic:nvPicPr>
                        <pic:blipFill>
                          <a:blip r:embed="rId2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9" name="Picture"/>
                  <a:graphic>
                    <a:graphicData uri="http://schemas.openxmlformats.org/drawingml/2006/picture">
                      <pic:pic>
                        <pic:nvPicPr>
                          <pic:cNvPr descr="/opt/quarto/share/formats/docx/note.png" id="230" name="Picture"/>
                          <pic:cNvPicPr>
                            <a:picLocks noChangeArrowheads="1" noChangeAspect="1"/>
                          </pic:cNvPicPr>
                        </pic:nvPicPr>
                        <pic:blipFill>
                          <a:blip r:embed="rId2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32"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Start w:id="231" w:name="gestion-des-bordures"/>
    <w:p>
      <w:pPr>
        <w:pStyle w:val="Heading5"/>
      </w:pPr>
      <w:r>
        <w:t xml:space="preserve">5.3.1.1.1 Gestion des bordures</w:t>
      </w:r>
    </w:p>
    <w:bookmarkEnd w:id="231"/>
    <w:bookmarkEnd w:id="232"/>
    <w:bookmarkStart w:id="235" w:name="filtrage-par-une-couche-convolutionnelle"/>
    <w:p>
      <w:pPr>
        <w:pStyle w:val="Heading4"/>
      </w:pPr>
      <w:r>
        <w:t xml:space="preserve">5.3.1.2 Filtrage par une couche convolutionnelle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33" name="Picture"/>
                  <a:graphic>
                    <a:graphicData uri="http://schemas.openxmlformats.org/drawingml/2006/picture">
                      <pic:pic>
                        <pic:nvPicPr>
                          <pic:cNvPr descr="/opt/quarto/share/formats/docx/important.png" id="23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after="16"/>
            </w:pPr>
            <w:r>
              <w:t xml:space="preserve">Cette section nécessite la librairie Pytorch avec un GPU et ne fonctionnera que sur Colab.</w:t>
            </w:r>
          </w:p>
        </w:tc>
      </w:tr>
    </w:tbl>
    <w:p>
      <w:pPr>
        <w:pStyle w:val="BodyText"/>
      </w:pPr>
      <w:r>
        <w:t xml:space="preserve">Une couche convolutionnelle est simplement un ensemble de filtres appliqués sur la donnée d’entrée. Ce type de filtrage est à la base des réseaux dits convolutionnels qui seront abordés dans le tome 2.</w:t>
      </w:r>
    </w:p>
    <w:bookmarkEnd w:id="235"/>
    <w:bookmarkEnd w:id="236"/>
    <w:bookmarkStart w:id="238"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 Ce type de filtre est très utilisé pour filtrer les images SAR (Synthetic Aperture Radar) qui sont dégradées par un bruit multiplicatif que l’on appelle</w:t>
      </w:r>
      <w:r>
        <w:t xml:space="preserve"> </w:t>
      </w:r>
      <w:r>
        <w:rPr>
          <w:i/>
          <w:iCs/>
        </w:rPr>
        <w:t xml:space="preserve">speckle</w:t>
      </w:r>
      <w:r>
        <w:t xml:space="preserve">. On peut voir un exemple d’une image Sentinel-1 (bande HH) sur la région de Montréal, remarquée que l’image est affichée en dB en appliquant la fonction</w:t>
      </w:r>
      <w:r>
        <w:t xml:space="preserve"> </w:t>
      </w:r>
      <w:r>
        <w:rPr>
          <w:rStyle w:val="VerbatimChar"/>
        </w:rPr>
        <w:t xml:space="preserve">log10</w:t>
      </w:r>
      <w:r>
        <w:t xml:space="preserve">.</w:t>
      </w:r>
    </w:p>
    <w:p>
      <w:pPr>
        <w:pStyle w:val="SourceCode"/>
      </w:pPr>
      <w:r>
        <w:rPr>
          <w:rStyle w:val="BuiltInTok"/>
        </w:rPr>
        <w:t xml:space="preserve">print</w:t>
      </w:r>
      <w:r>
        <w:rPr>
          <w:rStyle w:val="NormalTok"/>
        </w:rPr>
        <w:t xml:space="preserve">(img_SAR.rio.resolution())</w:t>
      </w:r>
      <w:r>
        <w:br/>
      </w:r>
      <w:r>
        <w:rPr>
          <w:rStyle w:val="BuiltInTok"/>
        </w:rPr>
        <w:t xml:space="preserve">print</w:t>
      </w:r>
      <w:r>
        <w:rPr>
          <w:rStyle w:val="NormalTok"/>
        </w:rPr>
        <w:t xml:space="preserve">(img_SAR.rio.crs)</w:t>
      </w:r>
      <w:r>
        <w:br/>
      </w:r>
      <w:r>
        <w:rPr>
          <w:rStyle w:val="CommentTok"/>
        </w:rPr>
        <w:t xml:space="preserve">#img_SAR.sel(band=2).drop("band").imshow()</w:t>
      </w:r>
      <w:r>
        <w:br/>
      </w:r>
      <w:r>
        <w:rPr>
          <w:rStyle w:val="NormalTok"/>
        </w:rPr>
        <w:t xml:space="preserve">xr.ufuncs.log10(img_SAR.sel(band</w:t>
      </w:r>
      <w:r>
        <w:rPr>
          <w:rStyle w:val="OperatorTok"/>
        </w:rPr>
        <w:t xml:space="preserve">=</w:t>
      </w:r>
      <w:r>
        <w:rPr>
          <w:rStyle w:val="DecValTok"/>
        </w:rPr>
        <w:t xml:space="preserve">1</w:t>
      </w:r>
      <w:r>
        <w:rPr>
          <w:rStyle w:val="NormalTok"/>
        </w:rPr>
        <w:t xml:space="preserve">).drop(</w:t>
      </w:r>
      <w:r>
        <w:rPr>
          <w:rStyle w:val="StringTok"/>
        </w:rPr>
        <w:t xml:space="preserve">"band"</w:t>
      </w:r>
      <w:r>
        <w:rPr>
          <w:rStyle w:val="NormalTok"/>
        </w:rPr>
        <w:t xml:space="preserve">)).plot()</w:t>
      </w:r>
    </w:p>
    <w:p>
      <w:pPr>
        <w:pStyle w:val="FirstParagraph"/>
      </w:pPr>
      <w:r>
        <w:t xml:space="preserve">Un des filtres les plus simples pour réduire le bruit est d’appliquer un filtre moyenne, par exemple un</w:t>
      </w:r>
      <w:r>
        <w:t xml:space="preserve"> </w:t>
      </w:r>
      <m:oMath>
        <m:r>
          <m:t>5</m:t>
        </m:r>
        <m:r>
          <m:t>x</m:t>
        </m:r>
        <m:r>
          <m:t>5</m:t>
        </m:r>
      </m:oMath>
      <w:r>
        <w:t xml:space="preserve"> </w:t>
      </w:r>
      <w:r>
        <w:t xml:space="preserve">ci dessous:</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xr.ufuncs.log10(filtre_moyen).plot.imshow()</w:t>
      </w:r>
    </w:p>
    <w:p>
      <w:pPr>
        <w:pStyle w:val="FirstParagraph"/>
      </w:pPr>
      <w:r>
        <w:t xml:space="preserve">Au lieu d’appliquer un filtre moyen de manière indiscriminée, le filtre de Lee</w:t>
      </w:r>
      <w:r>
        <w:t xml:space="preserve"> </w:t>
      </w:r>
      <w:r>
        <w:t xml:space="preserve">(Lee 1986)</w:t>
      </w:r>
      <w:r>
        <w:t xml:space="preserve"> </w:t>
      </w:r>
      <w:r>
        <w:t xml:space="preserve">applique une pondération en fonction du contenu local de l’image</w:t>
      </w:r>
      <w:r>
        <w:t xml:space="preserve"> </w:t>
      </w:r>
      <m:oMath>
        <m:r>
          <m:t>I</m:t>
        </m:r>
      </m:oMath>
      <w:r>
        <w:t xml:space="preserve"> </w:t>
      </w:r>
      <w:r>
        <w:t xml:space="preserve">dans sa forme la plus simple:</w:t>
      </w:r>
    </w:p>
    <w:p>
      <w:pPr>
        <w:pStyle w:val="BodyText"/>
      </w:pPr>
      <w:bookmarkStart w:id="237" w:name="eq-lee-filter"/>
      <m:oMathPara>
        <m:oMathParaPr>
          <m:jc m:val="center"/>
        </m:oMathParaPr>
        <m:oMath>
          <m:m>
            <m:mPr>
              <m:baseJc m:val="center"/>
              <m:plcHide m:val="on"/>
              <m:mcs>
                <m:mc>
                  <m:mcPr>
                    <m:mcJc m:val="right"/>
                    <m:count m:val="1"/>
                  </m:mcPr>
                </m:mc>
                <m:mc>
                  <m:mcPr>
                    <m:mcJc m:val="left"/>
                    <m:count m:val="1"/>
                  </m:mcPr>
                </m:mc>
              </m:mcs>
            </m:mPr>
            <m:mr>
              <m:e>
                <m:sSub>
                  <m:e>
                    <m:r>
                      <m:t>I</m:t>
                    </m:r>
                  </m:e>
                  <m:sub>
                    <m:r>
                      <m:t>F</m:t>
                    </m:r>
                  </m:sub>
                </m:sSub>
              </m:e>
              <m:e>
                <m:r>
                  <m:rPr>
                    <m:sty m:val="p"/>
                  </m:rPr>
                  <m:t>=</m:t>
                </m:r>
                <m:sSub>
                  <m:e>
                    <m:r>
                      <m:t>I</m:t>
                    </m:r>
                  </m:e>
                  <m:sub>
                    <m:r>
                      <m:t>M</m:t>
                    </m:r>
                  </m:sub>
                </m:sSub>
                <m:r>
                  <m:rPr>
                    <m:sty m:val="p"/>
                  </m:rPr>
                  <m:t>+</m:t>
                </m:r>
                <m:r>
                  <m:t>K</m:t>
                </m:r>
                <m:r>
                  <m:rPr>
                    <m:sty m:val="p"/>
                  </m:rPr>
                  <m:t>×</m:t>
                </m:r>
                <m:d>
                  <m:dPr>
                    <m:begChr m:val="("/>
                    <m:endChr m:val=")"/>
                    <m:sepChr m:val=""/>
                    <m:grow/>
                  </m:dPr>
                  <m:e>
                    <m:r>
                      <m:t>I</m:t>
                    </m:r>
                    <m:r>
                      <m:rPr>
                        <m:sty m:val="p"/>
                      </m:rPr>
                      <m:t>−</m:t>
                    </m:r>
                    <m:sSub>
                      <m:e>
                        <m:r>
                          <m:t>I</m:t>
                        </m:r>
                      </m:e>
                      <m:sub>
                        <m:r>
                          <m:t>M</m:t>
                        </m:r>
                      </m:sub>
                    </m:sSub>
                  </m:e>
                </m:d>
              </m:e>
            </m:mr>
            <m:mr>
              <m:e>
                <m:r>
                  <m:t>K</m:t>
                </m:r>
              </m:e>
              <m:e>
                <m:r>
                  <m:rPr>
                    <m:sty m:val="p"/>
                  </m:rPr>
                  <m:t>=</m:t>
                </m:r>
                <m:f>
                  <m:fPr>
                    <m:type m:val="bar"/>
                  </m:fPr>
                  <m:num>
                    <m:sSubSup>
                      <m:e>
                        <m:r>
                          <m:t>σ</m:t>
                        </m:r>
                      </m:e>
                      <m:sub>
                        <m:r>
                          <m:t>I</m:t>
                        </m:r>
                      </m:sub>
                      <m:sup>
                        <m:r>
                          <m:t>2</m:t>
                        </m:r>
                      </m:sup>
                    </m:sSubSup>
                  </m:num>
                  <m:den>
                    <m:sSubSup>
                      <m:e>
                        <m:r>
                          <m:t>σ</m:t>
                        </m:r>
                      </m:e>
                      <m:sub>
                        <m:r>
                          <m:t>I</m:t>
                        </m:r>
                      </m:sub>
                      <m:sup>
                        <m:r>
                          <m:t>2</m:t>
                        </m:r>
                      </m:sup>
                    </m:sSubSup>
                    <m:r>
                      <m:rPr>
                        <m:sty m:val="p"/>
                      </m:rPr>
                      <m:t>+</m:t>
                    </m:r>
                    <m:sSubSup>
                      <m:e>
                        <m:r>
                          <m:t>σ</m:t>
                        </m:r>
                      </m:e>
                      <m:sub>
                        <m:r>
                          <m:t>b</m:t>
                        </m:r>
                        <m:r>
                          <m:t>r</m:t>
                        </m:r>
                        <m:r>
                          <m:t>u</m:t>
                        </m:r>
                        <m:r>
                          <m:t>i</m:t>
                        </m:r>
                        <m:r>
                          <m:t>t</m:t>
                        </m:r>
                      </m:sub>
                      <m:sup>
                        <m:r>
                          <m:t>2</m:t>
                        </m:r>
                      </m:sup>
                    </m:sSubSup>
                  </m:den>
                </m:f>
              </m:e>
            </m:mr>
          </m:m>
          <m:r>
            <m:t>  </m:t>
          </m:r>
          <m:d>
            <m:dPr>
              <m:begChr m:val="("/>
              <m:endChr m:val=")"/>
              <m:sepChr m:val=""/>
              <m:grow/>
            </m:dPr>
            <m:e>
              <m:r>
                <m:t>5.3</m:t>
              </m:r>
            </m:e>
          </m:d>
        </m:oMath>
      </m:oMathPara>
      <w:bookmarkEnd w:id="237"/>
    </w:p>
    <w:p>
      <w:pPr>
        <w:pStyle w:val="FirstParagraph"/>
      </w:pPr>
      <w:r>
        <w:t xml:space="preserve">Ainsi si la variance locale est élevée</w:t>
      </w:r>
      <w:r>
        <w:t xml:space="preserve"> </w:t>
      </w:r>
      <m:oMath>
        <m:r>
          <m:t>K</m:t>
        </m:r>
      </m:oMath>
      <w:r>
        <w:t xml:space="preserve"> </w:t>
      </w:r>
      <w:r>
        <w:t xml:space="preserve">s’approche de</w:t>
      </w:r>
      <w:r>
        <w:t xml:space="preserve"> </w:t>
      </w:r>
      <m:oMath>
        <m:r>
          <m:t>1</m:t>
        </m:r>
      </m:oMath>
      <w:r>
        <w:t xml:space="preserve"> </w:t>
      </w:r>
      <w:r>
        <w:t xml:space="preserve">préservant ainsi les détails de l’image sinon l’image moyenne</w:t>
      </w:r>
      <w:r>
        <w:t xml:space="preserve"> </w:t>
      </w:r>
      <m:oMath>
        <m:sSub>
          <m:e>
            <m:r>
              <m:t>I</m:t>
            </m:r>
          </m:e>
          <m:sub>
            <m:r>
              <m:t>M</m:t>
            </m:r>
          </m:sub>
        </m:sSub>
      </m:oMath>
      <w:r>
        <w:t xml:space="preserve"> </w:t>
      </w:r>
      <w:r>
        <w:t xml:space="preserve">est appliquée.</w:t>
      </w:r>
    </w:p>
    <w:p>
      <w:pPr>
        <w:pStyle w:val="SourceCode"/>
      </w:pPr>
      <w:r>
        <w:rPr>
          <w:rStyle w:val="NormalTok"/>
        </w:rPr>
        <w:t xml:space="preserve">rolling_win </w:t>
      </w:r>
      <w:r>
        <w:rPr>
          <w:rStyle w:val="OperatorTok"/>
        </w:rPr>
        <w:t xml:space="preserve">=</w:t>
      </w:r>
      <w:r>
        <w:rPr>
          <w:rStyle w:val="NormalTok"/>
        </w:rPr>
        <w:t xml:space="preserve"> img_SAR.sel(band</w:t>
      </w:r>
      <w:r>
        <w:rPr>
          <w:rStyle w:val="OperatorTok"/>
        </w:rPr>
        <w:t xml:space="preserve">=</w:t>
      </w:r>
      <w:r>
        <w:rPr>
          <w:rStyle w:val="DecValTok"/>
        </w:rPr>
        <w:t xml:space="preserve">2</w:t>
      </w:r>
      <w:r>
        <w:rPr>
          <w:rStyle w:val="NormalTok"/>
        </w:rPr>
        <w:t xml:space="preserve">).rolling(x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ecart_type</w:t>
      </w:r>
      <w:r>
        <w:rPr>
          <w:rStyle w:val="OperatorTok"/>
        </w:rPr>
        <w:t xml:space="preserve">=</w:t>
      </w:r>
      <w:r>
        <w:rPr>
          <w:rStyle w:val="NormalTok"/>
        </w:rPr>
        <w:t xml:space="preserve"> rolling_win.std(dim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NormalTok"/>
        </w:rPr>
        <w:t xml:space="preserve">cv</w:t>
      </w:r>
      <w:r>
        <w:rPr>
          <w:rStyle w:val="OperatorTok"/>
        </w:rPr>
        <w:t xml:space="preserve">=</w:t>
      </w:r>
      <w:r>
        <w:rPr>
          <w:rStyle w:val="NormalTok"/>
        </w:rPr>
        <w:t xml:space="preserve"> ecart_type</w:t>
      </w:r>
      <w:r>
        <w:rPr>
          <w:rStyle w:val="OperatorTok"/>
        </w:rPr>
        <w:t xml:space="preserve">/</w:t>
      </w:r>
      <w:r>
        <w:rPr>
          <w:rStyle w:val="NormalTok"/>
        </w:rPr>
        <w:t xml:space="preserve">filtre_moyen</w:t>
      </w:r>
      <w:r>
        <w:br/>
      </w:r>
      <w:r>
        <w:rPr>
          <w:rStyle w:val="NormalTok"/>
        </w:rPr>
        <w:t xml:space="preserve">ponderation </w:t>
      </w:r>
      <w:r>
        <w:rPr>
          <w:rStyle w:val="OperatorTok"/>
        </w:rPr>
        <w:t xml:space="preserve">=</w:t>
      </w:r>
      <w:r>
        <w:rPr>
          <w:rStyle w:val="NormalTok"/>
        </w:rPr>
        <w:t xml:space="preserve"> (cv </w:t>
      </w:r>
      <w:r>
        <w:rPr>
          <w:rStyle w:val="OperatorTok"/>
        </w:rPr>
        <w:t xml:space="preserve">-</w:t>
      </w:r>
      <w:r>
        <w:rPr>
          <w:rStyle w:val="NormalTok"/>
        </w:rPr>
        <w:t xml:space="preserve"> </w:t>
      </w:r>
      <w:r>
        <w:rPr>
          <w:rStyle w:val="FloatTok"/>
        </w:rPr>
        <w:t xml:space="preserve">0.25</w:t>
      </w:r>
      <w:r>
        <w:rPr>
          <w:rStyle w:val="NormalTok"/>
        </w:rPr>
        <w:t xml:space="preserve">) </w:t>
      </w:r>
      <w:r>
        <w:rPr>
          <w:rStyle w:val="OperatorTok"/>
        </w:rPr>
        <w:t xml:space="preserve">/</w:t>
      </w:r>
      <w:r>
        <w:rPr>
          <w:rStyle w:val="NormalTok"/>
        </w:rPr>
        <w:t xml:space="preserve"> cv</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cv.plot.imshow(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2</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"CV"</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ponderation.plot.imshow( vmin</w:t>
      </w:r>
      <w:r>
        <w:rPr>
          <w:rStyle w:val="OperatorTok"/>
        </w:rPr>
        <w:t xml:space="preserve">=</w:t>
      </w:r>
      <w:r>
        <w:rPr>
          <w:rStyle w:val="DecValTok"/>
        </w:rPr>
        <w:t xml:space="preserve">0</w:t>
      </w:r>
      <w:r>
        <w:rPr>
          <w:rStyle w:val="NormalTok"/>
        </w:rPr>
        <w:t xml:space="preserve">, vmax</w:t>
      </w:r>
      <w:r>
        <w:rPr>
          <w:rStyle w:val="OperatorTok"/>
        </w:rPr>
        <w:t xml:space="preserve">=</w:t>
      </w:r>
      <w:r>
        <w:rPr>
          <w:rStyle w:val="DecValTok"/>
        </w:rPr>
        <w:t xml:space="preserve">1</w:t>
      </w:r>
      <w:r>
        <w:rPr>
          <w:rStyle w:val="NormalTok"/>
        </w:rPr>
        <w:t xml:space="preserve">) </w:t>
      </w:r>
      <w:r>
        <w:br/>
      </w:r>
      <w:r>
        <w:rPr>
          <w:rStyle w:val="NormalTok"/>
        </w:rPr>
        <w:t xml:space="preserve">axes[</w:t>
      </w:r>
      <w:r>
        <w:rPr>
          <w:rStyle w:val="DecValTok"/>
        </w:rPr>
        <w:t xml:space="preserve">1</w:t>
      </w:r>
      <w:r>
        <w:rPr>
          <w:rStyle w:val="NormalTok"/>
        </w:rPr>
        <w:t xml:space="preserve">].set_title(</w:t>
      </w:r>
      <w:r>
        <w:rPr>
          <w:rStyle w:val="StringTok"/>
        </w:rPr>
        <w:t xml:space="preserve">"Pondération"</w:t>
      </w:r>
      <w:r>
        <w:rPr>
          <w:rStyle w:val="NormalTok"/>
        </w:rPr>
        <w:t xml:space="preserve">)</w:t>
      </w:r>
    </w:p>
    <w:p>
      <w:pPr>
        <w:pStyle w:val="FirstParagraph"/>
      </w:pPr>
      <w:r>
        <w:t xml:space="preserve">On zoomant sur l’image on peut clairement voir que les détails de l’image sont mieux préservés:</w:t>
      </w:r>
    </w:p>
    <w:bookmarkEnd w:id="238"/>
    <w:bookmarkEnd w:id="239"/>
    <w:bookmarkStart w:id="240" w:name="segmentation"/>
    <w:p>
      <w:pPr>
        <w:pStyle w:val="Heading2"/>
      </w:pPr>
      <w:r>
        <w:t xml:space="preserve">5.4 Segmentation</w:t>
      </w:r>
    </w:p>
    <w:bookmarkEnd w:id="240"/>
    <w:bookmarkStart w:id="241" w:name="vectorisation-et-rasterisation"/>
    <w:p>
      <w:pPr>
        <w:pStyle w:val="Heading2"/>
      </w:pPr>
      <w:r>
        <w:t xml:space="preserve">5.5 Vectorisation et rasterisation</w:t>
      </w:r>
    </w:p>
    <w:bookmarkEnd w:id="241"/>
    <w:bookmarkStart w:id="246" w:name="analyse-de-terrain"/>
    <w:p>
      <w:pPr>
        <w:pStyle w:val="Heading2"/>
      </w:pPr>
      <w:r>
        <w:t xml:space="preserve">5.6 Analyse de terrain</w:t>
      </w:r>
    </w:p>
    <w:bookmarkStart w:id="242" w:name="élévation"/>
    <w:p>
      <w:pPr>
        <w:pStyle w:val="Heading3"/>
      </w:pPr>
      <w:r>
        <w:t xml:space="preserve">5.6.1 Élévation</w:t>
      </w:r>
    </w:p>
    <w:bookmarkEnd w:id="242"/>
    <w:bookmarkStart w:id="243" w:name="pente"/>
    <w:p>
      <w:pPr>
        <w:pStyle w:val="Heading3"/>
      </w:pPr>
      <w:r>
        <w:t xml:space="preserve">5.6.2 Pente</w:t>
      </w:r>
    </w:p>
    <w:bookmarkEnd w:id="243"/>
    <w:bookmarkStart w:id="244" w:name="ombrage"/>
    <w:p>
      <w:pPr>
        <w:pStyle w:val="Heading3"/>
      </w:pPr>
      <w:r>
        <w:t xml:space="preserve">5.6.3 Ombrage</w:t>
      </w:r>
    </w:p>
    <w:bookmarkEnd w:id="244"/>
    <w:bookmarkStart w:id="245" w:name="visibilité"/>
    <w:p>
      <w:pPr>
        <w:pStyle w:val="Heading3"/>
      </w:pPr>
      <w:r>
        <w:t xml:space="preserve">5.6.4 Visibilité</w:t>
      </w:r>
    </w:p>
    <w:bookmarkEnd w:id="245"/>
    <w:bookmarkEnd w:id="246"/>
    <w:bookmarkStart w:id="247" w:name="quiz-de-révision-du-chapitre-2"/>
    <w:p>
      <w:pPr>
        <w:pStyle w:val="Heading2"/>
      </w:pPr>
      <w:r>
        <w:t xml:space="preserve">5.7 Quiz de révision du chapitre</w:t>
      </w:r>
    </w:p>
    <w:bookmarkEnd w:id="247"/>
    <w:bookmarkStart w:id="248" w:name="exercices-de-révision-2"/>
    <w:p>
      <w:pPr>
        <w:pStyle w:val="Heading2"/>
      </w:pPr>
      <w:r>
        <w:t xml:space="preserve">5.8 Exercices de révision</w:t>
      </w:r>
    </w:p>
    <w:bookmarkEnd w:id="248"/>
    <w:bookmarkEnd w:id="249"/>
    <w:bookmarkStart w:id="261" w:name="bibliographie"/>
    <w:p>
      <w:pPr>
        <w:pStyle w:val="Heading1"/>
      </w:pPr>
      <w:r>
        <w:t xml:space="preserve">Bibliographie</w:t>
      </w:r>
    </w:p>
    <w:bookmarkStart w:id="260" w:name="refs"/>
    <w:bookmarkStart w:id="251"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50">
        <w:r>
          <w:rPr>
            <w:rStyle w:val="Hyperlink"/>
          </w:rPr>
          <w:t xml:space="preserve">https://web.stanford.edu/class/cme324/classics/cooley-tukey.pdf</w:t>
        </w:r>
      </w:hyperlink>
      <w:r>
        <w:t xml:space="preserve">.</w:t>
      </w:r>
    </w:p>
    <w:bookmarkEnd w:id="251"/>
    <w:bookmarkStart w:id="253"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52">
        <w:r>
          <w:rPr>
            <w:rStyle w:val="Hyperlink"/>
          </w:rPr>
          <w:t xml:space="preserve">https://doi.org/10.1038/s41586-020-2649-2</w:t>
        </w:r>
      </w:hyperlink>
      <w:r>
        <w:t xml:space="preserve">.</w:t>
      </w:r>
    </w:p>
    <w:bookmarkEnd w:id="253"/>
    <w:bookmarkStart w:id="255" w:name="ref-xarray-2017"/>
    <w:p>
      <w:pPr>
        <w:pStyle w:val="Bibliography"/>
      </w:pPr>
      <w:r>
        <w:t xml:space="preserve">Hoyer, S. et J. Hamman. 2017.</w:t>
      </w:r>
      <w:r>
        <w:t xml:space="preserve"> </w:t>
      </w:r>
      <w:r>
        <w:t xml:space="preserve">« xarray: N-D labeled Arrays and Datasets in Python. »</w:t>
      </w:r>
      <w:r>
        <w:t xml:space="preserve"> </w:t>
      </w:r>
      <w:r>
        <w:rPr>
          <w:i/>
          <w:iCs/>
        </w:rPr>
        <w:t xml:space="preserve">Journal of Open Research Software</w:t>
      </w:r>
      <w:r>
        <w:t xml:space="preserve"> </w:t>
      </w:r>
      <w:r>
        <w:t xml:space="preserve">5 (1): 10.</w:t>
      </w:r>
      <w:r>
        <w:t xml:space="preserve"> </w:t>
      </w:r>
      <w:hyperlink r:id="rId254">
        <w:r>
          <w:rPr>
            <w:rStyle w:val="Hyperlink"/>
          </w:rPr>
          <w:t xml:space="preserve">https://doi.org/10.5334/jors.148</w:t>
        </w:r>
      </w:hyperlink>
      <w:r>
        <w:t xml:space="preserve">.</w:t>
      </w:r>
    </w:p>
    <w:bookmarkEnd w:id="255"/>
    <w:bookmarkStart w:id="257" w:name="ref-Lee-1986"/>
    <w:p>
      <w:pPr>
        <w:pStyle w:val="Bibliography"/>
      </w:pPr>
      <w:r>
        <w:t xml:space="preserve">Lee, J. S. 1986.</w:t>
      </w:r>
      <w:r>
        <w:t xml:space="preserve"> </w:t>
      </w:r>
      <w:r>
        <w:t xml:space="preserve">« Speckle suppression and analysis for synthetic aperture radar images. »</w:t>
      </w:r>
      <w:r>
        <w:t xml:space="preserve"> </w:t>
      </w:r>
      <w:r>
        <w:rPr>
          <w:i/>
          <w:iCs/>
        </w:rPr>
        <w:t xml:space="preserve">Opt. Eng.</w:t>
      </w:r>
      <w:r>
        <w:t xml:space="preserve"> </w:t>
      </w:r>
      <w:r>
        <w:t xml:space="preserve">25 (5): 636‑643.</w:t>
      </w:r>
      <w:r>
        <w:t xml:space="preserve"> </w:t>
      </w:r>
      <w:hyperlink r:id="rId256">
        <w:r>
          <w:rPr>
            <w:rStyle w:val="Hyperlink"/>
          </w:rPr>
          <w:t xml:space="preserve">https://doi.org/10.1117/12.7973877</w:t>
        </w:r>
      </w:hyperlink>
      <w:r>
        <w:t xml:space="preserve">.</w:t>
      </w:r>
    </w:p>
    <w:bookmarkEnd w:id="257"/>
    <w:bookmarkStart w:id="259" w:name="ref-OGCGeoTIFF"/>
    <w:p>
      <w:pPr>
        <w:pStyle w:val="Bibliography"/>
      </w:pPr>
      <w:r>
        <w:t xml:space="preserve">OGC. 2019.</w:t>
      </w:r>
      <w:r>
        <w:t xml:space="preserve"> </w:t>
      </w:r>
      <w:r>
        <w:t xml:space="preserve">« </w:t>
      </w:r>
      <w:r>
        <w:t xml:space="preserve">OGC GeoTIFF Standard</w:t>
      </w:r>
      <w:r>
        <w:t xml:space="preserve">. »</w:t>
      </w:r>
      <w:r>
        <w:t xml:space="preserve"> </w:t>
      </w:r>
      <w:hyperlink r:id="rId258">
        <w:r>
          <w:rPr>
            <w:rStyle w:val="Hyperlink"/>
          </w:rPr>
          <w:t xml:space="preserve">https://docs.ogc.org/is/19-008r4/19-008r4.html/</w:t>
        </w:r>
      </w:hyperlink>
      <w:r>
        <w:t xml:space="preserve">.</w:t>
      </w:r>
    </w:p>
    <w:bookmarkEnd w:id="259"/>
    <w:bookmarkEnd w:id="260"/>
    <w:bookmarkEnd w:id="26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26" Target="media/rId226.png" /><Relationship Type="http://schemas.openxmlformats.org/officeDocument/2006/relationships/image" Id="rId97" Target="media/rId97.svg" /><Relationship Type="http://schemas.openxmlformats.org/officeDocument/2006/relationships/image" Id="rId157" Target="media/rId157.pn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8"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5"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52" Target="https://doi.org/10.1038/s41586-020-2649-2" TargetMode="External" /><Relationship Type="http://schemas.openxmlformats.org/officeDocument/2006/relationships/hyperlink" Id="rId256" Target="https://doi.org/10.1117/12.7973877" TargetMode="External" /><Relationship Type="http://schemas.openxmlformats.org/officeDocument/2006/relationships/hyperlink" Id="rId254"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50"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75" Target="https://colab.research.google.com/github/sfoucher/TraitementImagesPythonVol1/blob/main/notebooks/02-RehaussementVisualisationImages.ipynb" TargetMode="External" /><Relationship Type="http://schemas.openxmlformats.org/officeDocument/2006/relationships/hyperlink" Id="rId202" Target="https://colab.research.google.com/github/sfoucher/TraitementImagesPythonVol1/blob/main/notebooks/03-TransformationSpectrales.ipynb" TargetMode="External" /><Relationship Type="http://schemas.openxmlformats.org/officeDocument/2006/relationships/hyperlink" Id="rId21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58"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225" Target="https://docs.scipy.org/doc/scipy/reference/ndimage.html" TargetMode="External" /><Relationship Type="http://schemas.openxmlformats.org/officeDocument/2006/relationships/hyperlink" Id="rId154" Target="https://docs.xarray.dev/en/latest/getting-started-guide/why-xarray.html" TargetMode="External" /><Relationship Type="http://schemas.openxmlformats.org/officeDocument/2006/relationships/hyperlink" Id="rId105" Target="https://docs.xarray.dev/en/stable/" TargetMode="External" /><Relationship Type="http://schemas.openxmlformats.org/officeDocument/2006/relationships/hyperlink" Id="rId252" Target="https://doi.org/10.1038/s41586-020-2649-2" TargetMode="External" /><Relationship Type="http://schemas.openxmlformats.org/officeDocument/2006/relationships/hyperlink" Id="rId256" Target="https://doi.org/10.1117/12.7973877" TargetMode="External" /><Relationship Type="http://schemas.openxmlformats.org/officeDocument/2006/relationships/hyperlink" Id="rId254" Target="https://doi.org/10.5334/jors.148"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92"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93"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81"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50"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2025-01-12T14:51:03Z</dcterms:created>
  <dcterms:modified xsi:type="dcterms:W3CDTF">2025-01-12T14:51:03Z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2025-01-12</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