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01.png" ContentType="image/png"/>
  <Override PartName="/word/media/rId99.svg" ContentType="image/svg+xml"/>
  <Override PartName="/word/media/rId141.png" ContentType="image/png"/>
  <Override PartName="/word/media/rId131.png" ContentType="image/png"/>
  <Override PartName="/word/media/rId84.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Samuel</w:t>
      </w:r>
      <w:r>
        <w:t xml:space="preserve"> </w:t>
      </w:r>
      <w:r>
        <w:t xml:space="preserve">Foucher</w:t>
      </w:r>
    </w:p>
    <w:p>
      <w:pPr>
        <w:pStyle w:val="Author"/>
      </w:pPr>
      <w:r>
        <w:t xml:space="preserve">Mickaël</w:t>
      </w:r>
      <w:r>
        <w:t xml:space="preserve"> </w:t>
      </w:r>
      <w:r>
        <w:t xml:space="preserve">Germain</w:t>
      </w:r>
    </w:p>
    <w:p>
      <w:pPr>
        <w:pStyle w:val="Date"/>
      </w:pPr>
      <w:r>
        <w:t xml:space="preserve">2025-01-09</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8"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Philippe Apparicio, Yacine Bouroubi, Samuel Foucher et Mickaël Germain.</w:t>
      </w:r>
    </w:p>
    <w:p>
      <w:pPr>
        <w:pStyle w:val="BodyText"/>
      </w:pPr>
      <w:r>
        <w:rPr>
          <w:b/>
          <w:bCs/>
        </w:rPr>
        <w:t xml:space="preserve">Pour citer cet ouvrage :</w:t>
      </w:r>
      <w:r>
        <w:t xml:space="preserve"> </w:t>
      </w:r>
      <w:r>
        <w:t xml:space="preserve">Apparicio P., Bouroubi, Y., Foucher, S.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cartographier et exporter des données spatiales dans R, principalement avec les</w:t>
      </w:r>
      <w:r>
        <w:t xml:space="preserve"> </w:t>
      </w:r>
      <w:r>
        <w:rPr>
          <w:i/>
          <w:iCs/>
        </w:rPr>
        <w:t xml:space="preserve">packages</w:t>
      </w:r>
      <w:r>
        <w:t xml:space="preserve"> </w:t>
      </w:r>
      <w:r>
        <w:rPr>
          <w:rStyle w:val="VerbatimChar"/>
        </w:rPr>
        <w:t xml:space="preserve">sf</w:t>
      </w:r>
      <w:r>
        <w:t xml:space="preserve"> </w:t>
      </w:r>
      <w:r>
        <w:t xml:space="preserve">pour les données vectorielles,</w:t>
      </w:r>
      <w:r>
        <w:t xml:space="preserve"> </w:t>
      </w:r>
      <w:r>
        <w:rPr>
          <w:rStyle w:val="VerbatimChar"/>
        </w:rPr>
        <w:t xml:space="preserve">terra</w:t>
      </w:r>
      <w:r>
        <w:t xml:space="preserve"> </w:t>
      </w:r>
      <w:r>
        <w:t xml:space="preserve">pour les données matricielles (images) et</w:t>
      </w:r>
      <w:r>
        <w:t xml:space="preserve"> </w:t>
      </w:r>
      <w:r>
        <w:rPr>
          <w:rStyle w:val="VerbatimChar"/>
        </w:rPr>
        <w:t xml:space="preserve">tmap</w:t>
      </w:r>
      <w:r>
        <w:t xml:space="preserve"> </w:t>
      </w:r>
      <w:r>
        <w:t xml:space="preserve">pour la cartographie (</w:t>
      </w:r>
      <w:hyperlink w:anchor="sec-chap01">
        <w:r>
          <w:rPr>
            <w:rStyle w:val="Hyperlink"/>
          </w:rPr>
          <w:t xml:space="preserve">chapitre 2</w:t>
        </w:r>
      </w:hyperlink>
      <w:r>
        <w:t xml:space="preserve">). Maîtriser les notions abordées dans ce chapitre constitue une étape préalable et indispensable à tout projet d’analyse spatiale. D’une part, avant d’analyser des données spatiales, il convient de les structurer (importation et manipulation) et de les explorer (cartographie). D’autre part, une fois la ou les méthodes d’analyse spatiale mises en œuvre, il convient de cartographier les résultats finaux et de les exporter au besoin dans un format de données géographiques (shapefile (</w:t>
      </w:r>
      <w:r>
        <w:rPr>
          <w:rStyle w:val="VerbatimChar"/>
        </w:rPr>
        <w:t xml:space="preserve">shp</w:t>
      </w:r>
      <w:r>
        <w:t xml:space="preserve">), GeoPackage (</w:t>
      </w:r>
      <w:r>
        <w:rPr>
          <w:rStyle w:val="VerbatimChar"/>
        </w:rPr>
        <w:t xml:space="preserve">GPKG</w:t>
      </w:r>
      <w:r>
        <w:t xml:space="preserve">), GeoJSON (</w:t>
      </w:r>
      <w:r>
        <w:rPr>
          <w:rStyle w:val="VerbatimChar"/>
        </w:rPr>
        <w:t xml:space="preserve">geojson</w:t>
      </w:r>
      <w:r>
        <w:t xml:space="preserve">), sqlite (</w:t>
      </w:r>
      <w:r>
        <w:rPr>
          <w:rStyle w:val="VerbatimChar"/>
        </w:rPr>
        <w:t xml:space="preserve">sqlite</w:t>
      </w:r>
      <w:r>
        <w:t xml:space="preserve">), GeoTiff, etc.).</w:t>
      </w:r>
    </w:p>
    <w:p>
      <w:pPr>
        <w:pStyle w:val="BodyText"/>
      </w:pPr>
      <w:r>
        <w:rPr>
          <w:b/>
          <w:bCs/>
        </w:rPr>
        <w:t xml:space="preserve">Partie 2. Transformations des données spatiales</w:t>
      </w:r>
      <w:r>
        <w:t xml:space="preserve">. Cette troisième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7"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r>
        <w:t xml:space="preserve"> </w:t>
      </w:r>
      <w:r>
        <w:t xml:space="preserve">1. Les images sont géoréférencées : Cela veut dire que pour chaque pixel nous pouvons y associer une position géographique ou cartographique.</w:t>
      </w:r>
      <w:r>
        <w:t xml:space="preserve"> </w:t>
      </w:r>
      <w:r>
        <w:t xml:space="preserve">2. Le point de vue est très différent : Ces images sont prises avec une vue d’en haut (Nadir) ou oblique avec une distance qui peut être très grande (On parle d’images distales).</w:t>
      </w:r>
      <w:r>
        <w:t xml:space="preserve"> </w:t>
      </w:r>
      <w:r>
        <w:t xml:space="preserve">3. Elles possèdent plus que 3 bandes : Contrairement aux images en vision, les images de télédétection possèdent bien souvent plus que 3 bandes. Il n’est pas rare de trouver 4 bandes (Pléiade), 13 bandes (Sentinel-2, Landsat) et même 200 bandes pour des capteurs hyperspectraux.</w:t>
      </w:r>
      <w:r>
        <w:t xml:space="preserve"> </w:t>
      </w:r>
      <w:r>
        <w:t xml:space="preserve">4. Elles peuvent être calibrées : Les valeurs numérique de l’image peuvent être converties en quantités physiques (luminance, réflectance, section efficace, etc.) via une fonction de calibration.</w:t>
      </w:r>
      <w:r>
        <w:t xml:space="preserve"> </w:t>
      </w:r>
      <w:r>
        <w:t xml:space="preserve">5. 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avec le code ci-dessous.</w:t>
      </w:r>
    </w:p>
    <w:p>
      <w:pPr>
        <w:pStyle w:val="SourceCode"/>
      </w:pPr>
      <w:r>
        <w:rPr>
          <w:rStyle w:val="ImportTok"/>
        </w:rPr>
        <w:t xml:space="preserve">import</w:t>
      </w:r>
      <w:r>
        <w:rPr>
          <w:rStyle w:val="NormalTok"/>
        </w:rPr>
        <w:t xml:space="preserve"> sys</w:t>
      </w:r>
      <w:r>
        <w:br/>
      </w:r>
      <w:r>
        <w:rPr>
          <w:rStyle w:val="ImportTok"/>
        </w:rPr>
        <w:t xml:space="preserve">import</w:t>
      </w:r>
      <w:r>
        <w:rPr>
          <w:rStyle w:val="NormalTok"/>
        </w:rPr>
        <w:t xml:space="preserve"> subprocess</w:t>
      </w:r>
      <w:r>
        <w:br/>
      </w:r>
      <w:r>
        <w:rPr>
          <w:rStyle w:val="ImportTok"/>
        </w:rPr>
        <w:t xml:space="preserve">import</w:t>
      </w:r>
      <w:r>
        <w:rPr>
          <w:rStyle w:val="NormalTok"/>
        </w:rPr>
        <w:t xml:space="preserve"> pkg_resources</w:t>
      </w:r>
      <w:r>
        <w:br/>
      </w:r>
      <w:r>
        <w:br/>
      </w:r>
      <w:r>
        <w:rPr>
          <w:rStyle w:val="CommentTok"/>
        </w:rPr>
        <w:t xml:space="preserve"># Liste des packages</w:t>
      </w:r>
      <w:r>
        <w:br/>
      </w:r>
      <w:r>
        <w:rPr>
          <w:rStyle w:val="NormalTok"/>
        </w:rPr>
        <w:t xml:space="preserve">list_packages </w:t>
      </w:r>
      <w:r>
        <w:rPr>
          <w:rStyle w:val="OperatorTok"/>
        </w:rPr>
        <w:t xml:space="preserve">=</w:t>
      </w:r>
      <w:r>
        <w:rPr>
          <w:rStyle w:val="NormalTok"/>
        </w:rPr>
        <w:t xml:space="preserve"> [</w:t>
      </w:r>
      <w:r>
        <w:rPr>
          <w:rStyle w:val="StringTok"/>
        </w:rPr>
        <w:t xml:space="preserve">"pandas"</w:t>
      </w:r>
      <w:r>
        <w:rPr>
          <w:rStyle w:val="NormalTok"/>
        </w:rPr>
        <w:t xml:space="preserve">, </w:t>
      </w:r>
      <w:r>
        <w:rPr>
          <w:rStyle w:val="StringTok"/>
        </w:rPr>
        <w:t xml:space="preserve">"scikit-image"</w:t>
      </w:r>
      <w:r>
        <w:rPr>
          <w:rStyle w:val="NormalTok"/>
        </w:rPr>
        <w:t xml:space="preserve">, </w:t>
      </w:r>
      <w:r>
        <w:rPr>
          <w:rStyle w:val="StringTok"/>
        </w:rPr>
        <w:t xml:space="preserve">"matplotlib"</w:t>
      </w:r>
      <w:r>
        <w:rPr>
          <w:rStyle w:val="NormalTok"/>
        </w:rPr>
        <w:t xml:space="preserve">, </w:t>
      </w:r>
      <w:r>
        <w:br/>
      </w:r>
      <w:r>
        <w:rPr>
          <w:rStyle w:val="NormalTok"/>
        </w:rPr>
        <w:t xml:space="preserve">                 </w:t>
      </w:r>
      <w:r>
        <w:rPr>
          <w:rStyle w:val="StringTok"/>
        </w:rPr>
        <w:t xml:space="preserve">"geopandas"</w:t>
      </w:r>
      <w:r>
        <w:rPr>
          <w:rStyle w:val="NormalTok"/>
        </w:rPr>
        <w:t xml:space="preserve">, </w:t>
      </w:r>
      <w:r>
        <w:rPr>
          <w:rStyle w:val="StringTok"/>
        </w:rPr>
        <w:t xml:space="preserve">"rasterio"</w:t>
      </w:r>
      <w:r>
        <w:rPr>
          <w:rStyle w:val="NormalTok"/>
        </w:rPr>
        <w:t xml:space="preserve">, </w:t>
      </w:r>
      <w:r>
        <w:rPr>
          <w:rStyle w:val="StringTok"/>
        </w:rPr>
        <w:t xml:space="preserve">"folium"</w:t>
      </w:r>
      <w:r>
        <w:rPr>
          <w:rStyle w:val="NormalTok"/>
        </w:rPr>
        <w:t xml:space="preserve">]</w:t>
      </w:r>
      <w:r>
        <w:br/>
      </w:r>
      <w:r>
        <w:br/>
      </w:r>
      <w:r>
        <w:rPr>
          <w:rStyle w:val="CommentTok"/>
        </w:rPr>
        <w:t xml:space="preserve"># Packages non installés dans la liste</w:t>
      </w:r>
      <w:r>
        <w:br/>
      </w:r>
      <w:r>
        <w:rPr>
          <w:rStyle w:val="NormalTok"/>
        </w:rPr>
        <w:t xml:space="preserve">installed_packages </w:t>
      </w:r>
      <w:r>
        <w:rPr>
          <w:rStyle w:val="OperatorTok"/>
        </w:rPr>
        <w:t xml:space="preserve">=</w:t>
      </w:r>
      <w:r>
        <w:rPr>
          <w:rStyle w:val="NormalTok"/>
        </w:rPr>
        <w:t xml:space="preserve"> {pkg.key </w:t>
      </w:r>
      <w:r>
        <w:rPr>
          <w:rStyle w:val="ControlFlowTok"/>
        </w:rPr>
        <w:t xml:space="preserve">for</w:t>
      </w:r>
      <w:r>
        <w:rPr>
          <w:rStyle w:val="NormalTok"/>
        </w:rPr>
        <w:t xml:space="preserve"> pkg </w:t>
      </w:r>
      <w:r>
        <w:rPr>
          <w:rStyle w:val="KeywordTok"/>
        </w:rPr>
        <w:t xml:space="preserve">in</w:t>
      </w:r>
      <w:r>
        <w:rPr>
          <w:rStyle w:val="NormalTok"/>
        </w:rPr>
        <w:t xml:space="preserve"> pkg_resources.working_set}</w:t>
      </w:r>
      <w:r>
        <w:br/>
      </w:r>
      <w:r>
        <w:rPr>
          <w:rStyle w:val="NormalTok"/>
        </w:rPr>
        <w:t xml:space="preserve">packages_not_installed </w:t>
      </w:r>
      <w:r>
        <w:rPr>
          <w:rStyle w:val="OperatorTok"/>
        </w:rPr>
        <w:t xml:space="preserve">=</w:t>
      </w:r>
      <w:r>
        <w:rPr>
          <w:rStyle w:val="NormalTok"/>
        </w:rPr>
        <w:t xml:space="preserve"> [pkg </w:t>
      </w:r>
      <w:r>
        <w:rPr>
          <w:rStyle w:val="ControlFlowTok"/>
        </w:rPr>
        <w:t xml:space="preserve">for</w:t>
      </w:r>
      <w:r>
        <w:rPr>
          <w:rStyle w:val="NormalTok"/>
        </w:rPr>
        <w:t xml:space="preserve"> pkg </w:t>
      </w:r>
      <w:r>
        <w:rPr>
          <w:rStyle w:val="KeywordTok"/>
        </w:rPr>
        <w:t xml:space="preserve">in</w:t>
      </w:r>
      <w:r>
        <w:rPr>
          <w:rStyle w:val="NormalTok"/>
        </w:rPr>
        <w:t xml:space="preserve"> list_packages </w:t>
      </w:r>
      <w:r>
        <w:rPr>
          <w:rStyle w:val="ControlFlowTok"/>
        </w:rPr>
        <w:t xml:space="preserve">if</w:t>
      </w:r>
      <w:r>
        <w:rPr>
          <w:rStyle w:val="NormalTok"/>
        </w:rPr>
        <w:t xml:space="preserve"> pkg.lower() </w:t>
      </w:r>
      <w:r>
        <w:rPr>
          <w:rStyle w:val="KeywordTok"/>
        </w:rPr>
        <w:t xml:space="preserve">not</w:t>
      </w:r>
      <w:r>
        <w:rPr>
          <w:rStyle w:val="NormalTok"/>
        </w:rPr>
        <w:t xml:space="preserve"> </w:t>
      </w:r>
      <w:r>
        <w:rPr>
          <w:rStyle w:val="KeywordTok"/>
        </w:rPr>
        <w:t xml:space="preserve">in</w:t>
      </w:r>
      <w:r>
        <w:rPr>
          <w:rStyle w:val="NormalTok"/>
        </w:rPr>
        <w:t xml:space="preserve"> installed_packages]</w:t>
      </w:r>
      <w:r>
        <w:br/>
      </w:r>
      <w:r>
        <w:br/>
      </w:r>
      <w:r>
        <w:rPr>
          <w:rStyle w:val="CommentTok"/>
        </w:rPr>
        <w:t xml:space="preserve"># Installation des packages manquants</w:t>
      </w:r>
      <w:r>
        <w:br/>
      </w:r>
      <w:r>
        <w:rPr>
          <w:rStyle w:val="ControlFlowTok"/>
        </w:rPr>
        <w:t xml:space="preserve">if</w:t>
      </w:r>
      <w:r>
        <w:rPr>
          <w:rStyle w:val="NormalTok"/>
        </w:rPr>
        <w:t xml:space="preserve"> packages_not_installed:</w:t>
      </w:r>
      <w:r>
        <w:br/>
      </w:r>
      <w:r>
        <w:rPr>
          <w:rStyle w:val="NormalTok"/>
        </w:rPr>
        <w:t xml:space="preserve">    </w:t>
      </w:r>
      <w:r>
        <w:rPr>
          <w:rStyle w:val="BuiltInTok"/>
        </w:rPr>
        <w:t xml:space="preserve">print</w:t>
      </w:r>
      <w:r>
        <w:rPr>
          <w:rStyle w:val="NormalTok"/>
        </w:rPr>
        <w:t xml:space="preserve">(</w:t>
      </w:r>
      <w:r>
        <w:rPr>
          <w:rStyle w:val="StringTok"/>
        </w:rPr>
        <w:t xml:space="preserve">"Installing missing packages..."</w:t>
      </w:r>
      <w:r>
        <w:rPr>
          <w:rStyle w:val="NormalTok"/>
        </w:rPr>
        <w:t xml:space="preserve">)</w:t>
      </w:r>
      <w:r>
        <w:br/>
      </w:r>
      <w:r>
        <w:rPr>
          <w:rStyle w:val="NormalTok"/>
        </w:rPr>
        <w:t xml:space="preserve">    </w:t>
      </w:r>
      <w:r>
        <w:rPr>
          <w:rStyle w:val="ControlFlowTok"/>
        </w:rPr>
        <w:t xml:space="preserve">for</w:t>
      </w:r>
      <w:r>
        <w:rPr>
          <w:rStyle w:val="NormalTok"/>
        </w:rPr>
        <w:t xml:space="preserve"> package </w:t>
      </w:r>
      <w:r>
        <w:rPr>
          <w:rStyle w:val="KeywordTok"/>
        </w:rPr>
        <w:t xml:space="preserve">in</w:t>
      </w:r>
      <w:r>
        <w:rPr>
          <w:rStyle w:val="NormalTok"/>
        </w:rPr>
        <w:t xml:space="preserve"> packages_not_installed:</w:t>
      </w:r>
      <w:r>
        <w:br/>
      </w:r>
      <w:r>
        <w:rPr>
          <w:rStyle w:val="NormalTok"/>
        </w:rPr>
        <w:t xml:space="preserve">        subprocess.check_call([sys.executable, </w:t>
      </w:r>
      <w:r>
        <w:rPr>
          <w:rStyle w:val="StringTok"/>
        </w:rPr>
        <w:t xml:space="preserve">"-m"</w:t>
      </w:r>
      <w:r>
        <w:rPr>
          <w:rStyle w:val="NormalTok"/>
        </w:rPr>
        <w:t xml:space="preserve">, </w:t>
      </w:r>
      <w:r>
        <w:rPr>
          <w:rStyle w:val="StringTok"/>
        </w:rPr>
        <w:t xml:space="preserve">"pip"</w:t>
      </w:r>
      <w:r>
        <w:rPr>
          <w:rStyle w:val="NormalTok"/>
        </w:rPr>
        <w:t xml:space="preserve">, </w:t>
      </w:r>
      <w:r>
        <w:rPr>
          <w:rStyle w:val="StringTok"/>
        </w:rPr>
        <w:t xml:space="preserve">"install"</w:t>
      </w:r>
      <w:r>
        <w:rPr>
          <w:rStyle w:val="NormalTok"/>
        </w:rPr>
        <w:t xml:space="preserve">, package])</w:t>
      </w:r>
      <w:r>
        <w:br/>
      </w:r>
      <w:r>
        <w:rPr>
          <w:rStyle w:val="NormalTok"/>
        </w:rPr>
        <w:t xml:space="preserve">    </w:t>
      </w:r>
      <w:r>
        <w:rPr>
          <w:rStyle w:val="BuiltInTok"/>
        </w:rPr>
        <w:t xml:space="preserve">print</w:t>
      </w:r>
      <w:r>
        <w:rPr>
          <w:rStyle w:val="NormalTok"/>
        </w:rPr>
        <w:t xml:space="preserve">(</w:t>
      </w:r>
      <w:r>
        <w:rPr>
          <w:rStyle w:val="StringTok"/>
        </w:rPr>
        <w:t xml:space="preserve">"All packages installed successfully."</w:t>
      </w:r>
      <w:r>
        <w:rPr>
          <w:rStyle w:val="NormalTok"/>
        </w:rPr>
        <w:t xml:space="preserve">)</w:t>
      </w:r>
      <w:r>
        <w:br/>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"All required packages are already installed."</w:t>
      </w:r>
      <w:r>
        <w:rPr>
          <w:rStyle w:val="NormalTok"/>
        </w:rPr>
        <w:t xml:space="preserve">)</w:t>
      </w:r>
    </w:p>
    <w:bookmarkEnd w:id="54"/>
    <w:bookmarkStart w:id="56" w:name="sect0073"/>
    <w:p>
      <w:pPr>
        <w:pStyle w:val="Heading3"/>
      </w:pPr>
      <w:r>
        <w:t xml:space="preserve">Python 101</w:t>
      </w:r>
    </w:p>
    <w:tbl>
      <w:tblPr>
        <w:tblStyle w:val="Table"/>
        <w:tblW w:type="pct" w:w="5000"/>
        <w:tblLayout w:type="fixed"/>
        <w:tblLook w:firstRow="0" w:lastRow="0" w:firstColumn="0" w:lastColumn="0" w:noHBand="0" w:noVBand="0" w:val="0000"/>
      </w:tblPr>
      <w:tblGrid>
        <w:gridCol w:w="7920"/>
      </w:tblGrid>
      <w:tr>
        <w:tc>
          <w:tcPr/>
          <w:bookmarkStart w:id="55" w:name="fig-polar"/>
          <w:p>
            <w:pPr>
              <w:pStyle w:val="SourceCode"/>
              <w:jc w:val="center"/>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r </w:t>
            </w:r>
            <w:r>
              <w:rPr>
                <w:rStyle w:val="OperatorTok"/>
              </w:rPr>
              <w:t xml:space="preserve">=</w:t>
            </w:r>
            <w:r>
              <w:rPr>
                <w:rStyle w:val="NormalTok"/>
              </w:rPr>
              <w:t xml:space="preserve"> np.arange(</w:t>
            </w:r>
            <w:r>
              <w:rPr>
                <w:rStyle w:val="DecValTok"/>
              </w:rPr>
              <w:t xml:space="preserve">0</w:t>
            </w:r>
            <w:r>
              <w:rPr>
                <w:rStyle w:val="NormalTok"/>
              </w:rPr>
              <w:t xml:space="preserve">, </w:t>
            </w:r>
            <w:r>
              <w:rPr>
                <w:rStyle w:val="DecValTok"/>
              </w:rPr>
              <w:t xml:space="preserve">2</w:t>
            </w:r>
            <w:r>
              <w:rPr>
                <w:rStyle w:val="NormalTok"/>
              </w:rPr>
              <w:t xml:space="preserve">, </w:t>
            </w:r>
            <w:r>
              <w:rPr>
                <w:rStyle w:val="FloatTok"/>
              </w:rPr>
              <w:t xml:space="preserve">0.01</w:t>
            </w:r>
            <w:r>
              <w:rPr>
                <w:rStyle w:val="NormalTok"/>
              </w:rPr>
              <w:t xml:space="preserve">)</w:t>
            </w:r>
            <w:r>
              <w:br/>
            </w:r>
            <w:r>
              <w:rPr>
                <w:rStyle w:val="NormalTok"/>
              </w:rPr>
              <w:t xml:space="preserve">theta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np.pi </w:t>
            </w:r>
            <w:r>
              <w:rPr>
                <w:rStyle w:val="OperatorTok"/>
              </w:rPr>
              <w:t xml:space="preserve">*</w:t>
            </w:r>
            <w:r>
              <w:rPr>
                <w:rStyle w:val="NormalTok"/>
              </w:rPr>
              <w:t xml:space="preserve"> r</w:t>
            </w:r>
            <w:r>
              <w:br/>
            </w:r>
            <w:r>
              <w:rPr>
                <w:rStyle w:val="NormalTok"/>
              </w:rPr>
              <w:t xml:space="preserve">fig, ax </w:t>
            </w:r>
            <w:r>
              <w:rPr>
                <w:rStyle w:val="OperatorTok"/>
              </w:rPr>
              <w:t xml:space="preserve">=</w:t>
            </w:r>
            <w:r>
              <w:rPr>
                <w:rStyle w:val="NormalTok"/>
              </w:rPr>
              <w:t xml:space="preserve"> plt.subplots(</w:t>
            </w:r>
            <w:r>
              <w:br/>
            </w:r>
            <w:r>
              <w:rPr>
                <w:rStyle w:val="NormalTok"/>
              </w:rPr>
              <w:t xml:space="preserve">  subplot_kw </w:t>
            </w:r>
            <w:r>
              <w:rPr>
                <w:rStyle w:val="OperatorTok"/>
              </w:rPr>
              <w:t xml:space="preserve">=</w:t>
            </w:r>
            <w:r>
              <w:rPr>
                <w:rStyle w:val="NormalTok"/>
              </w:rPr>
              <w:t xml:space="preserve"> {</w:t>
            </w:r>
            <w:r>
              <w:rPr>
                <w:rStyle w:val="StringTok"/>
              </w:rPr>
              <w:t xml:space="preserve">'projection'</w:t>
            </w:r>
            <w:r>
              <w:rPr>
                <w:rStyle w:val="NormalTok"/>
              </w:rPr>
              <w:t xml:space="preserve">: </w:t>
            </w:r>
            <w:r>
              <w:rPr>
                <w:rStyle w:val="StringTok"/>
              </w:rPr>
              <w:t xml:space="preserve">'polar'</w:t>
            </w:r>
            <w:r>
              <w:rPr>
                <w:rStyle w:val="NormalTok"/>
              </w:rPr>
              <w:t xml:space="preserve">} </w:t>
            </w:r>
            <w:r>
              <w:br/>
            </w:r>
            <w:r>
              <w:rPr>
                <w:rStyle w:val="NormalTok"/>
              </w:rPr>
              <w:t xml:space="preserve">)</w:t>
            </w:r>
            <w:r>
              <w:br/>
            </w:r>
            <w:r>
              <w:rPr>
                <w:rStyle w:val="NormalTok"/>
              </w:rPr>
              <w:t xml:space="preserve">ax.plot(theta, r)</w:t>
            </w:r>
            <w:r>
              <w:br/>
            </w:r>
            <w:r>
              <w:rPr>
                <w:rStyle w:val="NormalTok"/>
              </w:rPr>
              <w:t xml:space="preserve">ax.set_rticks([</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rPr>
                <w:rStyle w:val="NormalTok"/>
              </w:rPr>
              <w:t xml:space="preserve">ax.grid(</w:t>
            </w:r>
            <w:r>
              <w:rPr>
                <w:rStyle w:val="VariableTok"/>
              </w:rPr>
              <w:t xml:space="preserve">True</w:t>
            </w:r>
            <w:r>
              <w:rPr>
                <w:rStyle w:val="NormalTok"/>
              </w:rPr>
              <w:t xml:space="preserve">)</w:t>
            </w:r>
            <w:r>
              <w:br/>
            </w:r>
            <w:r>
              <w:rPr>
                <w:rStyle w:val="NormalTok"/>
              </w:rPr>
              <w:t xml:space="preserve">plt.show()</w:t>
            </w:r>
          </w:p>
          <w:p>
            <w:pPr>
              <w:jc w:val="center"/>
            </w:pPr>
            <w:pPr>
              <w:jc w:val="start"/>
              <w:spacing w:before="200"/>
              <w:pStyle w:val="ImageCaption"/>
            </w:pPr>
            <w:r>
              <w:t xml:space="preserve">Figure 3</w:t>
            </w:r>
          </w:p>
          <w:bookmarkEnd w:id="55"/>
        </w:tc>
      </w:tr>
    </w:tbl>
    <w:bookmarkEnd w:id="56"/>
    <w:bookmarkEnd w:id="57"/>
    <w:bookmarkEnd w:id="58"/>
    <w:bookmarkStart w:id="65" w:name="auteurs"/>
    <w:p>
      <w:pPr>
        <w:pStyle w:val="Heading1"/>
      </w:pPr>
      <w:r>
        <w:t xml:space="preserve">À propos des auteurs</w:t>
      </w:r>
    </w:p>
    <w:p>
      <w:pPr>
        <w:pStyle w:val="FirstParagraph"/>
      </w:pPr>
      <w:hyperlink r:id="rId59">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60">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61">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60">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61">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3">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60">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61">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4">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60">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61">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5"/>
    <w:bookmarkStart w:id="98"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6">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71" w:name="les-distributions"/>
    <w:p>
      <w:pPr>
        <w:pStyle w:val="Heading2"/>
      </w:pPr>
      <w:r>
        <w:t xml:space="preserve">1.1 Les distributions</w:t>
      </w:r>
    </w:p>
    <w:p>
      <w:pPr>
        <w:pStyle w:val="FirstParagraph"/>
      </w:pPr>
      <w:r>
        <w:t xml:space="preserve">Il existe plusieurs</w:t>
      </w:r>
      <w:r>
        <w:t xml:space="preserve"> </w:t>
      </w:r>
      <w:hyperlink r:id="rId67">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7"/>
        </w:numPr>
      </w:pPr>
      <w:hyperlink r:id="rId68">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7"/>
        </w:numPr>
      </w:pPr>
      <w:hyperlink r:id="rId69">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7"/>
        </w:numPr>
      </w:pPr>
      <w:hyperlink r:id="rId70">
        <w:r>
          <w:rPr>
            <w:rStyle w:val="Hyperlink"/>
          </w:rPr>
          <w:t xml:space="preserve">Miniconda</w:t>
        </w:r>
      </w:hyperlink>
      <w:r>
        <w:t xml:space="preserve"> </w:t>
      </w:r>
      <w:r>
        <w:t xml:space="preserve">: est une distribution légère de Python qui vous permet d’ajouter les librairies au besoin.</w:t>
      </w:r>
    </w:p>
    <w:p>
      <w:pPr>
        <w:numPr>
          <w:ilvl w:val="0"/>
          <w:numId w:val="1007"/>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71"/>
    <w:bookmarkStart w:id="77"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6"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8"/>
        </w:numPr>
      </w:pPr>
      <w:r>
        <w:t xml:space="preserve">Un éditeur de texte amélioré pour écrire votre code, avec des fonctionnalités comme la coloration syntaxique qui rend le code plus lisible.</w:t>
      </w:r>
    </w:p>
    <w:p>
      <w:pPr>
        <w:numPr>
          <w:ilvl w:val="0"/>
          <w:numId w:val="1008"/>
        </w:numPr>
      </w:pPr>
      <w:r>
        <w:t xml:space="preserve">Un compilateur qui transforme votre code en instructions que l’ordinateur peut comprendre.</w:t>
      </w:r>
    </w:p>
    <w:p>
      <w:pPr>
        <w:numPr>
          <w:ilvl w:val="0"/>
          <w:numId w:val="1008"/>
        </w:numPr>
      </w:pPr>
      <w:r>
        <w:t xml:space="preserve">Un débogueur pour trouver et corriger les erreurs, tel un détective numérique.</w:t>
      </w:r>
    </w:p>
    <w:p>
      <w:pPr>
        <w:numPr>
          <w:ilvl w:val="0"/>
          <w:numId w:val="1008"/>
        </w:numPr>
      </w:pPr>
      <w:r>
        <w:t xml:space="preserve">Des outils d’automatisation qui effectuent des tâches répétitives, comme un assistant virtuel pour le codage.</w:t>
      </w:r>
    </w:p>
    <w:p>
      <w:pPr>
        <w:numPr>
          <w:ilvl w:val="0"/>
          <w:numId w:val="1008"/>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09"/>
        </w:numPr>
      </w:pPr>
      <w:hyperlink r:id="rId72">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09"/>
        </w:numPr>
      </w:pPr>
      <w:hyperlink r:id="rId73">
        <w:r>
          <w:rPr>
            <w:rStyle w:val="Hyperlink"/>
          </w:rPr>
          <w:t xml:space="preserve">Visual Studio Code</w:t>
        </w:r>
      </w:hyperlink>
      <w:r>
        <w:t xml:space="preserve"> </w:t>
      </w:r>
      <w:r>
        <w:t xml:space="preserve">: Gratuit, léger mais puissant, il est personnalisable avec des extensions pour Python.</w:t>
      </w:r>
    </w:p>
    <w:p>
      <w:pPr>
        <w:numPr>
          <w:ilvl w:val="0"/>
          <w:numId w:val="1009"/>
        </w:numPr>
      </w:pPr>
      <w:hyperlink r:id="rId74">
        <w:r>
          <w:rPr>
            <w:rStyle w:val="Hyperlink"/>
          </w:rPr>
          <w:t xml:space="preserve">Spyder</w:t>
        </w:r>
      </w:hyperlink>
      <w:r>
        <w:t xml:space="preserve"> </w:t>
      </w:r>
      <w:r>
        <w:t xml:space="preserve">: Logiciel libre et gratuit, orienté vers les applications scientifiques.</w:t>
      </w:r>
    </w:p>
    <w:p>
      <w:pPr>
        <w:numPr>
          <w:ilvl w:val="0"/>
          <w:numId w:val="1009"/>
        </w:numPr>
      </w:pPr>
      <w:hyperlink r:id="rId75">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09"/>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6"/>
    <w:bookmarkEnd w:id="77"/>
    <w:bookmarkStart w:id="89"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0"/>
        </w:numPr>
      </w:pPr>
      <w:r>
        <w:rPr>
          <w:b/>
          <w:bCs/>
        </w:rPr>
        <w:t xml:space="preserve">N’installez par la toute dernière version de Python</w:t>
      </w:r>
      <w:r>
        <w:t xml:space="preserve"> </w:t>
      </w:r>
      <w:r>
        <w:t xml:space="preserve">: installez toujours une version ou deux qui précède</w:t>
      </w:r>
      <w:r>
        <w:t xml:space="preserve"> </w:t>
      </w:r>
      <w:hyperlink r:id="rId68">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0"/>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0"/>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0"/>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8" w:name="création-dun-environnement-virtuel"/>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1"/>
        </w:numPr>
      </w:pPr>
      <w:r>
        <w:rPr>
          <w:b/>
          <w:bCs/>
        </w:rPr>
        <w:t xml:space="preserve">Option 1</w:t>
      </w:r>
      <w:r>
        <w:t xml:space="preserve"> </w:t>
      </w:r>
      <w:r>
        <w:t xml:space="preserve">: vous utilisez</w:t>
      </w:r>
      <w:r>
        <w:t xml:space="preserve"> </w:t>
      </w:r>
      <w:hyperlink r:id="rId69">
        <w:r>
          <w:rPr>
            <w:rStyle w:val="Hyperlink"/>
          </w:rPr>
          <w:t xml:space="preserve">Anaconda</w:t>
        </w:r>
      </w:hyperlink>
      <w:r>
        <w:t xml:space="preserve"> </w:t>
      </w:r>
      <w:r>
        <w:t xml:space="preserve">ou</w:t>
      </w:r>
      <w:r>
        <w:t xml:space="preserve"> </w:t>
      </w:r>
      <w:hyperlink r:id="rId70">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2"/>
        </w:numPr>
      </w:pPr>
      <w:r>
        <w:rPr>
          <w:b/>
          <w:bCs/>
        </w:rPr>
        <w:t xml:space="preserve">Option 2</w:t>
      </w:r>
      <w:r>
        <w:t xml:space="preserve"> </w:t>
      </w:r>
      <w:r>
        <w:t xml:space="preserve">: vous utilisez</w:t>
      </w:r>
      <w:r>
        <w:t xml:space="preserve"> </w:t>
      </w:r>
      <w:hyperlink r:id="rId68">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8"/>
    <w:bookmarkStart w:id="88"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9">
        <w:r>
          <w:rPr>
            <w:rStyle w:val="Hyperlink"/>
          </w:rPr>
          <w:t xml:space="preserve">Google Colab</w:t>
        </w:r>
      </w:hyperlink>
      <w:r>
        <w:t xml:space="preserve">. Si vous souhaitez faire fonctionner ces notebook localement, vous pouvez installer un environnement local avec un serveur</w:t>
      </w:r>
      <w:r>
        <w:t xml:space="preserve"> </w:t>
      </w:r>
      <w:hyperlink r:id="rId80">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81">
        <w:r>
          <w:rPr>
            <w:rStyle w:val="Hyperlink"/>
          </w:rPr>
          <w:t xml:space="preserve">Windows</w:t>
        </w:r>
      </w:hyperlink>
      <w:r>
        <w:t xml:space="preserve"> </w:t>
      </w:r>
      <w:r>
        <w:t xml:space="preserve">2. Installer</w:t>
      </w:r>
      <w:r>
        <w:t xml:space="preserve"> </w:t>
      </w:r>
      <w:hyperlink r:id="rId82">
        <w:r>
          <w:rPr>
            <w:rStyle w:val="Hyperlink"/>
          </w:rPr>
          <w:t xml:space="preserve">vscode</w:t>
        </w:r>
      </w:hyperlink>
      <w:r>
        <w:t xml:space="preserve"> </w:t>
      </w:r>
      <w:r>
        <w:t xml:space="preserve">3. Installer</w:t>
      </w:r>
      <w:r>
        <w:t xml:space="preserve"> </w:t>
      </w:r>
      <w:hyperlink r:id="rId83">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7" w:name="fig-naturenumpy1"/>
      <w:r>
        <w:drawing>
          <wp:inline>
            <wp:extent cx="5334000" cy="3853355"/>
            <wp:effectExtent b="0" l="0" r="0" t="0"/>
            <wp:docPr descr="La librairie NumPy est le fondement de nombreuses librairies scientifiques (d’après (Harris 2020))." title="" id="85" name="Picture"/>
            <a:graphic>
              <a:graphicData uri="http://schemas.openxmlformats.org/drawingml/2006/picture">
                <pic:pic>
                  <pic:nvPicPr>
                    <pic:cNvPr descr="https://raw.githubusercontent.com/sfoucher/TraitementImagesPythonVol1/refs/heads/main/images/jupyter-accueil.png" id="86" name="Picture"/>
                    <pic:cNvPicPr>
                      <a:picLocks noChangeArrowheads="1" noChangeAspect="1"/>
                    </pic:cNvPicPr>
                  </pic:nvPicPr>
                  <pic:blipFill>
                    <a:blip r:embed="rId84"/>
                    <a:stretch>
                      <a:fillRect/>
                    </a:stretch>
                  </pic:blipFill>
                  <pic:spPr bwMode="auto">
                    <a:xfrm>
                      <a:off x="0" y="0"/>
                      <a:ext cx="5334000" cy="3853355"/>
                    </a:xfrm>
                    <a:prstGeom prst="rect">
                      <a:avLst/>
                    </a:prstGeom>
                    <a:noFill/>
                    <a:ln w="9525">
                      <a:noFill/>
                      <a:headEnd/>
                      <a:tailEnd/>
                    </a:ln>
                  </pic:spPr>
                </pic:pic>
              </a:graphicData>
            </a:graphic>
          </wp:inline>
        </w:drawing>
      </w:r>
      <w:bookmarkEnd w:id="87"/>
    </w:p>
    <w:bookmarkEnd w:id="88"/>
    <w:bookmarkEnd w:id="89"/>
    <w:bookmarkStart w:id="90"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90"/>
    <w:bookmarkStart w:id="93"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3"/>
        </w:numPr>
      </w:pPr>
      <w:r>
        <w:t xml:space="preserve">Représentées par des crochets :</w:t>
      </w:r>
      <w:r>
        <w:t xml:space="preserve"> </w:t>
      </w:r>
      <w:r>
        <w:rPr>
          <w:rStyle w:val="VerbatimChar"/>
        </w:rPr>
        <w:t xml:space="preserve">[1, 2, 3, "python"]</w:t>
      </w:r>
      <w:r>
        <w:t xml:space="preserve">.</w:t>
      </w:r>
    </w:p>
    <w:p>
      <w:pPr>
        <w:numPr>
          <w:ilvl w:val="0"/>
          <w:numId w:val="1013"/>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3"/>
        </w:numPr>
      </w:pPr>
      <w:r>
        <w:t xml:space="preserve">Permettent les doublons (deux fois la même valeur).</w:t>
      </w:r>
    </w:p>
    <w:p>
      <w:pPr>
        <w:numPr>
          <w:ilvl w:val="0"/>
          <w:numId w:val="1013"/>
        </w:numPr>
      </w:pPr>
      <w:r>
        <w:t xml:space="preserve">Idéales pour stocker des collections d’éléments que vous voulez modifier</w:t>
      </w:r>
    </w:p>
    <w:bookmarkStart w:id="91" w:name="les-tuples"/>
    <w:p>
      <w:pPr>
        <w:pStyle w:val="Heading3"/>
      </w:pPr>
      <w:r>
        <w:t xml:space="preserve">1.5.1 Les tuples</w:t>
      </w:r>
    </w:p>
    <w:p>
      <w:pPr>
        <w:pStyle w:val="FirstParagraph"/>
      </w:pPr>
      <w:r>
        <w:t xml:space="preserve">Les tuples sont similaires aux listes, mais les boîtes sont scellées :</w:t>
      </w:r>
    </w:p>
    <w:p>
      <w:pPr>
        <w:numPr>
          <w:ilvl w:val="0"/>
          <w:numId w:val="1014"/>
        </w:numPr>
      </w:pPr>
      <w:r>
        <w:t xml:space="preserve">Représentés par des parenthèses :</w:t>
      </w:r>
      <w:r>
        <w:t xml:space="preserve"> </w:t>
      </w:r>
      <w:r>
        <w:rPr>
          <w:rStyle w:val="VerbatimChar"/>
        </w:rPr>
        <w:t xml:space="preserve">(1, 2, 3, "python")</w:t>
      </w:r>
      <w:r>
        <w:t xml:space="preserve">.</w:t>
      </w:r>
    </w:p>
    <w:p>
      <w:pPr>
        <w:numPr>
          <w:ilvl w:val="0"/>
          <w:numId w:val="1014"/>
        </w:numPr>
      </w:pPr>
      <w:r>
        <w:t xml:space="preserve">Ordonnés mais non modifiables (immutables).</w:t>
      </w:r>
    </w:p>
    <w:p>
      <w:pPr>
        <w:numPr>
          <w:ilvl w:val="0"/>
          <w:numId w:val="1014"/>
        </w:numPr>
      </w:pPr>
      <w:r>
        <w:t xml:space="preserve">Permettent les doublons.</w:t>
      </w:r>
    </w:p>
    <w:p>
      <w:pPr>
        <w:numPr>
          <w:ilvl w:val="0"/>
          <w:numId w:val="1014"/>
        </w:numPr>
      </w:pPr>
      <w:r>
        <w:t xml:space="preserve">Souvent utilisé pour stocker des données qui ne doivent pas changer (comme des paramètres).</w:t>
      </w:r>
    </w:p>
    <w:bookmarkEnd w:id="91"/>
    <w:bookmarkStart w:id="92"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5"/>
        </w:numPr>
      </w:pPr>
      <w:r>
        <w:t xml:space="preserve">Représentés par des accolades :</w:t>
      </w:r>
      <w:r>
        <w:t xml:space="preserve"> </w:t>
      </w:r>
      <w:r>
        <w:rPr>
          <w:rStyle w:val="VerbatimChar"/>
        </w:rPr>
        <w:t xml:space="preserve">{1, 2, 3}</w:t>
      </w:r>
      <w:r>
        <w:t xml:space="preserve">.</w:t>
      </w:r>
    </w:p>
    <w:p>
      <w:pPr>
        <w:numPr>
          <w:ilvl w:val="0"/>
          <w:numId w:val="1015"/>
        </w:numPr>
      </w:pPr>
      <w:r>
        <w:t xml:space="preserve">Non ordonnés et modifiables.</w:t>
      </w:r>
    </w:p>
    <w:p>
      <w:pPr>
        <w:numPr>
          <w:ilvl w:val="0"/>
          <w:numId w:val="1015"/>
        </w:numPr>
      </w:pPr>
      <w:r>
        <w:t xml:space="preserve">N’autorisent pas les doublons.</w:t>
      </w:r>
    </w:p>
    <w:p>
      <w:pPr>
        <w:numPr>
          <w:ilvl w:val="0"/>
          <w:numId w:val="1015"/>
        </w:numPr>
      </w:pPr>
      <w:r>
        <w:t xml:space="preserve">Utiles pour éliminer les doublons et effectuer des opérations mathématiques sur des ensembles.</w:t>
      </w:r>
    </w:p>
    <w:bookmarkEnd w:id="92"/>
    <w:bookmarkEnd w:id="93"/>
    <w:bookmarkStart w:id="94"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6"/>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6"/>
        </w:numPr>
      </w:pPr>
      <w:r>
        <w:t xml:space="preserve">Non ordonnés et modifiables.</w:t>
      </w:r>
    </w:p>
    <w:p>
      <w:pPr>
        <w:numPr>
          <w:ilvl w:val="0"/>
          <w:numId w:val="1016"/>
        </w:numPr>
      </w:pPr>
      <w:r>
        <w:t xml:space="preserve">Les clés doivent être uniques, mais les valeurs peuvent être dupliquées</w:t>
      </w:r>
    </w:p>
    <w:p>
      <w:pPr>
        <w:numPr>
          <w:ilvl w:val="0"/>
          <w:numId w:val="1016"/>
        </w:numPr>
      </w:pPr>
      <w:r>
        <w:t xml:space="preserve">Utiles pour stocker des données associatives ou pour créer des tables de recherche rapide</w:t>
      </w:r>
    </w:p>
    <w:bookmarkEnd w:id="94"/>
    <w:bookmarkStart w:id="95"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7"/>
        </w:numPr>
      </w:pPr>
      <w:r>
        <w:rPr>
          <w:b/>
          <w:bCs/>
        </w:rPr>
        <w:t xml:space="preserve">Encapsulation</w:t>
      </w:r>
      <w:r>
        <w:t xml:space="preserve"> </w:t>
      </w:r>
      <w:r>
        <w:t xml:space="preserve">: Comme emballer un cadeau, elle cache les détails internes d’un objet.</w:t>
      </w:r>
    </w:p>
    <w:p>
      <w:pPr>
        <w:numPr>
          <w:ilvl w:val="0"/>
          <w:numId w:val="1017"/>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7"/>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8"/>
        </w:numPr>
      </w:pPr>
      <w:r>
        <w:t xml:space="preserve">Pour importer et manipuler des fichiers géographiques :</w:t>
      </w:r>
    </w:p>
    <w:p>
      <w:pPr>
        <w:pStyle w:val="Compact"/>
        <w:numPr>
          <w:ilvl w:val="1"/>
          <w:numId w:val="1019"/>
        </w:numPr>
      </w:pPr>
      <w:r>
        <w:rPr>
          <w:rStyle w:val="VerbatimChar"/>
        </w:rPr>
        <w:t xml:space="preserve">sf</w:t>
      </w:r>
      <w:r>
        <w:t xml:space="preserve"> </w:t>
      </w:r>
      <w:r>
        <w:t xml:space="preserve">pour importer et manipuler des données vectorielles.</w:t>
      </w:r>
    </w:p>
    <w:p>
      <w:pPr>
        <w:pStyle w:val="Compact"/>
        <w:numPr>
          <w:ilvl w:val="1"/>
          <w:numId w:val="1019"/>
        </w:numPr>
      </w:pPr>
      <w:r>
        <w:rPr>
          <w:rStyle w:val="VerbatimChar"/>
        </w:rPr>
        <w:t xml:space="preserve">terra</w:t>
      </w:r>
      <w:r>
        <w:t xml:space="preserve"> </w:t>
      </w:r>
      <w:r>
        <w:t xml:space="preserve">pour importer et manipuler des données matricielles.</w:t>
      </w:r>
    </w:p>
    <w:p>
      <w:pPr>
        <w:pStyle w:val="Compact"/>
        <w:numPr>
          <w:ilvl w:val="0"/>
          <w:numId w:val="1018"/>
        </w:numPr>
      </w:pPr>
      <w:r>
        <w:t xml:space="preserve">Pour construire des cartes et des graphiques :</w:t>
      </w:r>
    </w:p>
    <w:p>
      <w:pPr>
        <w:pStyle w:val="Compact"/>
        <w:numPr>
          <w:ilvl w:val="1"/>
          <w:numId w:val="1020"/>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0"/>
        </w:numPr>
      </w:pPr>
      <w:r>
        <w:rPr>
          <w:rStyle w:val="VerbatimChar"/>
        </w:rPr>
        <w:t xml:space="preserve">ggplot2</w:t>
      </w:r>
      <w:r>
        <w:t xml:space="preserve"> </w:t>
      </w:r>
      <w:r>
        <w:t xml:space="preserve">pour construire des graphiques.</w:t>
      </w:r>
    </w:p>
    <w:bookmarkEnd w:id="95"/>
    <w:bookmarkStart w:id="96" w:name="quiz-de-révision-du-chapitre"/>
    <w:p>
      <w:pPr>
        <w:pStyle w:val="Heading2"/>
      </w:pPr>
      <w:r>
        <w:t xml:space="preserve">1.8 Quiz de révision du chapitre</w:t>
      </w:r>
    </w:p>
    <w:bookmarkEnd w:id="96"/>
    <w:bookmarkStart w:id="97" w:name="sec-016"/>
    <w:p>
      <w:pPr>
        <w:pStyle w:val="Heading2"/>
      </w:pPr>
      <w:r>
        <w:t xml:space="preserve">1.9 Cahier de révision (notebook)</w:t>
      </w:r>
    </w:p>
    <w:p>
      <w:pPr>
        <w:pStyle w:val="FirstParagraph"/>
      </w:pPr>
      <w:r>
        <w:t xml:space="preserve">/TODO</w:t>
      </w:r>
    </w:p>
    <w:bookmarkEnd w:id="97"/>
    <w:bookmarkEnd w:id="98"/>
    <w:bookmarkStart w:id="163" w:name="sec-chap01"/>
    <w:p>
      <w:pPr>
        <w:pStyle w:val="Heading1"/>
      </w:pPr>
      <w:r>
        <w:t xml:space="preserve">2. Importation et manipulation de données spatiales</w:t>
      </w:r>
    </w:p>
    <w:p>
      <w:pPr>
        <w:pStyle w:val="FirstParagraph"/>
      </w:pPr>
      <w:r>
        <w:t xml:space="preserve">Dans ce chapitre, nous abordons quelques formats d’images ainsi que leur lecture. Ce chapitre est aussi disponible sous la forme d’un notebook Python:</w:t>
      </w:r>
      <w:r>
        <w:t xml:space="preserve"> </w:t>
      </w:r>
      <w:hyperlink r:id="rId102">
        <w:r>
          <w:drawing>
            <wp:inline>
              <wp:extent cx="1114425" cy="190500"/>
              <wp:effectExtent b="0" l="0" r="0" t="0"/>
              <wp:docPr descr="" title="" id="100" name="Picture"/>
              <a:graphic>
                <a:graphicData uri="http://schemas.openxmlformats.org/drawingml/2006/picture">
                  <pic:pic>
                    <pic:nvPicPr>
                      <pic:cNvPr descr="https://colab.research.google.com/assets/colab-badge.svg" id="1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r>
        <w:t xml:space="preserve"> </w:t>
      </w:r>
      <w:r>
        <w:t xml:space="preserve">* NumPy</w:t>
      </w:r>
      <w:r>
        <w:t xml:space="preserve"> </w:t>
      </w:r>
      <w:r>
        <w:t xml:space="preserve">* OpenCV</w:t>
      </w:r>
      <w:r>
        <w:t xml:space="preserve"> </w:t>
      </w:r>
      <w:r>
        <w:t xml:space="preserve">* RasterIO</w:t>
      </w:r>
      <w:r>
        <w:t xml:space="preserve"> </w:t>
      </w:r>
      <w:r>
        <w:t xml:space="preserve">*</w:t>
      </w:r>
      <w:r>
        <w:t xml:space="preserve"> </w:t>
      </w:r>
      <w:hyperlink r:id="rId103">
        <w:r>
          <w:rPr>
            <w:rStyle w:val="Hyperlink"/>
          </w:rPr>
          <w:t xml:space="preserve">rioxarray</w:t>
        </w:r>
      </w:hyperlink>
      <w:r>
        <w:t xml:space="preserve"> </w:t>
      </w:r>
      <w:r>
        <w:t xml:space="preserve">* xarray</w:t>
      </w:r>
    </w:p>
    <w:p>
      <w:pPr>
        <w:pStyle w:val="BodyText"/>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Nous allons utilisés ces deux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Start w:id="130" w:name="sec-011"/>
    <w:p>
      <w:pPr>
        <w:pStyle w:val="Heading2"/>
      </w:pPr>
      <w:r>
        <w:t xml:space="preserve">2.1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4">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5">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6">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5" w:name="formats-des-images"/>
    <w:p>
      <w:pPr>
        <w:pStyle w:val="Heading3"/>
      </w:pPr>
      <w:r>
        <w:t xml:space="preserve">2.1.1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7">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8">
        <w:r>
          <w:rPr>
            <w:rStyle w:val="Hyperlink"/>
          </w:rPr>
          <w:t xml:space="preserve">JPEG</w:t>
        </w:r>
      </w:hyperlink>
      <w:r>
        <w:t xml:space="preserve">,</w:t>
      </w:r>
      <w:r>
        <w:t xml:space="preserve"> </w:t>
      </w:r>
      <w:hyperlink r:id="rId109">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1"/>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19" w:name="formats-de-type-rvb"/>
    <w:p>
      <w:pPr>
        <w:pStyle w:val="Heading4"/>
      </w:pPr>
      <w:r>
        <w:t xml:space="preserve">2.1.1.1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0">
        <w:r>
          <w:rPr>
            <w:rStyle w:val="Hyperlink"/>
          </w:rPr>
          <w:t xml:space="preserve">PIL</w:t>
        </w:r>
      </w:hyperlink>
      <w:r>
        <w:t xml:space="preserve"> </w:t>
      </w:r>
      <w:r>
        <w:t xml:space="preserve">ou</w:t>
      </w:r>
      <w:r>
        <w:t xml:space="preserve"> </w:t>
      </w:r>
      <w:hyperlink r:id="rId111">
        <w:r>
          <w:rPr>
            <w:rStyle w:val="Hyperlink"/>
          </w:rPr>
          <w:t xml:space="preserve">OpenCV</w:t>
        </w:r>
      </w:hyperlink>
      <w:r>
        <w:t xml:space="preserve">.</w:t>
      </w:r>
    </w:p>
    <w:bookmarkStart w:id="113" w:name="lecture-avec-la-librairie-pil"/>
    <w:p>
      <w:pPr>
        <w:pStyle w:val="Heading5"/>
      </w:pPr>
      <w:r>
        <w:t xml:space="preserve">2.1.1.1.1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2"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2"/>
        </w:tc>
      </w:tr>
    </w:tbl>
    <w:bookmarkEnd w:id="113"/>
    <w:bookmarkStart w:id="115" w:name="lecture-avec-la-librairie-opencv"/>
    <w:p>
      <w:pPr>
        <w:pStyle w:val="Heading5"/>
      </w:pPr>
      <w:r>
        <w:t xml:space="preserve">2.1.1.1.2 Lecture avec la librairie OpenCV</w:t>
      </w:r>
    </w:p>
    <w:p>
      <w:pPr>
        <w:pStyle w:val="FirstParagraph"/>
      </w:pPr>
      <w:r>
        <w:t xml:space="preserve">La librairie</w:t>
      </w:r>
      <w:r>
        <w:t xml:space="preserve"> </w:t>
      </w:r>
      <w:hyperlink r:id="rId111">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4"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4"/>
        </w:tc>
      </w:tr>
    </w:tbl>
    <w:bookmarkEnd w:id="115"/>
    <w:bookmarkStart w:id="118" w:name="lecture-avec-la-librairie-rasterio"/>
    <w:p>
      <w:pPr>
        <w:pStyle w:val="Heading5"/>
      </w:pPr>
      <w:r>
        <w:t xml:space="preserve">2.1.1.1.3 Lecture avec la librairie RasterIO</w:t>
      </w:r>
    </w:p>
    <w:p>
      <w:pPr>
        <w:pStyle w:val="FirstParagraph"/>
      </w:pPr>
      <w:r>
        <w:t xml:space="preserve">Rien ne nous empêche de lire une image de format RVB avec</w:t>
      </w:r>
      <w:r>
        <w:t xml:space="preserve"> </w:t>
      </w:r>
      <w:hyperlink r:id="rId116">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7"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7"/>
        </w:tc>
      </w:tr>
    </w:tbl>
    <w:bookmarkEnd w:id="118"/>
    <w:bookmarkEnd w:id="119"/>
    <w:bookmarkStart w:id="122" w:name="le-format-geotiff"/>
    <w:p>
      <w:pPr>
        <w:pStyle w:val="Heading4"/>
      </w:pPr>
      <w:r>
        <w:t xml:space="preserve">2.1.1.2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0">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5">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1" w:name="standardisation-par-logc"/>
    <w:p>
      <w:pPr>
        <w:pStyle w:val="Heading5"/>
      </w:pPr>
      <w:r>
        <w:t xml:space="preserve">2.1.1.2.1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1"/>
    <w:bookmarkEnd w:id="122"/>
    <w:bookmarkStart w:id="124" w:name="le-format-cog"/>
    <w:p>
      <w:pPr>
        <w:pStyle w:val="Heading4"/>
      </w:pPr>
      <w:r>
        <w:t xml:space="preserve">2.1.1.3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3">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4"/>
    <w:bookmarkEnd w:id="125"/>
    <w:bookmarkStart w:id="129" w:name="métadonnées-des-images"/>
    <w:p>
      <w:pPr>
        <w:pStyle w:val="Heading3"/>
      </w:pPr>
      <w:r>
        <w:t xml:space="preserve">2.1.2 Métadonnées des images</w:t>
      </w:r>
    </w:p>
    <w:p>
      <w:pPr>
        <w:pStyle w:val="FirstParagraph"/>
      </w:pPr>
      <w:r>
        <w:t xml:space="preserve">La manière la plus directe d’accéder à la métadonnée d’une image est d’utiliser les commandes 🔖</w:t>
      </w:r>
      <w:hyperlink r:id="rId126">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7"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7"/>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8"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8"/>
        </w:tc>
      </w:tr>
    </w:tbl>
    <w:bookmarkEnd w:id="129"/>
    <w:bookmarkEnd w:id="130"/>
    <w:bookmarkStart w:id="152" w:name="sec-012"/>
    <w:p>
      <w:pPr>
        <w:pStyle w:val="Heading2"/>
      </w:pPr>
      <w:r>
        <w:t xml:space="preserve">2.2 Manipulation des images</w:t>
      </w:r>
    </w:p>
    <w:bookmarkStart w:id="135" w:name="manipulation-de-la-matrice-de-pixels"/>
    <w:p>
      <w:pPr>
        <w:pStyle w:val="Heading3"/>
      </w:pPr>
      <w:r>
        <w:t xml:space="preserve">2.2.1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6">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4" w:name="fig-naturenumpy1"/>
          <w:p>
            <w:pPr>
              <w:pStyle w:val="Compact"/>
              <w:jc w:val="center"/>
            </w:pPr>
            <w:r>
              <w:drawing>
                <wp:inline>
                  <wp:extent cx="5334000" cy="5010260"/>
                  <wp:effectExtent b="0" l="0" r="0" t="0"/>
                  <wp:docPr descr="" title="" id="132" name="Picture"/>
                  <a:graphic>
                    <a:graphicData uri="http://schemas.openxmlformats.org/drawingml/2006/picture">
                      <pic:pic>
                        <pic:nvPicPr>
                          <pic:cNvPr descr="https://raw.githubusercontent.com/sfoucher/TraitementImagesPythonVol1/refs/heads/main/images/41586_2020_2649_Fig2_HTML.png" id="133" name="Picture"/>
                          <pic:cNvPicPr>
                            <a:picLocks noChangeArrowheads="1" noChangeAspect="1"/>
                          </pic:cNvPicPr>
                        </pic:nvPicPr>
                        <pic:blipFill>
                          <a:blip r:embed="rId131"/>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4"/>
        </w:tc>
      </w:tr>
    </w:tbl>
    <w:bookmarkEnd w:id="135"/>
    <w:bookmarkStart w:id="139" w:name="information-de-base"/>
    <w:p>
      <w:pPr>
        <w:pStyle w:val="Heading3"/>
      </w:pPr>
      <w:r>
        <w:t xml:space="preserve">2.2.2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6">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7"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7"/>
        </w:tc>
      </w:tr>
    </w:tbl>
    <w:tbl>
      <w:tblPr>
        <w:tblStyle w:val="Table"/>
        <w:tblW w:type="pct" w:w="5000"/>
        <w:tblLayout w:type="fixed"/>
        <w:tblLook w:firstRow="0" w:lastRow="0" w:firstColumn="0" w:lastColumn="0" w:noHBand="0" w:noVBand="0" w:val="0000"/>
      </w:tblPr>
      <w:tblGrid>
        <w:gridCol w:w="7920"/>
      </w:tblGrid>
      <w:tr>
        <w:tc>
          <w:tcPr/>
          <w:bookmarkStart w:id="138"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8"/>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39"/>
    <w:bookmarkStart w:id="147" w:name="découpage-et-indexation-de-la-matrice"/>
    <w:p>
      <w:pPr>
        <w:pStyle w:val="Heading3"/>
      </w:pPr>
      <w:r>
        <w:t xml:space="preserve">2.2.3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0">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4" w:name="fig-naturenumpy2"/>
          <w:p>
            <w:pPr>
              <w:pStyle w:val="Compact"/>
              <w:jc w:val="center"/>
            </w:pPr>
            <w:r>
              <w:drawing>
                <wp:inline>
                  <wp:extent cx="5334000" cy="2440342"/>
                  <wp:effectExtent b="0" l="0" r="0" t="0"/>
                  <wp:docPr descr="" title="" id="142" name="Picture"/>
                  <a:graphic>
                    <a:graphicData uri="http://schemas.openxmlformats.org/drawingml/2006/picture">
                      <pic:pic>
                        <pic:nvPicPr>
                          <pic:cNvPr descr="https://raw.githubusercontent.com/sfoucher/TraitementImagesPythonVol1/refs/heads/main/images/41586_2020_2649_Fig1_HTML.png" id="143" name="Picture"/>
                          <pic:cNvPicPr>
                            <a:picLocks noChangeArrowheads="1" noChangeAspect="1"/>
                          </pic:cNvPicPr>
                        </pic:nvPicPr>
                        <pic:blipFill>
                          <a:blip r:embed="rId141"/>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4"/>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5" w:name="exemple-1-calcul-dun-rapport-de-bande"/>
    <w:p>
      <w:pPr>
        <w:pStyle w:val="Heading4"/>
      </w:pPr>
      <w:r>
        <w:t xml:space="preserve">2.2.3.1 Exemple 1: calcul d’un rapport de bande</w:t>
      </w:r>
    </w:p>
    <w:bookmarkEnd w:id="145"/>
    <w:bookmarkStart w:id="146" w:name="Xa95fb8caf71469fc049964e7ef94bab7297c7a6"/>
    <w:p>
      <w:pPr>
        <w:pStyle w:val="Heading4"/>
      </w:pPr>
      <w:r>
        <w:t xml:space="preserve">2.2.3.2 Exemple 2: application d’un filtrage spatial</w:t>
      </w:r>
    </w:p>
    <w:bookmarkEnd w:id="146"/>
    <w:bookmarkEnd w:id="147"/>
    <w:bookmarkStart w:id="149" w:name="mosaïquage-masquage-et-découpage"/>
    <w:p>
      <w:pPr>
        <w:pStyle w:val="Heading3"/>
      </w:pPr>
      <w:r>
        <w:t xml:space="preserve">2.2.4 Mosaïquage, masquage et découpage</w:t>
      </w:r>
    </w:p>
    <w:bookmarkStart w:id="148" w:name="masquage"/>
    <w:p>
      <w:pPr>
        <w:pStyle w:val="Heading4"/>
      </w:pPr>
      <w:r>
        <w:t xml:space="preserve">2.2.4.1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8"/>
    <w:bookmarkEnd w:id="149"/>
    <w:bookmarkStart w:id="150" w:name="changement-de-projection-cartographique"/>
    <w:p>
      <w:pPr>
        <w:pStyle w:val="Heading3"/>
      </w:pPr>
      <w:r>
        <w:t xml:space="preserve">2.2.5 Changement de projection cartographique</w:t>
      </w:r>
    </w:p>
    <w:bookmarkEnd w:id="150"/>
    <w:bookmarkStart w:id="151" w:name="recalage-dimages-et-co-registration"/>
    <w:p>
      <w:pPr>
        <w:pStyle w:val="Heading3"/>
      </w:pPr>
      <w:r>
        <w:t xml:space="preserve">2.2.6 Recalage d’images et co-registration</w:t>
      </w:r>
    </w:p>
    <w:bookmarkEnd w:id="151"/>
    <w:bookmarkEnd w:id="152"/>
    <w:bookmarkStart w:id="153" w:name="sec-013"/>
    <w:p>
      <w:pPr>
        <w:pStyle w:val="Heading2"/>
      </w:pPr>
      <w:r>
        <w:t xml:space="preserve">2.3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3"/>
    <w:bookmarkStart w:id="158" w:name="sec-012"/>
    <w:p>
      <w:pPr>
        <w:pStyle w:val="Heading2"/>
      </w:pPr>
      <w:r>
        <w:t xml:space="preserve">2.4 Importation de données vectorielles</w:t>
      </w:r>
    </w:p>
    <w:bookmarkStart w:id="154" w:name="sec-0121"/>
    <w:p>
      <w:pPr>
        <w:pStyle w:val="Heading3"/>
      </w:pPr>
      <w:r>
        <w:t xml:space="preserve">2.4.1 Importation d’un fichier</w:t>
      </w:r>
      <w:r>
        <w:t xml:space="preserve"> </w:t>
      </w:r>
      <w:r>
        <w:rPr>
          <w:i/>
          <w:iCs/>
        </w:rPr>
        <w:t xml:space="preserve">shapefile</w:t>
      </w:r>
    </w:p>
    <w:bookmarkEnd w:id="154"/>
    <w:bookmarkStart w:id="155" w:name="sec-0122"/>
    <w:p>
      <w:pPr>
        <w:pStyle w:val="Heading3"/>
      </w:pPr>
      <w:r>
        <w:t xml:space="preserve">2.4.2 Importation d’une couche dans un</w:t>
      </w:r>
      <w:r>
        <w:t xml:space="preserve"> </w:t>
      </w:r>
      <w:r>
        <w:rPr>
          <w:i/>
          <w:iCs/>
        </w:rPr>
        <w:t xml:space="preserve">GeoPackage</w:t>
      </w:r>
    </w:p>
    <w:bookmarkEnd w:id="155"/>
    <w:bookmarkStart w:id="156" w:name="sec-0123"/>
    <w:p>
      <w:pPr>
        <w:pStyle w:val="Heading3"/>
      </w:pPr>
      <w:r>
        <w:t xml:space="preserve">2.4.3 Importation d’une couche dans une</w:t>
      </w:r>
      <w:r>
        <w:t xml:space="preserve"> </w:t>
      </w:r>
      <w:r>
        <w:rPr>
          <w:i/>
          <w:iCs/>
        </w:rPr>
        <w:t xml:space="preserve">geodatabase</w:t>
      </w:r>
      <w:r>
        <w:t xml:space="preserve"> </w:t>
      </w:r>
      <w:r>
        <w:t xml:space="preserve">d’ESRI</w:t>
      </w:r>
    </w:p>
    <w:bookmarkEnd w:id="156"/>
    <w:bookmarkStart w:id="157" w:name="sec-0124"/>
    <w:p>
      <w:pPr>
        <w:pStyle w:val="Heading3"/>
      </w:pPr>
      <w:r>
        <w:t xml:space="preserve">2.4.4 Importation d’un fichier</w:t>
      </w:r>
      <w:r>
        <w:t xml:space="preserve"> </w:t>
      </w:r>
      <w:r>
        <w:rPr>
          <w:i/>
          <w:iCs/>
        </w:rPr>
        <w:t xml:space="preserve">shapefile</w:t>
      </w:r>
    </w:p>
    <w:bookmarkEnd w:id="157"/>
    <w:bookmarkEnd w:id="158"/>
    <w:bookmarkStart w:id="160" w:name="sec-014"/>
    <w:p>
      <w:pPr>
        <w:pStyle w:val="Heading2"/>
      </w:pPr>
      <w:r>
        <w:t xml:space="preserve">2.5 Manipulation de données vectorielles</w:t>
      </w:r>
    </w:p>
    <w:bookmarkStart w:id="159" w:name="requêtes-attributaires"/>
    <w:p>
      <w:pPr>
        <w:pStyle w:val="Heading3"/>
      </w:pPr>
      <w:r>
        <w:t xml:space="preserve">2.5.1 Requêtes attributaires</w:t>
      </w:r>
    </w:p>
    <w:bookmarkEnd w:id="159"/>
    <w:bookmarkEnd w:id="160"/>
    <w:bookmarkStart w:id="161" w:name="sec-015"/>
    <w:p>
      <w:pPr>
        <w:pStyle w:val="Heading2"/>
      </w:pPr>
      <w:r>
        <w:t xml:space="preserve">2.6 Quiz de révision du chapitre</w:t>
      </w:r>
    </w:p>
    <w:bookmarkEnd w:id="161"/>
    <w:bookmarkStart w:id="162" w:name="sec-016"/>
    <w:p>
      <w:pPr>
        <w:pStyle w:val="Heading2"/>
      </w:pPr>
      <w:r>
        <w:t xml:space="preserve">2.7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2"/>
    <w:bookmarkEnd w:id="163"/>
    <w:bookmarkStart w:id="186" w:name="sec-chap02"/>
    <w:p>
      <w:pPr>
        <w:pStyle w:val="Heading1"/>
      </w:pPr>
      <w:r>
        <w:t xml:space="preserve">3. Réhaussement et visualisation d’images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6">
        <w:r>
          <w:drawing>
            <wp:inline>
              <wp:extent cx="1114425" cy="190500"/>
              <wp:effectExtent b="0" l="0" r="0" t="0"/>
              <wp:docPr descr="" title="" id="164" name="Picture"/>
              <a:graphic>
                <a:graphicData uri="http://schemas.openxmlformats.org/drawingml/2006/picture">
                  <pic:pic>
                    <pic:nvPicPr>
                      <pic:cNvPr descr="https://colab.research.google.com/assets/colab-badge.svg" id="1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r>
        <w:t xml:space="preserve"> </w:t>
      </w:r>
      <w:r>
        <w:t xml:space="preserve">* NumPy</w:t>
      </w:r>
      <w:r>
        <w:t xml:space="preserve"> </w:t>
      </w:r>
      <w:r>
        <w:t xml:space="preserve">* OpenCV</w:t>
      </w:r>
      <w:r>
        <w:t xml:space="preserve"> </w:t>
      </w:r>
      <w:r>
        <w:t xml:space="preserve">* RasterIO</w:t>
      </w:r>
      <w:r>
        <w:t xml:space="preserve"> </w:t>
      </w:r>
      <w:r>
        <w:t xml:space="preserve">* Geemap</w:t>
      </w:r>
      <w:r>
        <w:t xml:space="preserve"> </w:t>
      </w:r>
      <w:r>
        <w:t xml:space="preserve">*</w:t>
      </w:r>
      <w:r>
        <w:t xml:space="preserve"> </w:t>
      </w:r>
      <w:hyperlink r:id="rId103">
        <w:r>
          <w:rPr>
            <w:rStyle w:val="Hyperlink"/>
          </w:rPr>
          <w:t xml:space="preserve">rioxarray</w:t>
        </w:r>
      </w:hyperlink>
      <w:r>
        <w:t xml:space="preserve"> </w:t>
      </w:r>
      <w:r>
        <w:t xml:space="preserve">* xarray</w:t>
      </w:r>
    </w:p>
    <w:p>
      <w:pPr>
        <w:pStyle w:val="BodyText"/>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Start w:id="167" w:name="images-utilisées"/>
    <w:p>
      <w:pPr>
        <w:pStyle w:val="Heading3"/>
      </w:pPr>
      <w:r>
        <w:t xml:space="preserve">3.0.1 Images utilisées</w:t>
      </w:r>
    </w:p>
    <w:p>
      <w:pPr>
        <w:pStyle w:val="FirstParagraph"/>
      </w:pPr>
      <w:r>
        <w:t xml:space="preserve">Nous allons utilisés ces deux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67"/>
    <w:bookmarkStart w:id="176" w:name="réhaussements-visuels"/>
    <w:p>
      <w:pPr>
        <w:pStyle w:val="Heading2"/>
      </w:pPr>
      <w:r>
        <w:t xml:space="preserve">3.1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2" w:name="statistiques-dune-image"/>
    <w:p>
      <w:pPr>
        <w:pStyle w:val="Heading3"/>
      </w:pPr>
      <w:r>
        <w:t xml:space="preserve">3.1.1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68"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68"/>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69">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1" w:name="calcul-de-lhistogramme"/>
    <w:p>
      <w:pPr>
        <w:pStyle w:val="Heading4"/>
      </w:pPr>
      <w:r>
        <w:t xml:space="preserve">3.1.1.1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0" w:name="visualisation-des-histogrammes"/>
    <w:p>
      <w:pPr>
        <w:pStyle w:val="Heading5"/>
      </w:pPr>
      <w:r>
        <w:t xml:space="preserve">3.1.1.1.1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0"/>
    <w:bookmarkEnd w:id="171"/>
    <w:bookmarkEnd w:id="172"/>
    <w:bookmarkStart w:id="173" w:name="réhaussements-linéaires"/>
    <w:p>
      <w:pPr>
        <w:pStyle w:val="Heading3"/>
      </w:pPr>
      <w:r>
        <w:t xml:space="preserve">3.1.2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3"/>
    <w:bookmarkStart w:id="174" w:name="réhaussements-non-linéaires"/>
    <w:p>
      <w:pPr>
        <w:pStyle w:val="Heading3"/>
      </w:pPr>
      <w:r>
        <w:t xml:space="preserve">3.1.3 Réhaussements non linéaires</w:t>
      </w:r>
    </w:p>
    <w:p>
      <w:pPr>
        <w:pStyle w:val="FirstParagraph"/>
      </w:pPr>
      <w:r>
        <w:t xml:space="preserve">Calcul d’histogrammes, étirement, égalisation, styling</w:t>
      </w:r>
    </w:p>
    <w:bookmarkEnd w:id="174"/>
    <w:bookmarkStart w:id="175" w:name="composés-couleurs"/>
    <w:p>
      <w:pPr>
        <w:pStyle w:val="Heading3"/>
      </w:pPr>
      <w:r>
        <w:t xml:space="preserve">3.1.4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75"/>
    <w:bookmarkEnd w:id="176"/>
    <w:bookmarkStart w:id="183" w:name="visualisation"/>
    <w:p>
      <w:pPr>
        <w:pStyle w:val="Heading2"/>
      </w:pPr>
      <w:r>
        <w:t xml:space="preserve">3.2 Visualisation</w:t>
      </w:r>
    </w:p>
    <w:bookmarkStart w:id="177" w:name="visualisation-en-python"/>
    <w:p>
      <w:pPr>
        <w:pStyle w:val="Heading3"/>
      </w:pPr>
      <w:r>
        <w:t xml:space="preserve">3.2.1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77"/>
    <w:bookmarkStart w:id="178" w:name="outils-de-visualisation"/>
    <w:p>
      <w:pPr>
        <w:pStyle w:val="Heading3"/>
      </w:pPr>
      <w:r>
        <w:t xml:space="preserve">3.2.2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78"/>
    <w:bookmarkStart w:id="181" w:name="visualisation-sur-le-web"/>
    <w:p>
      <w:pPr>
        <w:pStyle w:val="Heading3"/>
      </w:pPr>
      <w:r>
        <w:t xml:space="preserve">3.2.3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79">
        <w:r>
          <w:rPr>
            <w:rStyle w:val="Hyperlink"/>
          </w:rPr>
          <w:t xml:space="preserve">17. Geemap — Introduction to GIS Programming</w:t>
        </w:r>
      </w:hyperlink>
    </w:p>
    <w:p>
      <w:pPr>
        <w:pStyle w:val="BodyText"/>
      </w:pPr>
      <w:r>
        <w:t xml:space="preserve">🔖 __ — via</w:t>
      </w:r>
      <w:r>
        <w:t xml:space="preserve"> </w:t>
      </w:r>
      <w:hyperlink r:id="rId180">
        <w:r>
          <w:rPr>
            <w:rStyle w:val="Hyperlink"/>
          </w:rPr>
          <w:t xml:space="preserve">data/raster at main · opengeos/data</w:t>
        </w:r>
      </w:hyperlink>
    </w:p>
    <w:bookmarkEnd w:id="181"/>
    <w:bookmarkStart w:id="182" w:name="visualisation-3d"/>
    <w:p>
      <w:pPr>
        <w:pStyle w:val="Heading3"/>
      </w:pPr>
      <w:r>
        <w:t xml:space="preserve">3.2.4 Visualisation 3D</w:t>
      </w:r>
    </w:p>
    <w:p>
      <w:pPr>
        <w:pStyle w:val="FirstParagraph"/>
      </w:pPr>
      <w:r>
        <w:t xml:space="preserve">drapper une image satellite sur un DEM</w:t>
      </w:r>
    </w:p>
    <w:bookmarkEnd w:id="182"/>
    <w:bookmarkEnd w:id="183"/>
    <w:bookmarkStart w:id="184" w:name="quiz-de-révision-du-chapitre-1"/>
    <w:p>
      <w:pPr>
        <w:pStyle w:val="Heading2"/>
      </w:pPr>
      <w:r>
        <w:t xml:space="preserve">3.3 Quiz de révision du chapitre</w:t>
      </w:r>
    </w:p>
    <w:bookmarkEnd w:id="184"/>
    <w:bookmarkStart w:id="185" w:name="exercices-de-révision"/>
    <w:p>
      <w:pPr>
        <w:pStyle w:val="Heading2"/>
      </w:pPr>
      <w:r>
        <w:t xml:space="preserve">3.4 Exercices de révision</w:t>
      </w:r>
    </w:p>
    <w:bookmarkEnd w:id="185"/>
    <w:bookmarkEnd w:id="186"/>
    <w:bookmarkStart w:id="195" w:name="sec-chap03"/>
    <w:p>
      <w:pPr>
        <w:pStyle w:val="Heading1"/>
      </w:pPr>
      <w:r>
        <w:t xml:space="preserve">4. Transformations spectrales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89">
        <w:r>
          <w:drawing>
            <wp:inline>
              <wp:extent cx="1114425" cy="190500"/>
              <wp:effectExtent b="0" l="0" r="0" t="0"/>
              <wp:docPr descr="" title="" id="187" name="Picture"/>
              <a:graphic>
                <a:graphicData uri="http://schemas.openxmlformats.org/drawingml/2006/picture">
                  <pic:pic>
                    <pic:nvPicPr>
                      <pic:cNvPr descr="https://colab.research.google.com/assets/colab-badge.svg" id="18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r>
        <w:t xml:space="preserve"> </w:t>
      </w:r>
      <w:r>
        <w:t xml:space="preserve">* NumPy</w:t>
      </w:r>
      <w:r>
        <w:t xml:space="preserve"> </w:t>
      </w:r>
      <w:r>
        <w:t xml:space="preserve">* OpenCV</w:t>
      </w:r>
      <w:r>
        <w:t xml:space="preserve"> </w:t>
      </w:r>
      <w:r>
        <w:t xml:space="preserve">* RasterIO</w:t>
      </w:r>
      <w:r>
        <w:t xml:space="preserve"> </w:t>
      </w:r>
      <w:r>
        <w:t xml:space="preserve">*</w:t>
      </w:r>
      <w:r>
        <w:t xml:space="preserve"> </w:t>
      </w:r>
      <w:hyperlink r:id="rId103">
        <w:r>
          <w:rPr>
            <w:rStyle w:val="Hyperlink"/>
          </w:rPr>
          <w:t xml:space="preserve">rioxarray</w:t>
        </w:r>
      </w:hyperlink>
      <w:r>
        <w:t xml:space="preserve"> </w:t>
      </w:r>
      <w:r>
        <w:t xml:space="preserve">* xarray</w:t>
      </w:r>
    </w:p>
    <w:p>
      <w:pPr>
        <w:pStyle w:val="BodyText"/>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Start w:id="190" w:name="quest-ce-que-linformation-spectrale"/>
    <w:p>
      <w:pPr>
        <w:pStyle w:val="Heading2"/>
      </w:pPr>
      <w:r>
        <w:t xml:space="preserve">4.1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0"/>
    <w:bookmarkStart w:id="191" w:name="indices-spectraux"/>
    <w:p>
      <w:pPr>
        <w:pStyle w:val="Heading2"/>
      </w:pPr>
      <w:r>
        <w:t xml:space="preserve">4.2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1"/>
    <w:bookmarkStart w:id="193" w:name="réduction-de-dimension"/>
    <w:p>
      <w:pPr>
        <w:pStyle w:val="Heading2"/>
      </w:pPr>
      <w:r>
        <w:t xml:space="preserve">4.3 Réduction de dimension</w:t>
      </w:r>
    </w:p>
    <w:bookmarkStart w:id="192" w:name="analyses-en-composantes-principales"/>
    <w:p>
      <w:pPr>
        <w:pStyle w:val="Heading3"/>
      </w:pPr>
      <w:r>
        <w:t xml:space="preserve">4.3.1 Analyses en composantes principales</w:t>
      </w:r>
    </w:p>
    <w:bookmarkEnd w:id="192"/>
    <w:bookmarkEnd w:id="193"/>
    <w:bookmarkStart w:id="194" w:name="exercices-de-révision-1"/>
    <w:p>
      <w:pPr>
        <w:pStyle w:val="Heading2"/>
      </w:pPr>
      <w:r>
        <w:t xml:space="preserve">4.4 Exercices de révision</w:t>
      </w:r>
    </w:p>
    <w:bookmarkEnd w:id="194"/>
    <w:bookmarkEnd w:id="195"/>
    <w:bookmarkStart w:id="220" w:name="sec-chap04"/>
    <w:p>
      <w:pPr>
        <w:pStyle w:val="Heading1"/>
      </w:pPr>
      <w:r>
        <w:t xml:space="preserve">5. Transformations spatiales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198">
        <w:r>
          <w:drawing>
            <wp:inline>
              <wp:extent cx="1114425" cy="190500"/>
              <wp:effectExtent b="0" l="0" r="0" t="0"/>
              <wp:docPr descr="" title="" id="196" name="Picture"/>
              <a:graphic>
                <a:graphicData uri="http://schemas.openxmlformats.org/drawingml/2006/picture">
                  <pic:pic>
                    <pic:nvPicPr>
                      <pic:cNvPr descr="https://colab.research.google.com/assets/colab-badge.svg" id="19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p>
      <w:pPr>
        <w:pStyle w:val="BodyText"/>
      </w:pPr>
      <w:r>
        <w:t xml:space="preserve">Les librairies qui vont être explorées dans ce chapitre sont les suivantes:</w:t>
      </w:r>
      <w:r>
        <w:t xml:space="preserve"> </w:t>
      </w:r>
      <w:r>
        <w:t xml:space="preserve">* 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r>
        <w:t xml:space="preserve">Geemap</w:t>
      </w:r>
    </w:p>
    <w:p>
      <w:pPr>
        <w:numPr>
          <w:ilvl w:val="0"/>
          <w:numId w:val="1022"/>
        </w:numPr>
      </w:pPr>
      <w:hyperlink r:id="rId103">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rioxarray </w:t>
      </w:r>
      <w:r>
        <w:rPr>
          <w:rStyle w:val="StringTok"/>
        </w:rPr>
        <w:t xml:space="preserve">"geemap[workshop]"</w:t>
      </w:r>
    </w:p>
    <w:bookmarkStart w:id="199" w:name="images-utilisées-1"/>
    <w:p>
      <w:pPr>
        <w:pStyle w:val="Heading3"/>
      </w:pPr>
      <w:r>
        <w:t xml:space="preserve">5.0.1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p>
    <w:p>
      <w:pPr>
        <w:pStyle w:val="FirstParagraph"/>
      </w:pPr>
      <w:r>
        <w:t xml:space="preserve">Vérifiez que vous êtes capable de les lire :</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99"/>
    <w:bookmarkStart w:id="200" w:name="analyse-fréquentielle"/>
    <w:p>
      <w:pPr>
        <w:pStyle w:val="Heading2"/>
      </w:pPr>
      <w:r>
        <w:t xml:space="preserve">5.1 Analyse fréquentielle</w:t>
      </w:r>
    </w:p>
    <w:bookmarkEnd w:id="200"/>
    <w:bookmarkStart w:id="210" w:name="filtrage-dimage"/>
    <w:p>
      <w:pPr>
        <w:pStyle w:val="Heading2"/>
      </w:pPr>
      <w:r>
        <w:t xml:space="preserve">5.2 Filtrage d’image</w:t>
      </w:r>
    </w:p>
    <w:p>
      <w:pPr>
        <w:pStyle w:val="FirstParagraph"/>
      </w:pPr>
      <w:r>
        <w:t xml:space="preserve">Le filtrage d’image a plusieurs objectifs en télédétection:</w:t>
      </w:r>
    </w:p>
    <w:p>
      <w:pPr>
        <w:numPr>
          <w:ilvl w:val="0"/>
          <w:numId w:val="1023"/>
        </w:numPr>
      </w:pPr>
      <w:r>
        <w:t xml:space="preserve">La réduction du bruit afin d’améliorer la résolution radiométrique et améliorer la lisibilité de l’image.</w:t>
      </w:r>
    </w:p>
    <w:p>
      <w:pPr>
        <w:numPr>
          <w:ilvl w:val="0"/>
          <w:numId w:val="1023"/>
        </w:numPr>
      </w:pPr>
      <w:r>
        <w:t xml:space="preserve">Le réhaussement de l’image afin d’améliorer le contraste ou faire ressortir les contours.</w:t>
      </w:r>
    </w:p>
    <w:p>
      <w:pPr>
        <w:numPr>
          <w:ilvl w:val="0"/>
          <w:numId w:val="1023"/>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4"/>
        </w:numPr>
      </w:pPr>
      <w:r>
        <w:t xml:space="preserve">Le filtrage peut-être global ou local, c.à.d prendre en compte toute l’image pour filtrer (ex: filtrage par Fourier) ou seulement localement avec une fenêtre ou un voisinage local.</w:t>
      </w:r>
    </w:p>
    <w:p>
      <w:pPr>
        <w:numPr>
          <w:ilvl w:val="0"/>
          <w:numId w:val="1024"/>
        </w:numPr>
      </w:pPr>
      <w:r>
        <w:t xml:space="preserve">La fonction de filtrage peut-être linéaire ou non linéaire.</w:t>
      </w:r>
    </w:p>
    <w:p>
      <w:pPr>
        <w:numPr>
          <w:ilvl w:val="0"/>
          <w:numId w:val="1024"/>
        </w:numPr>
      </w:pPr>
      <w:r>
        <w:t xml:space="preserve">La fonction de filtrage peut être stationnaire ou adaptative</w:t>
      </w:r>
    </w:p>
    <w:p>
      <w:pPr>
        <w:numPr>
          <w:ilvl w:val="0"/>
          <w:numId w:val="1024"/>
        </w:numPr>
      </w:pPr>
      <w:r>
        <w:t xml:space="preserve">Le filtrage peut-être mono-échelle ou multi-échelles</w:t>
      </w:r>
    </w:p>
    <w:bookmarkStart w:id="208" w:name="filtrage-linéaire-stationnaire"/>
    <w:p>
      <w:pPr>
        <w:pStyle w:val="Heading3"/>
      </w:pPr>
      <w:r>
        <w:t xml:space="preserve">5.2.1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02" name="Picture"/>
                  <a:graphic>
                    <a:graphicData uri="http://schemas.openxmlformats.org/drawingml/2006/picture">
                      <pic:pic>
                        <pic:nvPicPr>
                          <pic:cNvPr descr="/opt/quarto/share/formats/docx/note.png" id="203" name="Picture"/>
                          <pic:cNvPicPr>
                            <a:picLocks noChangeArrowheads="1" noChangeAspect="1"/>
                          </pic:cNvPicPr>
                        </pic:nvPicPr>
                        <pic:blipFill>
                          <a:blip r:embed="rId20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04" name="Picture"/>
                  <a:graphic>
                    <a:graphicData uri="http://schemas.openxmlformats.org/drawingml/2006/picture">
                      <pic:pic>
                        <pic:nvPicPr>
                          <pic:cNvPr descr="/opt/quarto/share/formats/docx/note.png" id="205" name="Picture"/>
                          <pic:cNvPicPr>
                            <a:picLocks noChangeArrowheads="1" noChangeAspect="1"/>
                          </pic:cNvPicPr>
                        </pic:nvPicPr>
                        <pic:blipFill>
                          <a:blip r:embed="rId20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06" w:name="filtrage-par-convolution"/>
    <w:p>
      <w:pPr>
        <w:pStyle w:val="Heading4"/>
      </w:pPr>
      <w:r>
        <w:t xml:space="preserve">5.2.1.1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br/>
      </w: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06"/>
    <w:bookmarkStart w:id="207" w:name="filtrage-par-une-couche-convolutionnelle"/>
    <w:p>
      <w:pPr>
        <w:pStyle w:val="Heading4"/>
      </w:pPr>
      <w:r>
        <w:t xml:space="preserve">5.2.1.2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07"/>
    <w:bookmarkEnd w:id="208"/>
    <w:bookmarkStart w:id="209" w:name="filtrage-adaptatif"/>
    <w:p>
      <w:pPr>
        <w:pStyle w:val="Heading3"/>
      </w:pPr>
      <w:r>
        <w:t xml:space="preserve">5.2.2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09"/>
    <w:bookmarkEnd w:id="210"/>
    <w:bookmarkStart w:id="211" w:name="sec-043"/>
    <w:p>
      <w:pPr>
        <w:pStyle w:val="Heading2"/>
      </w:pPr>
      <w:r>
        <w:t xml:space="preserve">5.3 Segmentation</w:t>
      </w:r>
    </w:p>
    <w:bookmarkEnd w:id="211"/>
    <w:bookmarkStart w:id="212" w:name="sec-044"/>
    <w:p>
      <w:pPr>
        <w:pStyle w:val="Heading2"/>
      </w:pPr>
      <w:r>
        <w:t xml:space="preserve">5.4 Vectorisation et rasterisation</w:t>
      </w:r>
    </w:p>
    <w:bookmarkEnd w:id="212"/>
    <w:bookmarkStart w:id="217" w:name="sec-045"/>
    <w:p>
      <w:pPr>
        <w:pStyle w:val="Heading2"/>
      </w:pPr>
      <w:r>
        <w:t xml:space="preserve">5.5 Analyse de terrain</w:t>
      </w:r>
    </w:p>
    <w:bookmarkStart w:id="213" w:name="sec-0451"/>
    <w:p>
      <w:pPr>
        <w:pStyle w:val="Heading3"/>
      </w:pPr>
      <w:r>
        <w:t xml:space="preserve">5.5.1 Élévation</w:t>
      </w:r>
    </w:p>
    <w:bookmarkEnd w:id="213"/>
    <w:bookmarkStart w:id="214" w:name="sec-0452"/>
    <w:p>
      <w:pPr>
        <w:pStyle w:val="Heading3"/>
      </w:pPr>
      <w:r>
        <w:t xml:space="preserve">5.5.2 Pente</w:t>
      </w:r>
    </w:p>
    <w:bookmarkEnd w:id="214"/>
    <w:bookmarkStart w:id="215" w:name="sec-0453"/>
    <w:p>
      <w:pPr>
        <w:pStyle w:val="Heading3"/>
      </w:pPr>
      <w:r>
        <w:t xml:space="preserve">5.5.3 Ombrage</w:t>
      </w:r>
    </w:p>
    <w:bookmarkEnd w:id="215"/>
    <w:bookmarkStart w:id="216" w:name="sec-0454"/>
    <w:p>
      <w:pPr>
        <w:pStyle w:val="Heading3"/>
      </w:pPr>
      <w:r>
        <w:t xml:space="preserve">5.5.4 Visibilité</w:t>
      </w:r>
    </w:p>
    <w:bookmarkEnd w:id="216"/>
    <w:bookmarkEnd w:id="217"/>
    <w:bookmarkStart w:id="218" w:name="sec-046"/>
    <w:p>
      <w:pPr>
        <w:pStyle w:val="Heading2"/>
      </w:pPr>
      <w:r>
        <w:t xml:space="preserve">5.6 Quiz de révision du chapitre</w:t>
      </w:r>
    </w:p>
    <w:bookmarkEnd w:id="218"/>
    <w:bookmarkStart w:id="219" w:name="sec-047"/>
    <w:p>
      <w:pPr>
        <w:pStyle w:val="Heading2"/>
      </w:pPr>
      <w:r>
        <w:t xml:space="preserve">5.7 Exercices de révision</w:t>
      </w:r>
    </w:p>
    <w:bookmarkEnd w:id="219"/>
    <w:bookmarkEnd w:id="220"/>
    <w:bookmarkStart w:id="226" w:name="bibliographie"/>
    <w:p>
      <w:pPr>
        <w:pStyle w:val="Heading1"/>
      </w:pPr>
      <w:r>
        <w:t xml:space="preserve">Bibliographie</w:t>
      </w:r>
    </w:p>
    <w:bookmarkStart w:id="225" w:name="refs"/>
    <w:bookmarkStart w:id="222"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21">
        <w:r>
          <w:rPr>
            <w:rStyle w:val="Hyperlink"/>
          </w:rPr>
          <w:t xml:space="preserve">https://doi.org/10.1038/s41586-020-2649-2</w:t>
        </w:r>
      </w:hyperlink>
      <w:r>
        <w:t xml:space="preserve">.</w:t>
      </w:r>
    </w:p>
    <w:bookmarkEnd w:id="222"/>
    <w:bookmarkStart w:id="224" w:name="ref-OGCGeoTIFF"/>
    <w:p>
      <w:pPr>
        <w:pStyle w:val="Bibliography"/>
      </w:pPr>
      <w:r>
        <w:t xml:space="preserve">OGC. 2019.</w:t>
      </w:r>
      <w:r>
        <w:t xml:space="preserve"> </w:t>
      </w:r>
      <w:r>
        <w:t xml:space="preserve">« </w:t>
      </w:r>
      <w:r>
        <w:t xml:space="preserve">OGC GeoTIFF Standard</w:t>
      </w:r>
      <w:r>
        <w:t xml:space="preserve">. »</w:t>
      </w:r>
      <w:r>
        <w:t xml:space="preserve"> </w:t>
      </w:r>
      <w:hyperlink r:id="rId223">
        <w:r>
          <w:rPr>
            <w:rStyle w:val="Hyperlink"/>
          </w:rPr>
          <w:t xml:space="preserve">https://docs.ogc.org/is/19-008r4/19-008r4.html/</w:t>
        </w:r>
      </w:hyperlink>
      <w:r>
        <w:t xml:space="preserve">.</w:t>
      </w:r>
    </w:p>
    <w:bookmarkEnd w:id="224"/>
    <w:bookmarkEnd w:id="225"/>
    <w:bookmarkEnd w:id="2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01" Target="media/rId201.png" /><Relationship Type="http://schemas.openxmlformats.org/officeDocument/2006/relationships/image" Id="rId99" Target="media/rId99.svg" /><Relationship Type="http://schemas.openxmlformats.org/officeDocument/2006/relationships/image" Id="rId141" Target="media/rId141.png" /><Relationship Type="http://schemas.openxmlformats.org/officeDocument/2006/relationships/image" Id="rId131" Target="media/rId131.png" /><Relationship Type="http://schemas.openxmlformats.org/officeDocument/2006/relationships/image" Id="rId84" Target="media/rId84.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3" Target="http://cogeo.org/" TargetMode="External" /><Relationship Type="http://schemas.openxmlformats.org/officeDocument/2006/relationships/hyperlink" Id="rId73" Target="https://code.visualstudio.com/" TargetMode="External" /><Relationship Type="http://schemas.openxmlformats.org/officeDocument/2006/relationships/hyperlink" Id="rId82" Target="https://code.visualstudio.com/docs/setup/windows" TargetMode="External" /><Relationship Type="http://schemas.openxmlformats.org/officeDocument/2006/relationships/hyperlink" Id="rId79" Target="https://colab.google/" TargetMode="External" /><Relationship Type="http://schemas.openxmlformats.org/officeDocument/2006/relationships/hyperlink" Id="rId102" Target="https://colab.research.google.com/github/sfoucher/TraitementImagesPythonVol1/blob/main/notebooks/01-ImportationManipulationImages.ipynb" TargetMode="External" /><Relationship Type="http://schemas.openxmlformats.org/officeDocument/2006/relationships/hyperlink" Id="rId166" Target="https://colab.research.google.com/github/sfoucher/TraitementImagesPythonVol1/blob/main/notebooks/02-RehaussementVisualisationImages.ipynb" TargetMode="External" /><Relationship Type="http://schemas.openxmlformats.org/officeDocument/2006/relationships/hyperlink" Id="rId198" Target="https://colab.research.google.com/github/sfoucher/TraitementImagesPythonVol1/blob/main/notebooks/02-TransformationSpatiales.ipynb" TargetMode="External" /><Relationship Type="http://schemas.openxmlformats.org/officeDocument/2006/relationships/hyperlink" Id="rId189" Target="https://colab.research.google.com/github/sfoucher/TraitementImagesPythonVol1/blob/main/notebooks/03-TransformationSpectrales.ipynb" TargetMode="External" /><Relationship Type="http://schemas.openxmlformats.org/officeDocument/2006/relationships/hyperlink" Id="rId103" Target="https://corteva.github.io/rioxarray/stable/index.html" TargetMode="External" /><Relationship Type="http://schemas.openxmlformats.org/officeDocument/2006/relationships/hyperlink" Id="rId83" Target="https://docs.anaconda.com/miniconda/install/#quick-command-line-install" TargetMode="External" /><Relationship Type="http://schemas.openxmlformats.org/officeDocument/2006/relationships/hyperlink" Id="rId70" Target="https://docs.anaconda.com/miniconda/miniconda-install/" TargetMode="External" /><Relationship Type="http://schemas.openxmlformats.org/officeDocument/2006/relationships/hyperlink" Id="rId223" Target="https://docs.ogc.org/is/19-008r4/19-008r4.html/" TargetMode="External" /><Relationship Type="http://schemas.openxmlformats.org/officeDocument/2006/relationships/hyperlink" Id="rId111" Target="https://docs.opencv.org/4.10.0/index.html" TargetMode="External" /><Relationship Type="http://schemas.openxmlformats.org/officeDocument/2006/relationships/hyperlink" Id="rId140" Target="https://docs.python.org/fr/3/tutorial/introduction.html#lists" TargetMode="External" /><Relationship Type="http://schemas.openxmlformats.org/officeDocument/2006/relationships/hyperlink" Id="rId104" Target="https://docs.xarray.dev/en/stable/" TargetMode="External" /><Relationship Type="http://schemas.openxmlformats.org/officeDocument/2006/relationships/hyperlink" Id="rId221" Target="https://doi.org/10.1038/s41586-020-2649-2" TargetMode="External" /><Relationship Type="http://schemas.openxmlformats.org/officeDocument/2006/relationships/hyperlink" Id="rId66"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5" Target="https://gdal.org" TargetMode="External" /><Relationship Type="http://schemas.openxmlformats.org/officeDocument/2006/relationships/hyperlink" Id="rId107" Target="https://gdal.org/en/latest/drivers/raster/index.html" TargetMode="External" /><Relationship Type="http://schemas.openxmlformats.org/officeDocument/2006/relationships/hyperlink" Id="rId108" Target="https://gdal.org/en/latest/drivers/raster/jpeg.html#raster-jpeg" TargetMode="External" /><Relationship Type="http://schemas.openxmlformats.org/officeDocument/2006/relationships/hyperlink" Id="rId109" Target="https://gdal.org/en/latest/drivers/raster/png.html#raster-png" TargetMode="External" /><Relationship Type="http://schemas.openxmlformats.org/officeDocument/2006/relationships/hyperlink" Id="rId179"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0"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0" Target="https://he-arc.github.io/livre-python/pillow/index.html" TargetMode="External" /><Relationship Type="http://schemas.openxmlformats.org/officeDocument/2006/relationships/hyperlink" Id="rId75" Target="https://jupyter.org/" TargetMode="External" /><Relationship Type="http://schemas.openxmlformats.org/officeDocument/2006/relationships/hyperlink" Id="rId80" Target="https://jupyterlab.readthedocs.io/en/stable/getting_started/starting.html" TargetMode="External" /><Relationship Type="http://schemas.openxmlformats.org/officeDocument/2006/relationships/hyperlink" Id="rId81" Target="https://learn.microsoft.com/en-us/windows/wsl/install" TargetMode="External" /><Relationship Type="http://schemas.openxmlformats.org/officeDocument/2006/relationships/hyperlink" Id="rId106" Target="https://numpy.org/" TargetMode="External" /><Relationship Type="http://schemas.openxmlformats.org/officeDocument/2006/relationships/hyperlink" Id="rId136"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6" Target="https://rasterio.readthedocs.io/en/stable/" TargetMode="External" /><Relationship Type="http://schemas.openxmlformats.org/officeDocument/2006/relationships/hyperlink" Id="rId169" Target="https://rasterio.readthedocs.io/en/stable/api/rasterio.io.html#rasterio.io.BufferedDatasetWriter.stats" TargetMode="External" /><Relationship Type="http://schemas.openxmlformats.org/officeDocument/2006/relationships/hyperlink" Id="rId126" Target="https://rasterio.readthedocs.io/en/stable/cli.html#info" TargetMode="External" /><Relationship Type="http://schemas.openxmlformats.org/officeDocument/2006/relationships/hyperlink" Id="rId67" Target="https://wiki.python.org/moin/PythonDistributions" TargetMode="External" /><Relationship Type="http://schemas.openxmlformats.org/officeDocument/2006/relationships/hyperlink" Id="rId69" Target="https://www.anaconda.com/download" TargetMode="External" /><Relationship Type="http://schemas.openxmlformats.org/officeDocument/2006/relationships/hyperlink" Id="rId61" Target="https://www.ciqss.org/" TargetMode="External" /><Relationship Type="http://schemas.openxmlformats.org/officeDocument/2006/relationships/hyperlink" Id="rId120" Target="https://www.earthdata.nasa.gov/esdis/esco/standards-and-practices/geotiff" TargetMode="External" /><Relationship Type="http://schemas.openxmlformats.org/officeDocument/2006/relationships/hyperlink" Id="rId72" Target="https://www.jetbrains.com/pycharm/" TargetMode="External" /><Relationship Type="http://schemas.openxmlformats.org/officeDocument/2006/relationships/hyperlink" Id="rId68" Target="https://www.python.org/downloads/" TargetMode="External" /><Relationship Type="http://schemas.openxmlformats.org/officeDocument/2006/relationships/hyperlink" Id="rId74"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4"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60" Target="https://www.usherbrooke.ca/geomatique/etudes/programmes" TargetMode="External" /><Relationship Type="http://schemas.openxmlformats.org/officeDocument/2006/relationships/hyperlink" Id="rId59" Target="https://www.usherbrooke.ca/recherche/fr/specialistes/details/philippe.apparicio" TargetMode="External" /><Relationship Type="http://schemas.openxmlformats.org/officeDocument/2006/relationships/hyperlink" Id="rId63"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3" Target="http://cogeo.org/" TargetMode="External" /><Relationship Type="http://schemas.openxmlformats.org/officeDocument/2006/relationships/hyperlink" Id="rId73" Target="https://code.visualstudio.com/" TargetMode="External" /><Relationship Type="http://schemas.openxmlformats.org/officeDocument/2006/relationships/hyperlink" Id="rId82" Target="https://code.visualstudio.com/docs/setup/windows" TargetMode="External" /><Relationship Type="http://schemas.openxmlformats.org/officeDocument/2006/relationships/hyperlink" Id="rId79" Target="https://colab.google/" TargetMode="External" /><Relationship Type="http://schemas.openxmlformats.org/officeDocument/2006/relationships/hyperlink" Id="rId102" Target="https://colab.research.google.com/github/sfoucher/TraitementImagesPythonVol1/blob/main/notebooks/01-ImportationManipulationImages.ipynb" TargetMode="External" /><Relationship Type="http://schemas.openxmlformats.org/officeDocument/2006/relationships/hyperlink" Id="rId166" Target="https://colab.research.google.com/github/sfoucher/TraitementImagesPythonVol1/blob/main/notebooks/02-RehaussementVisualisationImages.ipynb" TargetMode="External" /><Relationship Type="http://schemas.openxmlformats.org/officeDocument/2006/relationships/hyperlink" Id="rId198" Target="https://colab.research.google.com/github/sfoucher/TraitementImagesPythonVol1/blob/main/notebooks/02-TransformationSpatiales.ipynb" TargetMode="External" /><Relationship Type="http://schemas.openxmlformats.org/officeDocument/2006/relationships/hyperlink" Id="rId189" Target="https://colab.research.google.com/github/sfoucher/TraitementImagesPythonVol1/blob/main/notebooks/03-TransformationSpectrales.ipynb" TargetMode="External" /><Relationship Type="http://schemas.openxmlformats.org/officeDocument/2006/relationships/hyperlink" Id="rId103" Target="https://corteva.github.io/rioxarray/stable/index.html" TargetMode="External" /><Relationship Type="http://schemas.openxmlformats.org/officeDocument/2006/relationships/hyperlink" Id="rId83" Target="https://docs.anaconda.com/miniconda/install/#quick-command-line-install" TargetMode="External" /><Relationship Type="http://schemas.openxmlformats.org/officeDocument/2006/relationships/hyperlink" Id="rId70" Target="https://docs.anaconda.com/miniconda/miniconda-install/" TargetMode="External" /><Relationship Type="http://schemas.openxmlformats.org/officeDocument/2006/relationships/hyperlink" Id="rId223" Target="https://docs.ogc.org/is/19-008r4/19-008r4.html/" TargetMode="External" /><Relationship Type="http://schemas.openxmlformats.org/officeDocument/2006/relationships/hyperlink" Id="rId111" Target="https://docs.opencv.org/4.10.0/index.html" TargetMode="External" /><Relationship Type="http://schemas.openxmlformats.org/officeDocument/2006/relationships/hyperlink" Id="rId140" Target="https://docs.python.org/fr/3/tutorial/introduction.html#lists" TargetMode="External" /><Relationship Type="http://schemas.openxmlformats.org/officeDocument/2006/relationships/hyperlink" Id="rId104" Target="https://docs.xarray.dev/en/stable/" TargetMode="External" /><Relationship Type="http://schemas.openxmlformats.org/officeDocument/2006/relationships/hyperlink" Id="rId221" Target="https://doi.org/10.1038/s41586-020-2649-2" TargetMode="External" /><Relationship Type="http://schemas.openxmlformats.org/officeDocument/2006/relationships/hyperlink" Id="rId66"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5" Target="https://gdal.org" TargetMode="External" /><Relationship Type="http://schemas.openxmlformats.org/officeDocument/2006/relationships/hyperlink" Id="rId107" Target="https://gdal.org/en/latest/drivers/raster/index.html" TargetMode="External" /><Relationship Type="http://schemas.openxmlformats.org/officeDocument/2006/relationships/hyperlink" Id="rId108" Target="https://gdal.org/en/latest/drivers/raster/jpeg.html#raster-jpeg" TargetMode="External" /><Relationship Type="http://schemas.openxmlformats.org/officeDocument/2006/relationships/hyperlink" Id="rId109" Target="https://gdal.org/en/latest/drivers/raster/png.html#raster-png" TargetMode="External" /><Relationship Type="http://schemas.openxmlformats.org/officeDocument/2006/relationships/hyperlink" Id="rId179"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0"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0" Target="https://he-arc.github.io/livre-python/pillow/index.html" TargetMode="External" /><Relationship Type="http://schemas.openxmlformats.org/officeDocument/2006/relationships/hyperlink" Id="rId75" Target="https://jupyter.org/" TargetMode="External" /><Relationship Type="http://schemas.openxmlformats.org/officeDocument/2006/relationships/hyperlink" Id="rId80" Target="https://jupyterlab.readthedocs.io/en/stable/getting_started/starting.html" TargetMode="External" /><Relationship Type="http://schemas.openxmlformats.org/officeDocument/2006/relationships/hyperlink" Id="rId81" Target="https://learn.microsoft.com/en-us/windows/wsl/install" TargetMode="External" /><Relationship Type="http://schemas.openxmlformats.org/officeDocument/2006/relationships/hyperlink" Id="rId106" Target="https://numpy.org/" TargetMode="External" /><Relationship Type="http://schemas.openxmlformats.org/officeDocument/2006/relationships/hyperlink" Id="rId136"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6" Target="https://rasterio.readthedocs.io/en/stable/" TargetMode="External" /><Relationship Type="http://schemas.openxmlformats.org/officeDocument/2006/relationships/hyperlink" Id="rId169" Target="https://rasterio.readthedocs.io/en/stable/api/rasterio.io.html#rasterio.io.BufferedDatasetWriter.stats" TargetMode="External" /><Relationship Type="http://schemas.openxmlformats.org/officeDocument/2006/relationships/hyperlink" Id="rId126" Target="https://rasterio.readthedocs.io/en/stable/cli.html#info" TargetMode="External" /><Relationship Type="http://schemas.openxmlformats.org/officeDocument/2006/relationships/hyperlink" Id="rId67" Target="https://wiki.python.org/moin/PythonDistributions" TargetMode="External" /><Relationship Type="http://schemas.openxmlformats.org/officeDocument/2006/relationships/hyperlink" Id="rId69" Target="https://www.anaconda.com/download" TargetMode="External" /><Relationship Type="http://schemas.openxmlformats.org/officeDocument/2006/relationships/hyperlink" Id="rId61" Target="https://www.ciqss.org/" TargetMode="External" /><Relationship Type="http://schemas.openxmlformats.org/officeDocument/2006/relationships/hyperlink" Id="rId120" Target="https://www.earthdata.nasa.gov/esdis/esco/standards-and-practices/geotiff" TargetMode="External" /><Relationship Type="http://schemas.openxmlformats.org/officeDocument/2006/relationships/hyperlink" Id="rId72" Target="https://www.jetbrains.com/pycharm/" TargetMode="External" /><Relationship Type="http://schemas.openxmlformats.org/officeDocument/2006/relationships/hyperlink" Id="rId68" Target="https://www.python.org/downloads/" TargetMode="External" /><Relationship Type="http://schemas.openxmlformats.org/officeDocument/2006/relationships/hyperlink" Id="rId74"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4"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60" Target="https://www.usherbrooke.ca/geomatique/etudes/programmes" TargetMode="External" /><Relationship Type="http://schemas.openxmlformats.org/officeDocument/2006/relationships/hyperlink" Id="rId59" Target="https://www.usherbrooke.ca/recherche/fr/specialistes/details/philippe.apparicio" TargetMode="External" /><Relationship Type="http://schemas.openxmlformats.org/officeDocument/2006/relationships/hyperlink" Id="rId63"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Philippe Apparicio; Yacine Bouroubi; Samuel Foucher; Mickaël Germain</dc:creator>
  <dc:language>fr</dc:language>
  <cp:keywords/>
  <dcterms:created xsi:type="dcterms:W3CDTF">2025-01-09T13:34:13Z</dcterms:created>
  <dcterms:modified xsi:type="dcterms:W3CDTF">2025-01-09T13:34:13Z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2025-01-09</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