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280"/>
        <w:jc w:val="center"/>
      </w:pPr>
      <w:r>
        <w:rPr>
          <w:rFonts w:ascii="黑体" w:hAnsi="黑体" w:eastAsia="黑体"/>
          <w:b/>
          <w:sz w:val="36"/>
        </w:rPr>
        <w:t>测试脚本运行配置说明</w:t>
      </w:r>
    </w:p>
    <w:p>
      <w:pPr>
        <w:spacing w:after="80" w:before="0" w:line="300" w:lineRule="auto"/>
      </w:pPr>
      <w:r>
        <w:rPr>
          <w:rFonts w:ascii="宋体" w:hAnsi="宋体" w:eastAsia="宋体"/>
          <w:b/>
          <w:sz w:val="21"/>
        </w:rPr>
        <w:t>班级：</w:t>
      </w:r>
      <w:r>
        <w:rPr>
          <w:rFonts w:ascii="宋体" w:hAnsi="宋体" w:eastAsia="宋体"/>
          <w:color w:val="0000FF"/>
          <w:sz w:val="21"/>
        </w:rPr>
        <w:t>待填写</w:t>
      </w:r>
    </w:p>
    <w:p>
      <w:pPr>
        <w:spacing w:after="80" w:before="0" w:line="300" w:lineRule="auto"/>
      </w:pPr>
      <w:r>
        <w:rPr>
          <w:rFonts w:ascii="宋体" w:hAnsi="宋体" w:eastAsia="宋体"/>
          <w:b/>
          <w:sz w:val="21"/>
        </w:rPr>
        <w:t>产品主题：</w:t>
      </w:r>
      <w:r>
        <w:rPr>
          <w:rFonts w:ascii="宋体" w:hAnsi="宋体" w:eastAsia="宋体"/>
          <w:sz w:val="21"/>
        </w:rPr>
        <w:t>Vimo Desktop 视频检索增强问答应用</w:t>
      </w:r>
    </w:p>
    <w:p>
      <w:pPr>
        <w:spacing w:after="80" w:before="0" w:line="300" w:lineRule="auto"/>
      </w:pPr>
      <w:r>
        <w:rPr>
          <w:rFonts w:ascii="宋体" w:hAnsi="宋体" w:eastAsia="宋体"/>
          <w:b/>
          <w:sz w:val="21"/>
        </w:rPr>
        <w:t>小组长：</w:t>
      </w:r>
      <w:r>
        <w:rPr>
          <w:rFonts w:ascii="宋体" w:hAnsi="宋体" w:eastAsia="宋体"/>
          <w:color w:val="0000FF"/>
          <w:sz w:val="21"/>
        </w:rPr>
        <w:t>待填写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本说明用于配置和运行 Vimo Desktop 四层自动化测试。统一入口依次执行 Renderer 页面层、Electron 通信层、Python API 层和 VideoRAG 算法层，并逐条输出测试层级、接口或函数、OK/NG 状态和缺陷说明。GUI 测试与功能测试在下文分别说明，但由同一入口统一调度。</w:t>
      </w:r>
    </w:p>
    <w:p>
      <w:pPr>
        <w:pStyle w:val="1"/>
        <w:keepNext/>
        <w:spacing w:before="160" w:after="80"/>
      </w:pPr>
      <w:r>
        <w:rPr>
          <w:rFonts w:ascii="黑体" w:hAnsi="黑体" w:eastAsia="黑体"/>
          <w:b/>
          <w:sz w:val="28"/>
        </w:rPr>
        <w:t>1 测试工具概述</w:t>
      </w:r>
    </w:p>
    <w:tbl>
      <w:tblPr>
        <w:tblStyle w:val="a4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4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124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17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获取方式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3.11.16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运行统一脚本及 Python 测试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Conda 环境 vimo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pytest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8.4.2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API 层和算法层单元测试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https://pytest.org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Node.js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24.21.0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运行 TypeScript 测试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https://nodejs.org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npm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11.19.0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安装前端与通信层依赖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随 Node.js 安装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Vitest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2.1.9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Renderer 层和通信层单元测试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https://vitest.dev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Testing Library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React 16.3.0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模拟用户点击、输入和页面断言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test_renderer 依赖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jsdom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26.1.0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在 Node.js 中模拟浏览器 DOM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test_renderer 依赖</w:t>
            </w:r>
          </w:p>
        </w:tc>
      </w:tr>
    </w:tbl>
    <w:p>
      <w:pPr>
        <w:spacing w:after="100" w:before="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TypeScript 测试统一使用 Vitest，Python 测试统一使用 pytest。Renderer 测试使用 jsdom 和 Testing Library，不需要安装 Playwright 或 Chromium。测试通过 mock 隔离 Electron、文件系统、HTTP 请求、模型服务和子进程，因此日常单元测试不需要真实 OpenAI 或 DashScope API Key。</w:t>
      </w:r>
    </w:p>
    <w:p>
      <w:pPr>
        <w:pStyle w:val="1"/>
        <w:keepNext/>
        <w:spacing w:before="160" w:after="80"/>
      </w:pPr>
      <w:r>
        <w:rPr>
          <w:rFonts w:ascii="黑体" w:hAnsi="黑体" w:eastAsia="黑体"/>
          <w:b/>
          <w:sz w:val="28"/>
        </w:rPr>
        <w:t>2 测试脚本说明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4"/>
        </w:rPr>
        <w:t>2.1 运行环境</w:t>
      </w:r>
    </w:p>
    <w:p>
      <w:pPr>
        <w:spacing w:before="0" w:after="60" w:line="300" w:lineRule="auto"/>
        <w:ind w:left="312" w:hanging="170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sz w:val="21"/>
        </w:rPr>
        <w:t>操作系统：Windows 10 或 Windows 11，使用 PowerShell 或命令提示符。</w:t>
      </w:r>
    </w:p>
    <w:p>
      <w:pPr>
        <w:spacing w:before="0" w:after="60" w:line="300" w:lineRule="auto"/>
        <w:ind w:left="312" w:hanging="170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sz w:val="21"/>
        </w:rPr>
        <w:t>工作目录：Vimo-desktop 项目根目录。所有命令均从该目录执行。</w:t>
      </w:r>
    </w:p>
    <w:p>
      <w:pPr>
        <w:spacing w:before="0" w:after="60" w:line="300" w:lineRule="auto"/>
        <w:ind w:left="312" w:hanging="170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sz w:val="21"/>
        </w:rPr>
        <w:t>Python 环境：建议激活 vimo Conda 环境；本次有效执行使用 Python 3.11.16。</w:t>
      </w:r>
    </w:p>
    <w:p>
      <w:pPr>
        <w:spacing w:before="0" w:after="60" w:line="300" w:lineRule="auto"/>
        <w:ind w:left="312" w:hanging="170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sz w:val="21"/>
        </w:rPr>
        <w:t>Node.js 环境：本次执行使用 Node.js 24.21.0 和 npm 11.19.0。</w:t>
      </w:r>
    </w:p>
    <w:p>
      <w:pPr>
        <w:spacing w:before="0" w:after="60" w:line="300" w:lineRule="auto"/>
        <w:ind w:left="312" w:hanging="170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sz w:val="21"/>
        </w:rPr>
        <w:t>账户与密码：单元测试不需要真实账户、密码或 API Key。测试中的配置和密钥均为 mock 数据。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4"/>
        </w:rPr>
        <w:t>2.2 首次安装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在 Vimo-desktop 根目录激活 vimo 环境后执行：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python -m pip install -r requirements-unified-tests.txt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npm.cmd install --prefix test_renderer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npm.cmd install --prefix test_communication</w:t>
            </w:r>
          </w:p>
        </w:tc>
      </w:tr>
    </w:tbl>
    <w:p>
      <w:pPr>
        <w:spacing w:after="100" w:before="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如果 python 指向 WindowsApps 占位程序或其他未安装 pytest 的解释器，应先激活 vimo 环境，或使用 VIMO_TEST_PYTHON 指定解释器。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$env:VIMO_TEST_PYTHON = "C:\Users\24032\.conda\envs\vimo\python.exe"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.\run_all_layer_tests.bat</w:t>
            </w:r>
          </w:p>
        </w:tc>
      </w:tr>
    </w:tbl>
    <w:p>
      <w:pPr>
        <w:spacing w:after="100" w:before="0" w:line="300" w:lineRule="auto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4"/>
        </w:rPr>
        <w:t>2.3 一键运行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推荐双击 run_all_layer_tests.bat。也可以在已经激活 vimo 环境的终端中执行：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python run_all_layer_tests.py</w:t>
            </w:r>
          </w:p>
        </w:tc>
      </w:tr>
    </w:tbl>
    <w:p>
      <w:pPr>
        <w:spacing w:after="100" w:before="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统一脚本在某一层失败后仍会继续执行后续层。最终按层汇总用例总数、OK、NG，并以退出码 0 表示全部通过，以非 0 表示存在失败项或测试环境问题。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4"/>
        </w:rPr>
        <w:t>2.4 分层脚本和测试目的</w:t>
      </w:r>
    </w:p>
    <w:tbl>
      <w:tblPr>
        <w:tblStyle w:val="a4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53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测试层级</w:t>
            </w:r>
          </w:p>
        </w:tc>
        <w:tc>
          <w:tcPr>
            <w:tcW w:type="dxa" w:w="209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脚本范围</w:t>
            </w:r>
          </w:p>
        </w:tc>
        <w:tc>
          <w:tcPr>
            <w:tcW w:type="dxa" w:w="10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框架</w:t>
            </w:r>
          </w:p>
        </w:tc>
        <w:tc>
          <w:tcPr>
            <w:tcW w:type="dxa" w:w="73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351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测试目的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Renderer 页面层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test_renderer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Vitest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验证初始化、视频选择、分析、问答和错误反馈等用户可见流程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前后端通信层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test_communication/filtered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Vitest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验证 preload API、IPC 映射、文件和配置通信、会话保存及后端错误转换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后端与算法通信层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test_videorag_api/tests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pytest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验证 Flask 接口、Worker 异常、进程生命周期、日志安全和状态持久化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VideoRAG 算法层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test_videorag_algorithm/filtered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pytest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验证查询默认值、JSON 提取、Token 边界、分块、持久化和并发恢复</w:t>
            </w:r>
          </w:p>
        </w:tc>
      </w:tr>
    </w:tbl>
    <w:p>
      <w:pPr>
        <w:spacing w:after="100" w:before="0" w:line="300" w:lineRule="auto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4"/>
        </w:rPr>
        <w:t>2.5 分层单独运行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test_renderer\node_modules\.bin\vitest.cmd run --config test_renderer\vitest.config.ts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test_communication\node_modules\.bin\vitest.cmd run --config test_communication\filtered\vitest.config.ts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python -m pytest -c test_videorag_api\pytest.ini test_videorag_api\tests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python -m pytest -c test_videorag_algorithm\filtered\pytest.ini test_videorag_algorithm\filtered</w:t>
            </w:r>
          </w:p>
        </w:tc>
      </w:tr>
    </w:tbl>
    <w:p>
      <w:pPr>
        <w:spacing w:after="100" w:before="0" w:line="300" w:lineRule="auto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4"/>
        </w:rPr>
        <w:t>2.6 结果判定</w:t>
      </w:r>
    </w:p>
    <w:p>
      <w:pPr>
        <w:spacing w:before="0" w:after="60" w:line="300" w:lineRule="auto"/>
        <w:ind w:left="312" w:hanging="170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sz w:val="21"/>
        </w:rPr>
        <w:t>OK：实际结果满足断言，终端显示未发现漏洞。</w:t>
      </w:r>
    </w:p>
    <w:p>
      <w:pPr>
        <w:spacing w:before="0" w:after="60" w:line="300" w:lineRule="auto"/>
        <w:ind w:left="312" w:hanging="170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sz w:val="21"/>
        </w:rPr>
        <w:t>NG：实际结果与预期不一致，终端显示对应模块和缺陷说明。</w:t>
      </w:r>
    </w:p>
    <w:p>
      <w:pPr>
        <w:spacing w:before="0" w:after="60" w:line="300" w:lineRule="auto"/>
        <w:ind w:left="312" w:hanging="170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sz w:val="21"/>
        </w:rPr>
        <w:t>环境问题：依赖缺失、Python 解释器错误或临时目录不可写。该结果应与业务缺陷分开记录。</w:t>
      </w:r>
    </w:p>
    <w:p>
      <w:pPr>
        <w:pStyle w:val="1"/>
        <w:keepNext/>
        <w:spacing w:before="160" w:after="80"/>
      </w:pPr>
      <w:r>
        <w:rPr>
          <w:rFonts w:ascii="黑体" w:hAnsi="黑体" w:eastAsia="黑体"/>
          <w:b/>
          <w:sz w:val="28"/>
        </w:rPr>
        <w:t>3 测试脚本运行效果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在依赖完整的 vimo 环境中执行当前代码，34 条用例中 32 条通过、2 条失败，通过率为 94.12%。各层结果如下。</w:t>
      </w:r>
    </w:p>
    <w:tbl>
      <w:tblPr>
        <w:tblStyle w:val="a4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测试层级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总数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OK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NG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通过率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Renderer 页面层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100.00%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前后端通信层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87.50%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后端与算法通信层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92.86%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VideoRAG 算法层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100.00%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34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94.12%</w:t>
            </w:r>
          </w:p>
        </w:tc>
      </w:tr>
    </w:tbl>
    <w:p>
      <w:pPr>
        <w:spacing w:after="100" w:before="0" w:line="300" w:lineRule="auto"/>
      </w:pPr>
    </w:p>
    <w:p>
      <w:pPr>
        <w:spacing w:before="0" w:after="100" w:line="300" w:lineRule="auto"/>
        <w:jc w:val="center"/>
      </w:pPr>
      <w:r>
        <w:rPr>
          <w:rFonts w:ascii="宋体" w:hAnsi="宋体" w:eastAsia="宋体"/>
          <w:sz w:val="21"/>
        </w:rPr>
        <w:drawing>
          <wp:inline xmlns:a="http://schemas.openxmlformats.org/drawingml/2006/main" xmlns:pic="http://schemas.openxmlformats.org/drawingml/2006/picture">
            <wp:extent cx="5580000" cy="208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四层测试结果摘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00" w:lineRule="auto"/>
        <w:jc w:val="center"/>
      </w:pPr>
      <w:r>
        <w:rPr>
          <w:rFonts w:ascii="宋体" w:hAnsi="宋体" w:eastAsia="宋体"/>
          <w:sz w:val="21"/>
        </w:rPr>
        <w:t>图1 四层统一测试结果摘要</w:t>
      </w:r>
    </w:p>
    <w:p>
      <w:pPr>
        <w:keepNext/>
        <w:spacing w:before="100" w:after="80"/>
      </w:pPr>
      <w:r>
        <w:rPr>
          <w:rFonts w:ascii="黑体" w:hAnsi="黑体" w:eastAsia="黑体"/>
          <w:b/>
          <w:sz w:val="24"/>
        </w:rPr>
        <w:t>3.1 当前未通过项</w:t>
      </w:r>
    </w:p>
    <w:tbl>
      <w:tblPr>
        <w:tblStyle w:val="a4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192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06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实际结果</w:t>
            </w:r>
          </w:p>
        </w:tc>
        <w:tc>
          <w:tcPr>
            <w:tcW w:type="dxa" w:w="272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TC-COM-003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select-video-files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Windows 路径返回完整路径作为 name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页面和会话标题可能显示本地完整路径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TC-API-004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POST /api/sessions/&lt;chat_id&gt;/query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非字符串 query 返回 HTTP 500，预期为 400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无效输入进入内部处理，错误分类不正确</w:t>
            </w:r>
          </w:p>
        </w:tc>
      </w:tr>
    </w:tbl>
    <w:p>
      <w:pPr>
        <w:spacing w:after="100" w:before="0" w:line="300" w:lineRule="auto"/>
      </w:pPr>
    </w:p>
    <w:p>
      <w:pPr>
        <w:keepNext/>
        <w:spacing w:before="100" w:after="80"/>
      </w:pPr>
      <w:r>
        <w:rPr>
          <w:rFonts w:ascii="黑体" w:hAnsi="黑体" w:eastAsia="黑体"/>
          <w:b/>
          <w:sz w:val="24"/>
        </w:rPr>
        <w:t>3.2 缺陷修复回归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已对 TC-COM-002、TC-API-009、TC-API-011 和 TC-ALG-007 实施修复。单独回归脚本 run_fixed_defect_tests.py 的结果为 4 条全部通过，Electron 生产构建同时通过。</w:t>
      </w:r>
    </w:p>
    <w:tbl>
      <w:tblPr>
        <w:tblStyle w:val="a4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4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623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修复内容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回归结果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TC-COM-002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补充 preload 通用 invoke，并设置 IPC 通道白名单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OK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TC-API-009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终止会话时同时清理索引和查询进程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OK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TC-API-011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日志递归脱敏 API Key、token、secret 和 password 字段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OK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TC-ALG-007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使用 try/finally 保证异常和取消后释放并发容量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sz w:val="18"/>
              </w:rPr>
              <w:t>OK</w:t>
            </w:r>
          </w:p>
        </w:tc>
      </w:tr>
    </w:tbl>
    <w:p>
      <w:pPr>
        <w:spacing w:after="100" w:before="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t>当前核心回归集能够快速验证四层主要业务链。真实模型调用、GPU 资源、超大视频、网络中断和长时间高并发不属于本次单元测试范围，应在集成测试、性能测试和端到端测试中补充。</w:t>
      </w:r>
    </w:p>
    <w:sectPr w:rsidR="00C937A1" w:rsidRPr="00C937A1">
      <w:headerReference w:type="default" r:id="rId6"/>
      <w:pgSz w:w="11906" w:h="16838"/>
      <w:pgMar w:top="1134" w:right="1304" w:bottom="113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9E2" w:rsidRDefault="006559E2" w:rsidP="00EE121B">
      <w:r>
        <w:separator/>
      </w:r>
    </w:p>
  </w:endnote>
  <w:endnote w:type="continuationSeparator" w:id="0">
    <w:p w:rsidR="006559E2" w:rsidRDefault="006559E2" w:rsidP="00EE1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9E2" w:rsidRDefault="006559E2" w:rsidP="00EE121B">
      <w:r>
        <w:separator/>
      </w:r>
    </w:p>
  </w:footnote>
  <w:footnote w:type="continuationSeparator" w:id="0">
    <w:p w:rsidR="006559E2" w:rsidRDefault="006559E2" w:rsidP="00EE1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21B" w:rsidRDefault="00EE121B">
    <w:pPr>
      <w:pStyle w:val="a5"/>
    </w:pPr>
    <w:r>
      <w:rPr>
        <w:rFonts w:hint="eastAsia"/>
      </w:rPr>
      <w:t>武剑洁</w:t>
    </w:r>
    <w:r>
      <w:ptab w:relativeTo="margin" w:alignment="center" w:leader="none"/>
    </w:r>
    <w:r>
      <w:rPr>
        <w:rFonts w:hint="eastAsia"/>
      </w:rPr>
      <w:t>软件测试与质量保证实践</w:t>
    </w:r>
    <w:r>
      <w:ptab w:relativeTo="margin" w:alignment="right" w:leader="none"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05"/>
    <w:rsid w:val="00015891"/>
    <w:rsid w:val="001D78FA"/>
    <w:rsid w:val="001E079D"/>
    <w:rsid w:val="00381660"/>
    <w:rsid w:val="003D0098"/>
    <w:rsid w:val="00451FD4"/>
    <w:rsid w:val="00512E68"/>
    <w:rsid w:val="0056765B"/>
    <w:rsid w:val="00573505"/>
    <w:rsid w:val="006559E2"/>
    <w:rsid w:val="006D252D"/>
    <w:rsid w:val="007A6203"/>
    <w:rsid w:val="008B3734"/>
    <w:rsid w:val="00B668F8"/>
    <w:rsid w:val="00B924D4"/>
    <w:rsid w:val="00C13E51"/>
    <w:rsid w:val="00C264DC"/>
    <w:rsid w:val="00C937A1"/>
    <w:rsid w:val="00EE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77402E"/>
  <w15:chartTrackingRefBased/>
  <w15:docId w15:val="{0C999740-F588-4559-B26A-5E7C4AA8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7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sid w:val="00451FD4"/>
    <w:rPr>
      <w:rFonts w:ascii="微软雅黑" w:eastAsia="微软雅黑" w:hAnsi="微软雅黑" w:cs="微软雅黑"/>
      <w:kern w:val="0"/>
      <w:sz w:val="24"/>
      <w:szCs w:val="24"/>
    </w:rPr>
  </w:style>
  <w:style w:type="table" w:styleId="a4">
    <w:name w:val="Table Grid"/>
    <w:basedOn w:val="a1"/>
    <w:uiPriority w:val="39"/>
    <w:rsid w:val="00451F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937A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EE12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E121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E12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E12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2019-10-11T06:00:00Z</dcterms:created>
  <dcterms:modified xsi:type="dcterms:W3CDTF">2021-09-28T00:29:00Z</dcterms:modified>
</cp:coreProperties>
</file>