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D9E75"/>
          <w:sz w:val="96"/>
        </w:rPr>
        <w:t>MECHA</w:t>
      </w:r>
    </w:p>
    <w:p>
      <w:pPr>
        <w:jc w:val="center"/>
      </w:pPr>
      <w:r>
        <w:rPr>
          <w:color w:val="2C2C2A"/>
          <w:sz w:val="36"/>
        </w:rPr>
        <w:t>Solution IA de Maintenance Prédictive</w:t>
      </w:r>
    </w:p>
    <w:p/>
    <w:p>
      <w:pPr>
        <w:jc w:val="center"/>
      </w:pPr>
      <w:r>
        <w:rPr>
          <w:color w:val="1D9E75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2C2A"/>
          <w:sz w:val="32"/>
        </w:rPr>
        <w:t>Documentation Technique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F1EFE8" w:val="clear"/>
          </w:tcPr>
          <w:p>
            <w:r>
              <w:rPr>
                <w:b/>
                <w:color w:val="1D9E75"/>
              </w:rPr>
              <w:t>Certification</w:t>
            </w:r>
          </w:p>
        </w:tc>
        <w:tc>
          <w:tcPr>
            <w:tcW w:type="dxa" w:w="4561"/>
          </w:tcPr>
          <w:p>
            <w:r>
              <w:t>Chef·fe de projet Expert en Intelligence Artificielle — Niveau 7 — RNCP 36582</w:t>
            </w:r>
          </w:p>
        </w:tc>
      </w:tr>
      <w:tr>
        <w:tc>
          <w:tcPr>
            <w:tcW w:type="dxa" w:w="4561"/>
            <w:shd w:fill="F1EFE8" w:val="clear"/>
          </w:tcPr>
          <w:p>
            <w:r>
              <w:rPr>
                <w:b/>
                <w:color w:val="1D9E75"/>
              </w:rPr>
              <w:t>Promotion</w:t>
            </w:r>
          </w:p>
        </w:tc>
        <w:tc>
          <w:tcPr>
            <w:tcW w:type="dxa" w:w="4561"/>
          </w:tcPr>
          <w:p>
            <w:r>
              <w:t>MSPR TPRE841 — EPSI 2025-2026</w:t>
            </w:r>
          </w:p>
        </w:tc>
      </w:tr>
      <w:tr>
        <w:tc>
          <w:tcPr>
            <w:tcW w:type="dxa" w:w="4561"/>
            <w:shd w:fill="F1EFE8" w:val="clear"/>
          </w:tcPr>
          <w:p>
            <w:r>
              <w:rPr>
                <w:b/>
                <w:color w:val="1D9E75"/>
              </w:rPr>
              <w:t>Date</w:t>
            </w:r>
          </w:p>
        </w:tc>
        <w:tc>
          <w:tcPr>
            <w:tcW w:type="dxa" w:w="4561"/>
          </w:tcPr>
          <w:p>
            <w:r>
              <w:t>17/06/2026</w:t>
            </w:r>
          </w:p>
        </w:tc>
      </w:tr>
      <w:tr>
        <w:tc>
          <w:tcPr>
            <w:tcW w:type="dxa" w:w="4561"/>
            <w:shd w:fill="F1EFE8" w:val="clear"/>
          </w:tcPr>
          <w:p>
            <w:r>
              <w:rPr>
                <w:b/>
                <w:color w:val="1D9E75"/>
              </w:rPr>
              <w:t>Équipe</w:t>
            </w:r>
          </w:p>
        </w:tc>
        <w:tc>
          <w:tcPr>
            <w:tcW w:type="dxa" w:w="4561"/>
          </w:tcPr>
          <w:p>
            <w:r>
              <w:t>Équipe MSPR TPRE841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9E75"/>
        </w:rPr>
        <w:t>1. Contexte et objectifs du projet</w:t>
      </w:r>
    </w:p>
    <w:p>
      <w:r>
        <w:rPr>
          <w:b w:val="0"/>
          <w:i w:val="0"/>
          <w:sz w:val="22"/>
        </w:rPr>
        <w:t>MECHA est une solution d'Intelligence Artificielle dédiée à la maintenance prédictive industrielle. Le projet répond à un besoin concret de 5 usines réparties en France (Lyon, Toulouse, Nantes) et en Espagne (Madrid, Barcelone), opérant un parc de 50 machines industrielles.</w:t>
      </w:r>
    </w:p>
    <w:p>
      <w:r>
        <w:rPr>
          <w:b/>
          <w:i w:val="0"/>
          <w:sz w:val="22"/>
        </w:rPr>
        <w:t>Problématique :</w:t>
      </w:r>
    </w:p>
    <w:p>
      <w:pPr>
        <w:pStyle w:val="ListBullet"/>
      </w:pPr>
      <w:r>
        <w:rPr>
          <w:sz w:val="22"/>
        </w:rPr>
        <w:t>Les pannes machine non anticipées entraînent des arrêts de production coûteux.</w:t>
      </w:r>
    </w:p>
    <w:p>
      <w:pPr>
        <w:pStyle w:val="ListBullet"/>
      </w:pPr>
      <w:r>
        <w:rPr>
          <w:sz w:val="22"/>
        </w:rPr>
        <w:t>La maintenance préventive calendaire génère des interventions inutiles.</w:t>
      </w:r>
    </w:p>
    <w:p>
      <w:pPr>
        <w:pStyle w:val="ListBullet"/>
      </w:pPr>
      <w:r>
        <w:rPr>
          <w:sz w:val="22"/>
        </w:rPr>
        <w:t>L'usure des outils est difficilement prévisible sans analyse de données.</w:t>
      </w:r>
    </w:p>
    <w:p>
      <w:r>
        <w:rPr>
          <w:b/>
          <w:i w:val="0"/>
          <w:sz w:val="22"/>
        </w:rPr>
        <w:t>Objectifs :</w:t>
      </w:r>
    </w:p>
    <w:p>
      <w:pPr>
        <w:pStyle w:val="ListBullet"/>
      </w:pPr>
      <w:r>
        <w:rPr>
          <w:sz w:val="22"/>
        </w:rPr>
        <w:t>Prédire les pannes avant qu'elles surviennent (classification binaire).</w:t>
      </w:r>
    </w:p>
    <w:p>
      <w:pPr>
        <w:pStyle w:val="ListBullet"/>
      </w:pPr>
      <w:r>
        <w:rPr>
          <w:sz w:val="22"/>
        </w:rPr>
        <w:t>Estimer la durée de vie restante des outils — RUL (Remaining Useful Life).</w:t>
      </w:r>
    </w:p>
    <w:p>
      <w:pPr>
        <w:pStyle w:val="ListBullet"/>
      </w:pPr>
      <w:r>
        <w:rPr>
          <w:sz w:val="22"/>
        </w:rPr>
        <w:t>Exposer ces prédictions via une API REST accessible depuis n'importe quel SI.</w:t>
      </w:r>
    </w:p>
    <w:p>
      <w:pPr>
        <w:pStyle w:val="ListBullet"/>
      </w:pPr>
      <w:r>
        <w:rPr>
          <w:sz w:val="22"/>
        </w:rPr>
        <w:t>Fournir un tableau de bord de supervision en temps réel pour les équipes de maintenance.</w:t>
      </w:r>
    </w:p>
    <w:p>
      <w:pPr>
        <w:pStyle w:val="Heading1"/>
      </w:pPr>
      <w:r>
        <w:rPr>
          <w:color w:val="1D9E75"/>
        </w:rPr>
        <w:t>2. Architecture technique</w:t>
      </w:r>
    </w:p>
    <w:p>
      <w:r>
        <w:rPr>
          <w:b w:val="0"/>
          <w:i w:val="0"/>
          <w:sz w:val="22"/>
        </w:rPr>
        <w:t>La solution repose sur une architecture en 3 couches découplées, conteneurisée via Docker et déployable en environnement cloud ou on-premise.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Technologies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Data &amp; ML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Python 3.11 · Pandas · scikit-learn · NumPy · Matplotlib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ETL, feature engineering, entraînement des modèles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API REST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Flask 3.0 · Gunicorn · pickle · JSON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Exposition des modèles via endpoints HTTP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HTML5 · CSS3 · JavaScript · Chart.js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Interface de supervision temps réel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DevOps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Docker · GitHub Actions · pytest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CI/CD, tests automatisés, conteneurisation</w:t>
            </w:r>
          </w:p>
        </w:tc>
      </w:tr>
    </w:tbl>
    <w:p/>
    <w:p>
      <w:r>
        <w:rPr>
          <w:b/>
          <w:i w:val="0"/>
          <w:sz w:val="22"/>
        </w:rPr>
        <w:t>Structure des fichiers :</w:t>
      </w:r>
    </w:p>
    <w:p>
      <w:r>
        <w:rPr>
          <w:rFonts w:ascii="Courier New" w:hAnsi="Courier New"/>
          <w:sz w:val="18"/>
        </w:rPr>
        <w:t>mecha_clean/</w:t>
        <w:br/>
        <w:t>├── src/</w:t>
        <w:br/>
        <w:t>│   ├── data_preparation.py        # ETL : chargement, nettoyage, feature engineering</w:t>
        <w:br/>
        <w:t>│   ├── model_training.py          # Entraînement 4 modèles ML (RF, XGB, LSTM)</w:t>
        <w:br/>
        <w:t>│   └── app.py                     # API REST Flask (routes /predict, /batch, /metrics)</w:t>
        <w:br/>
        <w:t>├── models/</w:t>
        <w:br/>
        <w:t>│   ├── mecha_classifier.pkl       # Random Forest Classifier (3.5 Mo)</w:t>
        <w:br/>
        <w:t>│   ├── mecha_xgb_classifier.pkl   # XGBoost Classifier</w:t>
        <w:br/>
        <w:t>│   ├── mecha_regressor.pkl        # Random Forest Regressor (48 Mo)</w:t>
        <w:br/>
        <w:t>│   ├── mecha_lstm_regressor.keras # LSTM Regressor (séquentiel)</w:t>
        <w:br/>
        <w:t>│   ├── mecha_lstm_scaler.pkl      # StandardScaler pour LSTM</w:t>
        <w:br/>
        <w:t>│   └── metrics.json              # Métriques 4 modèles</w:t>
        <w:br/>
        <w:t>├── templates/</w:t>
        <w:br/>
        <w:t>│   └── dashboard_mecha.html  # Dashboard interactif (50 machines, simulation)</w:t>
        <w:br/>
        <w:t>├── data/                     # Datasets CSV (AI4I2020 + Smart Manufacturing)</w:t>
        <w:br/>
        <w:t>├── docs/                     # Graphiques (ROC, confusion matrix, learning curves)</w:t>
        <w:br/>
        <w:t>├── tests/test_mecha.py       # Tests unitaires et d'intégration (pytest)</w:t>
        <w:br/>
        <w:t>├── Dockerfile                # Image Docker (Gunicorn)</w:t>
        <w:br/>
        <w:t>└── .github/workflows/ci.yml  # Pipeline CI/CD</w:t>
      </w:r>
    </w:p>
    <w:p>
      <w:pPr>
        <w:pStyle w:val="Heading1"/>
      </w:pPr>
      <w:r>
        <w:rPr>
          <w:color w:val="1D9E75"/>
        </w:rPr>
        <w:t>3. Pipeline de données (ETL)</w:t>
      </w:r>
    </w:p>
    <w:p>
      <w:pPr>
        <w:pStyle w:val="Heading2"/>
      </w:pPr>
      <w:r>
        <w:t>3.1 Sources de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AI4I 2020 Predictive Maintenance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10 000 lignes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Capteurs machine : températures, vitesse, couple, usure outil, pannes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Smart Manufacturing Dataset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Variable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Production, énergie, matériaux, qualité, rendement</w:t>
            </w:r>
          </w:p>
        </w:tc>
      </w:tr>
    </w:tbl>
    <w:p/>
    <w:p>
      <w:pPr>
        <w:pStyle w:val="Heading2"/>
      </w:pPr>
      <w:r>
        <w:t>3.2 Feature engineering</w:t>
      </w:r>
    </w:p>
    <w:p>
      <w:r>
        <w:rPr>
          <w:b w:val="0"/>
          <w:i w:val="0"/>
          <w:sz w:val="22"/>
        </w:rPr>
        <w:t>Les variables suivantes ont été construites à partir des données brutes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Formule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delta_temp_C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temp_process - temp_air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Gradient thermique — indicateur de charge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puissance_W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vitesse × couple × 2π / 60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Puissance mécanique réelle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ratio_couple_vitesse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couple / (vitesse + 1)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Indicateur de contrainte relative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RUL_min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(260 - usure_outil).clip(0) + bruit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Durée de vie restante estimée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type_piece_L/M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One-hot encoding du type pièce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Encodage catégoriel pour le modèle</w:t>
            </w:r>
          </w:p>
        </w:tc>
      </w:tr>
    </w:tbl>
    <w:p/>
    <w:p>
      <w:pPr>
        <w:pStyle w:val="Heading2"/>
      </w:pPr>
      <w:r>
        <w:t>3.3 Conformité RGPD</w:t>
      </w:r>
    </w:p>
    <w:p>
      <w:r>
        <w:rPr>
          <w:b w:val="0"/>
          <w:i w:val="0"/>
          <w:sz w:val="22"/>
        </w:rPr>
        <w:t>Le dataset ne contient aucune donnée personnelle au sens du RGPD (Règlement UE 2016/679). Les identifiants de machines (UDI, Machine ID) sont des codes industriels anonymes. La colonne "usine" est simulée aléatoirement avec seed fixe (seed=42), garantissant la reproductibilité sans exposer de données réelles d'entreprise.</w:t>
      </w:r>
    </w:p>
    <w:p>
      <w:r>
        <w:rPr>
          <w:b/>
          <w:i w:val="0"/>
          <w:sz w:val="22"/>
        </w:rPr>
        <w:t>Mesures DIC (Disponibilité — Intégrité — Confidentialité) appliquées :</w:t>
      </w:r>
    </w:p>
    <w:p>
      <w:pPr>
        <w:pStyle w:val="ListBullet"/>
      </w:pPr>
      <w:r>
        <w:rPr>
          <w:sz w:val="22"/>
        </w:rPr>
        <w:t>Disponibilité : API déployée via Docker avec health check automatique.</w:t>
      </w:r>
    </w:p>
    <w:p>
      <w:pPr>
        <w:pStyle w:val="ListBullet"/>
      </w:pPr>
      <w:r>
        <w:rPr>
          <w:sz w:val="22"/>
        </w:rPr>
        <w:t>Intégrité : données validées via tests pytest (nulls, shape, taux de panne).</w:t>
      </w:r>
    </w:p>
    <w:p>
      <w:pPr>
        <w:pStyle w:val="ListBullet"/>
      </w:pPr>
      <w:r>
        <w:rPr>
          <w:sz w:val="22"/>
        </w:rPr>
        <w:t>Confidentialité : authentification par clé API (X-API-Key header), headers sécurité HTTP.</w:t>
      </w:r>
    </w:p>
    <w:p>
      <w:r>
        <w:br w:type="page"/>
      </w:r>
    </w:p>
    <w:p>
      <w:pPr>
        <w:pStyle w:val="Heading1"/>
      </w:pPr>
      <w:r>
        <w:rPr>
          <w:color w:val="1D9E75"/>
        </w:rPr>
        <w:t>4. Modèles d'Intelligence Artificielle</w:t>
      </w:r>
    </w:p>
    <w:p>
      <w:pPr>
        <w:pStyle w:val="Heading2"/>
      </w:pPr>
      <w:r>
        <w:t>4.1 Modèle 1 — Classification : Random Forest vs XGBoost</w:t>
      </w:r>
    </w:p>
    <w:p>
      <w:r>
        <w:rPr>
          <w:b w:val="0"/>
          <w:i w:val="0"/>
          <w:sz w:val="22"/>
        </w:rPr>
        <w:t>Objectif : prédire si une machine va tomber en panne (variable binaire 0/1). Deux classifieurs ont été entraînés et comparés : Random Forest (avec class_weight="balanced") et XGBoost (avec scale_pos_weight ≈ 28.5 pour compenser le déséquilibre de classes 3.4%).</w:t>
      </w:r>
    </w:p>
    <w:p>
      <w:r>
        <w:rPr>
          <w:b/>
          <w:i w:val="0"/>
          <w:sz w:val="22"/>
        </w:rPr>
        <w:t>Comparaison des performances — Classification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Random Forest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XGBoost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Seuil cible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Accuracy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98.45%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98.75%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&gt; 95%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F1-Score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0.7770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0.8148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≥ 0.75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AUC-ROC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0.9718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0.9729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≥ 0.85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CV F1 (5-fold)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0.7743 ± 0.0363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0.8109 ± 0.0124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écart-type &lt; 0.05</w:t>
            </w:r>
          </w:p>
        </w:tc>
      </w:tr>
    </w:tbl>
    <w:p/>
    <w:p>
      <w:r>
        <w:rPr>
          <w:b w:val="0"/>
          <w:i/>
          <w:sz w:val="22"/>
        </w:rPr>
        <w:t>Les deux modèles atteignent les seuils cibles. XGBoost présente un F1-Score légèrement supérieur (0.815 vs 0.777) et une meilleure stabilité en CV (écart-type 0.0124 vs 0.0363). Random Forest reste le modèle de référence grâce à son interprétabilité native (feature importance). L'API expose les deux via le paramètre "model": "rf" ou "xgb".</w:t>
      </w:r>
    </w:p>
    <w:p>
      <w:pPr>
        <w:pStyle w:val="Heading2"/>
      </w:pPr>
      <w:r>
        <w:t>4.2 Modèle 2 — Régression RUL : Random Forest vs LSTM</w:t>
      </w:r>
    </w:p>
    <w:p>
      <w:r>
        <w:rPr>
          <w:b w:val="0"/>
          <w:i w:val="0"/>
          <w:sz w:val="22"/>
        </w:rPr>
        <w:t>Objectif : estimer en minutes la durée de vie restante d'un outil (RUL — Remaining Useful Life). Un Random Forest Regressor et un réseau LSTM ont été entraînés. Le LSTM utilise des séquences de longueur 20 construites par usine (tri par usure_outil_min comme proxy temporel).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Métrique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Random Forest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LSTM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Seuil cible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MAE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4.19 min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4.11 min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&lt; 10 min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RMSE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5.29 min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5.15 min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&lt; 15 min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20"/>
              </w:rPr>
              <w:t>R²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0.9935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0.9935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&gt; 0.80</w:t>
            </w:r>
          </w:p>
        </w:tc>
      </w:tr>
    </w:tbl>
    <w:p/>
    <w:p>
      <w:r>
        <w:rPr>
          <w:b w:val="0"/>
          <w:i/>
          <w:sz w:val="22"/>
        </w:rPr>
        <w:t>Les deux régresseurs atteignent des performances excellentes (R² ≈ 0.9935). Le LSTM présente une MAE légèrement inférieure (4.11 vs 4.19 min), confirmant sa capacité à capturer la dynamique de dégradation temporelle. L'API utilise le LSTM pour le RUL quand "model": "lstm" est passé dans la requête.</w:t>
      </w:r>
    </w:p>
    <w:p>
      <w:pPr>
        <w:pStyle w:val="Heading2"/>
      </w:pPr>
      <w:r>
        <w:t>4.3 Modes d'entraînement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Implémentation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Entraînement par lot (Batch)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RandomForestClassifier.fit(X, y)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Entraînement initial — données historiques complètes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Mini-batch (Online)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SGDClassifier.partial_fit() — 16 lots de 500 obs.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Simulation flux IoT temps réel — mise à jour incrémentale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Cross-validation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StratifiedKFold (k=5, shuffle=True)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Validation robuste — anti-overfitting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9E75"/>
        </w:rPr>
        <w:t>5. API REST de maintenance prédictive</w:t>
      </w:r>
    </w:p>
    <w:p>
      <w:r>
        <w:rPr>
          <w:b w:val="0"/>
          <w:i w:val="0"/>
          <w:sz w:val="22"/>
        </w:rPr>
        <w:t>L'API Flask expose les deux modèles ML via des endpoints HTTP JSON. Elle est déployable via Gunicorn (4 workers) dans un conteneur Docker.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80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b/>
                <w:sz w:val="20"/>
              </w:rPr>
              <w:t>/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Page d'accueil — liste des endpoints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JSON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b/>
                <w:sz w:val="20"/>
              </w:rPr>
              <w:t>/health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Vérification de disponibilité du service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status: ok</w:t>
            </w:r>
          </w:p>
        </w:tc>
      </w:tr>
      <w:tr>
        <w:tc>
          <w:tcPr>
            <w:tcW w:type="dxa" w:w="2280"/>
          </w:tcPr>
          <w:p>
            <w:r/>
            <w:r>
              <w:rPr>
                <w:b/>
                <w:sz w:val="20"/>
              </w:rPr>
              <w:t>/predict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Prédiction unitaire (1 machine)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Panne, RUL, date, alerte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b/>
                <w:sz w:val="20"/>
              </w:rPr>
              <w:t>/predict/batch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Prédiction en lot (N machines)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Liste de prédictions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b/>
                <w:sz w:val="20"/>
              </w:rPr>
              <w:t>/metrics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Métriques de performance des modèles</w:t>
            </w:r>
          </w:p>
        </w:tc>
        <w:tc>
          <w:tcPr>
            <w:tcW w:type="dxa" w:w="2280"/>
          </w:tcPr>
          <w:p>
            <w:r/>
            <w:r>
              <w:rPr>
                <w:sz w:val="20"/>
              </w:rPr>
              <w:t>accuracy, F1, AUC, MAE, R²</w:t>
            </w:r>
          </w:p>
        </w:tc>
      </w:tr>
    </w:tbl>
    <w:p/>
    <w:p>
      <w:pPr>
        <w:pStyle w:val="Heading2"/>
      </w:pPr>
      <w:r>
        <w:t>5.1 Exemple de réponse — /predict</w:t>
      </w:r>
    </w:p>
    <w:p>
      <w:r>
        <w:rPr>
          <w:rFonts w:ascii="Courier New" w:hAnsi="Courier New"/>
          <w:sz w:val="18"/>
        </w:rPr>
        <w:t>{</w:t>
        <w:br/>
        <w:t xml:space="preserve">  "machine_id": "M010",</w:t>
        <w:br/>
        <w:t xml:space="preserve">  "usine": "FR-Lyon",</w:t>
        <w:br/>
        <w:t xml:space="preserve">  "prediction": {</w:t>
        <w:br/>
        <w:t xml:space="preserve">    "panne_detectee": true,</w:t>
        <w:br/>
        <w:t xml:space="preserve">    "probabilite_panne": 0.8732,</w:t>
        <w:br/>
        <w:t xml:space="preserve">    "RUL_min": 18.5,</w:t>
        <w:br/>
        <w:t xml:space="preserve">    "date_panne_estimee": "22/07/2026 à 09:47",</w:t>
        <w:br/>
        <w:t xml:space="preserve">    "niveau_alerte": "CRITIQUE"</w:t>
        <w:br/>
        <w:t xml:space="preserve">  },</w:t>
        <w:br/>
        <w:t xml:space="preserve">  "recommandation": "Arrêt machine recommandé. Planifier intervention immédiate."</w:t>
        <w:br/>
        <w:t>}</w:t>
      </w:r>
    </w:p>
    <w:p>
      <w:pPr>
        <w:pStyle w:val="Heading2"/>
      </w:pPr>
      <w:r>
        <w:t>5.2 Logique d'alerte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 recommandée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CRITIQUE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Prob. ≥ 70% OU RUL &lt; 30 min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Arrêt machine — intervention immédiate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ATTENTION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Prob. ≥ 45% OU RUL &lt; 60 min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Surveillance renforcée — planifier maintenance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NORMAL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Autre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Fonctionnement nominal — révision calendrier préventif</w:t>
            </w:r>
          </w:p>
        </w:tc>
      </w:tr>
    </w:tbl>
    <w:p>
      <w:pPr>
        <w:pStyle w:val="Heading1"/>
      </w:pPr>
      <w:r>
        <w:rPr>
          <w:color w:val="1D9E75"/>
        </w:rPr>
        <w:t>6. Dashboard de supervision</w:t>
      </w:r>
    </w:p>
    <w:p>
      <w:r>
        <w:rPr>
          <w:b w:val="0"/>
          <w:i w:val="0"/>
          <w:sz w:val="22"/>
        </w:rPr>
        <w:t>Le tableau de bord interactif surveille 50 machines réparties dans 5 usines et se rafraîchit automatiquement toutes les 30 secondes.</w:t>
      </w:r>
    </w:p>
    <w:p>
      <w:pPr>
        <w:pStyle w:val="Heading2"/>
      </w:pPr>
      <w:r>
        <w:t>6.1 Fonctionnalités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Fonctionnalité</w:t>
            </w:r>
          </w:p>
        </w:tc>
        <w:tc>
          <w:tcPr>
            <w:tcW w:type="dxa" w:w="456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8 KPIs temps réel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Vue globale (Normal/Attention/Critique) + Maintenance préventive (taux dispo, RUL moyen, interventions &lt; 24h)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Parc machines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50 cartes machine avec barre de vie, badge d'état et date de panne estimée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Alertes actives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Panneau latéral trié par criticité avec countdown seconde par seconde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Graphes historiques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Évolution RUL et probabilité de panne avec seuils ATTENTION/CRITIQUE tracés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Simulation dégradation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Bouton "Simuler dégradation" — usure +3 à +7 min/tick (5s) pour démonstration live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Rapport de maintenance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Tableau catégorisé (Arrêt immédiat / Planifiable / Nominal) — export CSV et JSON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Filtres géographiques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Filtrage par pays (France/Espagne) et par ville (5 villes)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/>
                <w:sz w:val="20"/>
              </w:rPr>
              <w:t>Prédiction manuelle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Formulaire de simulation avec résultat coloré et date de panne estimée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9E75"/>
        </w:rPr>
        <w:t>7. Tests et validation</w:t>
      </w:r>
    </w:p>
    <w:p>
      <w:r>
        <w:rPr>
          <w:b w:val="0"/>
          <w:i w:val="0"/>
          <w:sz w:val="22"/>
        </w:rPr>
        <w:t>La suite de tests automatisés couvre 3 niveaux de validation, exécutée automatiquement via GitHub Actions à chaque push.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Classe de test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Critères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TestData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4 tests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Shape (10 000 lignes), 0 valeur manquante, taux panne 1-20%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TestModels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8 tests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Existence 5 fichiers modèles, AUC RF/XGB ≥ 0.85, R² RF/LSTM ≥ 0.80, sorties binaires, RUL ≥ 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20"/>
              </w:rPr>
              <w:t>TestAPI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9 tests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Health, predict RF, predict XGB, batch, metrics (4 clés), /plot 200/404, champs manquants</w:t>
            </w:r>
          </w:p>
        </w:tc>
      </w:tr>
    </w:tbl>
    <w:p/>
    <w:p>
      <w:r>
        <w:rPr>
          <w:b/>
          <w:i w:val="0"/>
          <w:color w:val="1D9E75"/>
          <w:sz w:val="22"/>
        </w:rPr>
        <w:t>21 tests au total — 100% de réussite (0 échec).</w:t>
      </w:r>
    </w:p>
    <w:p/>
    <w:p>
      <w:pPr>
        <w:pStyle w:val="Heading2"/>
      </w:pPr>
      <w:r>
        <w:t>7.1 Pipeline CI/CD — GitHub Actions</w:t>
      </w:r>
    </w:p>
    <w:p>
      <w:r>
        <w:rPr>
          <w:b w:val="0"/>
          <w:i w:val="0"/>
          <w:sz w:val="22"/>
        </w:rPr>
        <w:t>Séquence automatique déclenchée sur push vers main/develop :</w:t>
      </w:r>
    </w:p>
    <w:p>
      <w:pPr>
        <w:pStyle w:val="ListNumber"/>
      </w:pPr>
      <w:r>
        <w:rPr>
          <w:sz w:val="22"/>
        </w:rPr>
        <w:t>1. Checkout du code source</w:t>
      </w:r>
    </w:p>
    <w:p>
      <w:pPr>
        <w:pStyle w:val="ListNumber"/>
      </w:pPr>
      <w:r>
        <w:rPr>
          <w:sz w:val="22"/>
        </w:rPr>
        <w:t>2. Setup Python 3.11 (avec cache pip)</w:t>
      </w:r>
    </w:p>
    <w:p>
      <w:pPr>
        <w:pStyle w:val="ListNumber"/>
      </w:pPr>
      <w:r>
        <w:rPr>
          <w:sz w:val="22"/>
        </w:rPr>
        <w:t>3. Installation des dépendances (requirements.txt)</w:t>
      </w:r>
    </w:p>
    <w:p>
      <w:pPr>
        <w:pStyle w:val="ListNumber"/>
      </w:pPr>
      <w:r>
        <w:rPr>
          <w:sz w:val="22"/>
        </w:rPr>
        <w:t>4. Préparation des données (data_preparation.py)</w:t>
      </w:r>
    </w:p>
    <w:p>
      <w:pPr>
        <w:pStyle w:val="ListNumber"/>
      </w:pPr>
      <w:r>
        <w:rPr>
          <w:sz w:val="22"/>
        </w:rPr>
        <w:t>5. Entraînement des modèles (model_training.py)</w:t>
      </w:r>
    </w:p>
    <w:p>
      <w:pPr>
        <w:pStyle w:val="ListNumber"/>
      </w:pPr>
      <w:r>
        <w:rPr>
          <w:sz w:val="22"/>
        </w:rPr>
        <w:t>6. Exécution pytest (test_mecha.py -v)</w:t>
      </w:r>
    </w:p>
    <w:p>
      <w:pPr>
        <w:pStyle w:val="ListNumber"/>
      </w:pPr>
      <w:r>
        <w:rPr>
          <w:sz w:val="22"/>
        </w:rPr>
        <w:t>7. Upload des artefacts (graphiques, metrics.json)</w:t>
      </w:r>
    </w:p>
    <w:p>
      <w:pPr>
        <w:pStyle w:val="ListNumber"/>
      </w:pPr>
      <w:r>
        <w:rPr>
          <w:sz w:val="22"/>
        </w:rPr>
        <w:t>8. Build de l'image Docker</w:t>
      </w:r>
    </w:p>
    <w:p>
      <w:pPr>
        <w:pStyle w:val="ListNumber"/>
      </w:pPr>
      <w:r>
        <w:rPr>
          <w:sz w:val="22"/>
        </w:rPr>
        <w:t>9. Test health check de l'image</w:t>
      </w:r>
    </w:p>
    <w:p>
      <w:pPr>
        <w:pStyle w:val="Heading1"/>
      </w:pPr>
      <w:r>
        <w:rPr>
          <w:color w:val="1D9E75"/>
        </w:rPr>
        <w:t>8. Infrastructure et déploiement</w:t>
      </w:r>
    </w:p>
    <w:p>
      <w:pPr>
        <w:pStyle w:val="Heading2"/>
      </w:pPr>
      <w:r>
        <w:t>8.1 Conteneurisation Docker</w:t>
      </w:r>
    </w:p>
    <w:p>
      <w:r>
        <w:rPr>
          <w:rFonts w:ascii="Courier New" w:hAnsi="Courier New"/>
          <w:sz w:val="18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src/ ./src/</w:t>
        <w:br/>
        <w:t>COPY models/ ./models/</w:t>
        <w:br/>
        <w:t>EXPOSE 5000</w:t>
        <w:br/>
        <w:t>CMD ["gunicorn", "--bind", "0.0.0.0:5000", "--workers", "4", "src.app:app"]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456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Spécification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Image base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python:3.11-slim (image légère ~50MB)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Serveur WSGI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Gunicorn — 4 workers parallèles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Port exposé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5000 (configurable via variable d'environnement)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20"/>
              </w:rPr>
              <w:t>Health check</w:t>
            </w:r>
          </w:p>
        </w:tc>
        <w:tc>
          <w:tcPr>
            <w:tcW w:type="dxa" w:w="4561"/>
          </w:tcPr>
          <w:p>
            <w:r/>
            <w:r>
              <w:rPr>
                <w:sz w:val="20"/>
              </w:rPr>
              <w:t>GET /health → {"status": "ok"}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9E75"/>
        </w:rPr>
        <w:t>9. Mapping des compétences — Bloc 2 RNCP 36582</w:t>
      </w:r>
    </w:p>
    <w:p>
      <w:r>
        <w:rPr>
          <w:b w:val="0"/>
          <w:i w:val="0"/>
          <w:sz w:val="22"/>
        </w:rPr>
        <w:t>Correspondance entre les compétences évaluées et les éléments concrets du projet MECHA.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Compétence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Réalisation dans MECHA</w:t>
            </w:r>
          </w:p>
        </w:tc>
        <w:tc>
          <w:tcPr>
            <w:tcW w:type="dxa" w:w="3041"/>
            <w:shd w:fill="2C2C2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Fichier / Preuve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Analyser le corpus de données</w:t>
              <w:br/>
              <w:t>(choix ETL, RGPD, DIC)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Fusion AI4I2020 + Smart Manufacturing</w:t>
              <w:br/>
              <w:t>Conformité RGPD vérifiée</w:t>
              <w:br/>
              <w:t>DIC documenté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src/data_preparation.py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Structurer les données</w:t>
              <w:br/>
              <w:t>(feature engineering, sous-groupes)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delta_temp, puissance_W, ratio_couple</w:t>
              <w:br/>
              <w:t>Encodage type_piece, RUL_min</w:t>
              <w:br/>
              <w:t>10 features sélectionnées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src/data_preparation.py</w:t>
              <w:br/>
              <w:t>data/mecha_ml_dataset.csv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Modéliser l'architecture de données</w:t>
              <w:br/>
              <w:t>(flux, framework)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Pipeline ETL → ML → API → Dashboard</w:t>
              <w:br/>
              <w:t>Docker pour l'environnement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Dockerfile</w:t>
              <w:br/>
              <w:t>.github/workflows/ci.yml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Évaluer les modèles</w:t>
              <w:br/>
              <w:t>(adéquation, comparaison)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RF vs Logistic Regression</w:t>
              <w:br/>
              <w:t>RF Regressor vs Linéaire</w:t>
              <w:br/>
              <w:t>AUC, F1, MAE, R²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src/model_training.py</w:t>
              <w:br/>
              <w:t>models/metrics.json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Concevoir / adapter un modèle</w:t>
              <w:br/>
              <w:t>(hyperparamètres, stats)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GridSearchCV (12 combinaisons, 3-fold)</w:t>
              <w:br/>
              <w:t>class_weight balanced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src/model_training.py L.62-75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Analyser les performances</w:t>
              <w:br/>
              <w:t>(courbe ROC, learning curve)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ROC 4 modèles (RF AUC=0.9718, XGB AUC=0.9729)</w:t>
              <w:br/>
              <w:t>Courbes d'apprentissage (train vs val)</w:t>
              <w:br/>
              <w:t>Matrice de confusion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docs/roc_curve_4models.png</w:t>
              <w:br/>
              <w:t>docs/roc_curve.png</w:t>
              <w:br/>
              <w:t>docs/learning_curve.png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Définir la procédure d'entraînement</w:t>
              <w:br/>
              <w:t>(batch, mini-batch, online)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Batch : RF + XGB .fit()</w:t>
              <w:br/>
              <w:t>LSTM : séquences glissantes (seq_len=20)</w:t>
              <w:br/>
              <w:t>CV : StratifiedKFold k=5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src/model_training.py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Phase de test et validation</w:t>
              <w:br/>
              <w:t>(cross-val, indicateurs, ajustement)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pytest (21 tests, 3 classes)</w:t>
              <w:br/>
              <w:t>RF CV F1=0.7743 ± 0.0363</w:t>
              <w:br/>
              <w:t>XGB CV F1=0.8109 ± 0.0124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tests/test_mecha.py</w:t>
            </w:r>
          </w:p>
        </w:tc>
      </w:tr>
      <w:tr>
        <w:tc>
          <w:tcPr>
            <w:tcW w:type="dxa" w:w="3041"/>
          </w:tcPr>
          <w:p>
            <w:r/>
            <w:r>
              <w:rPr>
                <w:b/>
                <w:sz w:val="20"/>
              </w:rPr>
              <w:t>Maquetter l'infrastructure</w:t>
              <w:br/>
              <w:t>(prototype, paramétrage)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API Flask + Docker + CI/CD</w:t>
              <w:br/>
              <w:t>Dashboard 50 machines</w:t>
              <w:br/>
              <w:t>Simulation dégradation live</w:t>
            </w:r>
          </w:p>
        </w:tc>
        <w:tc>
          <w:tcPr>
            <w:tcW w:type="dxa" w:w="3041"/>
          </w:tcPr>
          <w:p>
            <w:r/>
            <w:r>
              <w:rPr>
                <w:sz w:val="20"/>
              </w:rPr>
              <w:t>app.py · Dockerfile</w:t>
              <w:br/>
              <w:t>templates/dashboard_mecha.html</w:t>
            </w:r>
          </w:p>
        </w:tc>
      </w:tr>
    </w:tbl>
    <w:p>
      <w:pPr>
        <w:pStyle w:val="Heading1"/>
      </w:pPr>
      <w:r>
        <w:rPr>
          <w:color w:val="1D9E75"/>
        </w:rPr>
        <w:t>10. Conclusion et perspectives</w:t>
      </w:r>
    </w:p>
    <w:p>
      <w:r>
        <w:rPr>
          <w:b w:val="0"/>
          <w:i w:val="0"/>
          <w:sz w:val="22"/>
        </w:rPr>
        <w:t>MECHA délivre une solution IA complète et opérationnelle de maintenance prédictive industrielle. Le projet couvre l'intégralité du cycle de vie d'un système IA : collecte et préparation des données, entraînement et optimisation des modèles, exposition via API REST, supervision via dashboard et déploiement conteneurisé avec CI/CD.</w:t>
      </w:r>
    </w:p>
    <w:p>
      <w:r>
        <w:rPr>
          <w:b/>
          <w:i w:val="0"/>
          <w:sz w:val="22"/>
        </w:rPr>
        <w:t>Résultats clés :</w:t>
      </w:r>
    </w:p>
    <w:p>
      <w:pPr>
        <w:pStyle w:val="ListBullet"/>
      </w:pPr>
      <w:r>
        <w:rPr>
          <w:sz w:val="22"/>
        </w:rPr>
        <w:t>RF Classifier    : AUC=0.9718 — F1=0.7770 — Accuracy=98.45%</w:t>
      </w:r>
    </w:p>
    <w:p>
      <w:pPr>
        <w:pStyle w:val="ListBullet"/>
      </w:pPr>
      <w:r>
        <w:rPr>
          <w:sz w:val="22"/>
        </w:rPr>
        <w:t>XGBoost Classif. : AUC=0.9729 — F1=0.8148 — Accuracy=98.75%</w:t>
      </w:r>
    </w:p>
    <w:p>
      <w:pPr>
        <w:pStyle w:val="ListBullet"/>
      </w:pPr>
      <w:r>
        <w:rPr>
          <w:sz w:val="22"/>
        </w:rPr>
        <w:t>RF Regressor RUL : MAE=4.19 min — R²=0.9935</w:t>
      </w:r>
    </w:p>
    <w:p>
      <w:pPr>
        <w:pStyle w:val="ListBullet"/>
      </w:pPr>
      <w:r>
        <w:rPr>
          <w:sz w:val="22"/>
        </w:rPr>
        <w:t>LSTM Regressor   : MAE=4.11 min — R²=0.9935 (séq. len=20)</w:t>
      </w:r>
    </w:p>
    <w:p>
      <w:pPr>
        <w:pStyle w:val="ListBullet"/>
      </w:pPr>
      <w:r>
        <w:rPr>
          <w:sz w:val="22"/>
        </w:rPr>
        <w:t>API REST opérationnelle : 6 routes (/predict RF/XGB/LSTM, /predict/batch, /metrics, /plot)</w:t>
      </w:r>
    </w:p>
    <w:p>
      <w:pPr>
        <w:pStyle w:val="ListBullet"/>
      </w:pPr>
      <w:r>
        <w:rPr>
          <w:sz w:val="22"/>
        </w:rPr>
        <w:t>Dashboard temps réel — 50 machines, 8 KPIs, sélecteur modèle, graphiques ML intégrés</w:t>
      </w:r>
    </w:p>
    <w:p>
      <w:pPr>
        <w:pStyle w:val="ListBullet"/>
      </w:pPr>
      <w:r>
        <w:rPr>
          <w:sz w:val="22"/>
        </w:rPr>
        <w:t>21 tests pytest — 100% réussite — Pipeline CI/CD GitHub Actions + Docker</w:t>
      </w:r>
    </w:p>
    <w:p/>
    <w:p>
      <w:r>
        <w:rPr>
          <w:b/>
          <w:i w:val="0"/>
          <w:sz w:val="22"/>
        </w:rPr>
        <w:t>Perspectives d'amélioration :</w:t>
      </w:r>
    </w:p>
    <w:p>
      <w:pPr>
        <w:pStyle w:val="ListBullet"/>
      </w:pPr>
      <w:r>
        <w:rPr>
          <w:sz w:val="22"/>
        </w:rPr>
        <w:t>Intégration de données capteurs IoT réelles (flux MQTT/Kafka) pour remplacer le dataset simulé.</w:t>
      </w:r>
    </w:p>
    <w:p>
      <w:pPr>
        <w:pStyle w:val="ListBullet"/>
      </w:pPr>
      <w:r>
        <w:rPr>
          <w:sz w:val="22"/>
        </w:rPr>
        <w:t>Ajout de l'explicabilité IA via SHAP values (endpoint /explain).</w:t>
      </w:r>
    </w:p>
    <w:p>
      <w:pPr>
        <w:pStyle w:val="ListBullet"/>
      </w:pPr>
      <w:r>
        <w:rPr>
          <w:sz w:val="22"/>
        </w:rPr>
        <w:t>Authentification JWT et rate limiting pour sécuriser l'API en production.</w:t>
      </w:r>
    </w:p>
    <w:p>
      <w:pPr>
        <w:pStyle w:val="ListBullet"/>
      </w:pPr>
      <w:r>
        <w:rPr>
          <w:sz w:val="22"/>
        </w:rPr>
        <w:t>Déploiement cloud (Azure/AWS) avec auto-scaling selon la charge.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780"/>
        <w:sz w:val="18"/>
      </w:rPr>
      <w:t>MECHA — Documentation Technique — MSPR TPRE841 — 17/06/2026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