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0057" w14:textId="77777777" w:rsidR="009F4C17" w:rsidRPr="009F4C17" w:rsidRDefault="009F4C17" w:rsidP="009F4C17">
      <w:pPr>
        <w:rPr>
          <w:b/>
          <w:bCs/>
        </w:rPr>
      </w:pPr>
      <w:r w:rsidRPr="009F4C17">
        <w:rPr>
          <w:b/>
          <w:bCs/>
        </w:rPr>
        <w:t>Análise Comparativa das Finanças do Setor Público e Dinâmica Econômica: Um Estudo entre Entes Subnacionais (Ribeirão Preto e Sorocaba) e um Estado Soberano (Quênia)</w:t>
      </w:r>
    </w:p>
    <w:p w14:paraId="4657ED1C" w14:textId="77777777" w:rsidR="009F4C17" w:rsidRPr="009F4C17" w:rsidRDefault="009F4C17" w:rsidP="009F4C17">
      <w:r w:rsidRPr="009F4C17">
        <w:rPr>
          <w:b/>
          <w:bCs/>
        </w:rPr>
        <w:t>Resumo:</w:t>
      </w:r>
      <w:r w:rsidRPr="009F4C17">
        <w:t xml:space="preserve"> O presente ensaio acadêmico propõe uma análise comparativa transversal das estruturas econômico-financeiras de dois importantes polos regionais do estado de São Paulo — Ribeirão Preto e Sorocaba — em contraposição ao perfil macroeconômico do Quênia, um Estado soberano em desenvolvimento. Valendo-se de dados oficiais sobre o Produto Interno Bruto (PIB), receitas, despesas e organização fiscal, o estudo problematiza os desafios metodológicos de equiparar escalas demográficas, monetárias e institucionais distintas. Argumenta-se que, apesar das assimetrias inerentes aos diferentes níveis de governo, a relativização dos indicadores em termos per capita e a compreensão das competências tributárias evidenciam a eficiência da aglomeração econômica nos municípios brasileiros face à complexidade e aos ônus estruturais da administração de um Estado nacional.</w:t>
      </w:r>
    </w:p>
    <w:p w14:paraId="36302D67" w14:textId="77777777" w:rsidR="009F4C17" w:rsidRPr="009F4C17" w:rsidRDefault="009F4C17" w:rsidP="009F4C17">
      <w:r w:rsidRPr="009F4C17">
        <w:br/>
      </w:r>
    </w:p>
    <w:p w14:paraId="714AA746" w14:textId="77777777" w:rsidR="009F4C17" w:rsidRPr="009F4C17" w:rsidRDefault="009F4C17" w:rsidP="009F4C17">
      <w:pPr>
        <w:rPr>
          <w:b/>
          <w:bCs/>
        </w:rPr>
      </w:pPr>
      <w:r w:rsidRPr="009F4C17">
        <w:rPr>
          <w:b/>
          <w:bCs/>
        </w:rPr>
        <w:t>1. Introdução e Parâmetros Metodológicos</w:t>
      </w:r>
    </w:p>
    <w:p w14:paraId="18E46372" w14:textId="76595863" w:rsidR="009F4C17" w:rsidRPr="009F4C17" w:rsidRDefault="009F4C17" w:rsidP="009F4C17">
      <w:r w:rsidRPr="009F4C17">
        <w:t xml:space="preserve">A avaliação de políticas públicas e a análise das finanças do setor governamental exigem rigor metodológico, especialmente quando se propõe o contraste entre esferas administrativas de naturezas jurídicas e escalas territoriais distintas. </w:t>
      </w:r>
    </w:p>
    <w:p w14:paraId="0CC7D459" w14:textId="77777777" w:rsidR="009F4C17" w:rsidRPr="009F4C17" w:rsidRDefault="009F4C17" w:rsidP="009F4C17">
      <w:r w:rsidRPr="009F4C17">
        <w:t xml:space="preserve">Comparar municípios brasileiros a um país impõe um desafio central: a distinção ontológica dos entes. Enquanto o Quênia detém soberania monetária e fiscal ampla, Ribeirão Preto e Sorocaba operam sob os limites constitucionais do federalismo brasileiro. Consequentemente, a metodologia exige que a análise vá além dos valores nominais absolutos. É imperativo adotar valores constantes (corrigidos por índices inflacionários como o IPCA com base em 2023) e converter grandezas para indicadores relativos (como </w:t>
      </w:r>
      <w:r w:rsidRPr="009F4C17">
        <w:rPr>
          <w:i/>
          <w:iCs/>
        </w:rPr>
        <w:t>per capita</w:t>
      </w:r>
      <w:r w:rsidRPr="009F4C17">
        <w:t xml:space="preserve"> e percentuais em relação ao PIB), mitigando as distorções inerentes à comparação entre o Real (BRL) e o Dólar Americano (USD).</w:t>
      </w:r>
    </w:p>
    <w:p w14:paraId="692A1C31" w14:textId="77777777" w:rsidR="009F4C17" w:rsidRPr="009F4C17" w:rsidRDefault="009F4C17" w:rsidP="009F4C17">
      <w:r w:rsidRPr="009F4C17">
        <w:br/>
      </w:r>
    </w:p>
    <w:p w14:paraId="0F88770B" w14:textId="77777777" w:rsidR="009F4C17" w:rsidRPr="009F4C17" w:rsidRDefault="009F4C17" w:rsidP="009F4C17">
      <w:pPr>
        <w:rPr>
          <w:b/>
          <w:bCs/>
        </w:rPr>
      </w:pPr>
      <w:r w:rsidRPr="009F4C17">
        <w:rPr>
          <w:b/>
          <w:bCs/>
        </w:rPr>
        <w:t>2. Escala Demográfica, Territorial e Desenvolvimento Humano</w:t>
      </w:r>
    </w:p>
    <w:p w14:paraId="014BA26A" w14:textId="77777777" w:rsidR="009F4C17" w:rsidRPr="009F4C17" w:rsidRDefault="009F4C17" w:rsidP="009F4C17">
      <w:r w:rsidRPr="009F4C17">
        <w:t>A dimensão territorial e o volume populacional são os primeiros demarcadores de assimetria nesta análise. Os entes subnacionais paulistas apresentam forte adensamento demográfico e alta urbanização. Ribeirão Preto concentra 698.642 habitantes (censo de 2022) em um território de 650,916 km², enquanto Sorocaba abriga 723.682 pessoas em uma área mais compacta de 449,872 km² (Infográficos IBGE/</w:t>
      </w:r>
      <w:proofErr w:type="spellStart"/>
      <w:r w:rsidRPr="009F4C17">
        <w:t>Siconfi</w:t>
      </w:r>
      <w:proofErr w:type="spellEnd"/>
      <w:r w:rsidRPr="009F4C17">
        <w:t>). Ambas as cidades ostentam altos Índices de Desenvolvimento Humano Municipal (IDHM): 0,800 em Ribeirão Preto e 0,798 em Sorocaba, refletindo a consolidação de infraestruturas locais de saúde e educação ao longo das últimas décadas.</w:t>
      </w:r>
    </w:p>
    <w:p w14:paraId="4DA25F93" w14:textId="77777777" w:rsidR="009F4C17" w:rsidRPr="009F4C17" w:rsidRDefault="009F4C17" w:rsidP="009F4C17"/>
    <w:p w14:paraId="6939648A" w14:textId="77777777" w:rsidR="009F4C17" w:rsidRPr="009F4C17" w:rsidRDefault="009F4C17" w:rsidP="009F4C17">
      <w:r w:rsidRPr="009F4C17">
        <w:t xml:space="preserve">Em contraposição, o Quênia lida com a gestão de dezenas de milhões de habitantes dispersos em um território vasto. A escala nacional exige uma malha de serviços públicos muito mais complexa, o que se reflete diretamente na dificuldade de capilarizar o desenvolvimento humano e homogeneizar a oferta de serviços básicos, um desafio estrutural típico de países em </w:t>
      </w:r>
      <w:r w:rsidRPr="009F4C17">
        <w:lastRenderedPageBreak/>
        <w:t>desenvolvimento quando comparados a polos econômicos subnacionais altamente concentrados.</w:t>
      </w:r>
    </w:p>
    <w:p w14:paraId="59D2FB24" w14:textId="25A02C50" w:rsidR="009F4C17" w:rsidRPr="009F4C17" w:rsidRDefault="009F4C17" w:rsidP="009F4C17"/>
    <w:p w14:paraId="0DF97B55" w14:textId="77777777" w:rsidR="009F4C17" w:rsidRPr="009F4C17" w:rsidRDefault="009F4C17" w:rsidP="009F4C17">
      <w:pPr>
        <w:rPr>
          <w:b/>
          <w:bCs/>
        </w:rPr>
      </w:pPr>
      <w:r w:rsidRPr="009F4C17">
        <w:rPr>
          <w:b/>
          <w:bCs/>
        </w:rPr>
        <w:t>3. Dinâmica Econômica e Produto Interno Bruto</w:t>
      </w:r>
    </w:p>
    <w:p w14:paraId="36FD2AE5" w14:textId="77777777" w:rsidR="009F4C17" w:rsidRPr="009F4C17" w:rsidRDefault="009F4C17" w:rsidP="009F4C17">
      <w:r w:rsidRPr="009F4C17">
        <w:t>A análise do Produto Interno Bruto (PIB) revela a potência da economia regional paulista. Em 2023, o PIB per capita de Ribeirão Preto alcançou expressivos R$ 74.869,27, enquanto Sorocaba registrou R$ 81.273,66 por habitante (IBGE, 2024). Esses valores denotam economias locais altamente produtivas, impulsionadas pelo agronegócio tecnológico, comércio e serviços no caso de Ribeirão, e por um forte polo industrial e logístico em Sorocaba.</w:t>
      </w:r>
    </w:p>
    <w:p w14:paraId="296363D1" w14:textId="77777777" w:rsidR="009F4C17" w:rsidRPr="009F4C17" w:rsidRDefault="009F4C17" w:rsidP="009F4C17"/>
    <w:p w14:paraId="64F90D7C" w14:textId="77777777" w:rsidR="009F4C17" w:rsidRPr="009F4C17" w:rsidRDefault="009F4C17" w:rsidP="009F4C17">
      <w:r w:rsidRPr="009F4C17">
        <w:t xml:space="preserve">O Quênia, avaliado macroeconomicamente, apresenta uma trajetória de crescimento contínuo de seu PIB real. Os dados extraídos do </w:t>
      </w:r>
      <w:r w:rsidRPr="009F4C17">
        <w:rPr>
          <w:i/>
          <w:iCs/>
        </w:rPr>
        <w:t>World Bank</w:t>
      </w:r>
      <w:r w:rsidRPr="009F4C17">
        <w:t xml:space="preserve"> e </w:t>
      </w:r>
      <w:r w:rsidRPr="009F4C17">
        <w:rPr>
          <w:i/>
          <w:iCs/>
        </w:rPr>
        <w:t xml:space="preserve">Trading </w:t>
      </w:r>
      <w:proofErr w:type="spellStart"/>
      <w:r w:rsidRPr="009F4C17">
        <w:rPr>
          <w:i/>
          <w:iCs/>
        </w:rPr>
        <w:t>Economics</w:t>
      </w:r>
      <w:proofErr w:type="spellEnd"/>
      <w:r w:rsidRPr="009F4C17">
        <w:t xml:space="preserve"> evidenciam uma evolução de patamares próximos a US$ 75 bilhões (em 2016) para projeções superiores a US$ 129 bilhões. No entanto, ao diluir essa riqueza nacional pela sua vasta população, o PIB per capita queniano (em torno de poucos milhares de dólares) evidencia que a produtividade média individual é substancialmente menor que a dos habitantes dos polos paulistas, reforçando o argumento de que a aglomeração produtiva municipal gera nichos de alta eficiência econômica.</w:t>
      </w:r>
    </w:p>
    <w:p w14:paraId="41872F9B" w14:textId="3BC592DE" w:rsidR="009F4C17" w:rsidRPr="009F4C17" w:rsidRDefault="009F4C17" w:rsidP="009F4C17"/>
    <w:p w14:paraId="7A3A13D0" w14:textId="77777777" w:rsidR="009F4C17" w:rsidRPr="009F4C17" w:rsidRDefault="009F4C17" w:rsidP="009F4C17">
      <w:pPr>
        <w:rPr>
          <w:b/>
          <w:bCs/>
        </w:rPr>
      </w:pPr>
      <w:r w:rsidRPr="009F4C17">
        <w:rPr>
          <w:b/>
          <w:bCs/>
        </w:rPr>
        <w:t>4. Arquitetura Fiscal, Arrecadação e Níveis de Governo</w:t>
      </w:r>
    </w:p>
    <w:p w14:paraId="21170FD8" w14:textId="77777777" w:rsidR="009F4C17" w:rsidRPr="009F4C17" w:rsidRDefault="009F4C17" w:rsidP="009F4C17">
      <w:r w:rsidRPr="009F4C17">
        <w:t xml:space="preserve">A distinção mais profunda entre as unidades analisadas reside na competência tributária. O Estado queniano exerce jurisdição sobre bases amplas da economia. Conforme os indicadores de taxação (Trading </w:t>
      </w:r>
      <w:proofErr w:type="spellStart"/>
      <w:r w:rsidRPr="009F4C17">
        <w:t>Economics</w:t>
      </w:r>
      <w:proofErr w:type="spellEnd"/>
      <w:r w:rsidRPr="009F4C17">
        <w:t xml:space="preserve">, 2024), o Quênia opera com alíquotas expressivas: 30% de Imposto para Empresas (Corporate </w:t>
      </w:r>
      <w:proofErr w:type="spellStart"/>
      <w:r w:rsidRPr="009F4C17">
        <w:t>Tax</w:t>
      </w:r>
      <w:proofErr w:type="spellEnd"/>
      <w:r w:rsidRPr="009F4C17">
        <w:t xml:space="preserve">), 35% de Imposto de Renda da Pessoa Física, 16% de Imposto sobre Vendas (Sales </w:t>
      </w:r>
      <w:proofErr w:type="spellStart"/>
      <w:r w:rsidRPr="009F4C17">
        <w:t>Tax</w:t>
      </w:r>
      <w:proofErr w:type="spellEnd"/>
      <w:r w:rsidRPr="009F4C17">
        <w:t>) e 12% em Contribuições à Seguridade Social. Essa estrutura permite ao país internalizar recursos diretamente da geração de riqueza e do consumo nacional para financiar desde a defesa até a infraestrutura soberana.</w:t>
      </w:r>
    </w:p>
    <w:p w14:paraId="0CC79FEC" w14:textId="77777777" w:rsidR="009F4C17" w:rsidRPr="009F4C17" w:rsidRDefault="009F4C17" w:rsidP="009F4C17"/>
    <w:p w14:paraId="614EDB07" w14:textId="77777777" w:rsidR="009F4C17" w:rsidRPr="009F4C17" w:rsidRDefault="009F4C17" w:rsidP="009F4C17">
      <w:r w:rsidRPr="009F4C17">
        <w:t>Por outro lado, Ribeirão Preto e Sorocaba dependem de um modelo de financiamento híbrido, típico de municípios brasileiros. Suas receitas são compostas por uma base tributária restrita — como Imposto sobre Serviços (ISS), Imposto Predial e Territorial Urbano (IPTU) e Taxas (Receita Própria) — somada a uma forte dependência de Transferências Intergovernamentais (FPM, repasses de ICMS, SUS e FUNDEB). Apesar dessas limitações de competência, a pujança econômica dessas cidades resultou em Receitas Brutas Realizadas vultosas para o exercício: cerca de R$ 5,08 bilhões para Ribeirão Preto e R$ 5,45 bilhões para Sorocaba.</w:t>
      </w:r>
    </w:p>
    <w:p w14:paraId="29358186" w14:textId="26E1B410" w:rsidR="009F4C17" w:rsidRPr="009F4C17" w:rsidRDefault="009F4C17" w:rsidP="009F4C17"/>
    <w:p w14:paraId="04B6AD54" w14:textId="77777777" w:rsidR="009F4C17" w:rsidRPr="009F4C17" w:rsidRDefault="009F4C17" w:rsidP="009F4C17">
      <w:pPr>
        <w:rPr>
          <w:b/>
          <w:bCs/>
        </w:rPr>
      </w:pPr>
      <w:r w:rsidRPr="009F4C17">
        <w:rPr>
          <w:b/>
          <w:bCs/>
        </w:rPr>
        <w:t>5. Execução de Despesas e Alocação de Recursos</w:t>
      </w:r>
    </w:p>
    <w:p w14:paraId="6F24131B" w14:textId="77777777" w:rsidR="009F4C17" w:rsidRPr="009F4C17" w:rsidRDefault="009F4C17" w:rsidP="009F4C17">
      <w:r w:rsidRPr="009F4C17">
        <w:t xml:space="preserve">O perfil de despesas reflete diretamente as obrigações constitucionais de cada nível de governo. Para os municípios de Ribeirão Preto e Sorocaba, as Despesas Brutas Empenhadas cresceram substancialmente na última década, alinhando-se quase que integralmente à curva de receitas arrecadadas. A análise do FINBRA e SICONFI indica que a maior fatia desse </w:t>
      </w:r>
      <w:r w:rsidRPr="009F4C17">
        <w:lastRenderedPageBreak/>
        <w:t>orçamento local é, obrigatoriamente, canalizada para as funções de Saúde e Educação, áreas onde os municípios atuam como executores de ponta do Estado de Bem-Estar Social brasileiro.</w:t>
      </w:r>
    </w:p>
    <w:p w14:paraId="55FDD75D" w14:textId="77777777" w:rsidR="009F4C17" w:rsidRPr="009F4C17" w:rsidRDefault="009F4C17" w:rsidP="009F4C17"/>
    <w:p w14:paraId="063BDBA3" w14:textId="77777777" w:rsidR="009F4C17" w:rsidRPr="009F4C17" w:rsidRDefault="009F4C17" w:rsidP="009F4C17">
      <w:r w:rsidRPr="009F4C17">
        <w:t>O Quênia, em contraste, precisa alocar seu orçamento ("Despesa governamental") em um espectro muito mais vasto de políticas públicas, incluindo forças armadas, diplomacia, regulação macroeconômica e pagamento de dívida soberana, diluindo o impacto direto da arrecadação na prestação imediata de serviços ao cidadão comum em comparação ao que ocorre nas cidades estudadas.</w:t>
      </w:r>
    </w:p>
    <w:p w14:paraId="75038B9E" w14:textId="6B2FE143" w:rsidR="009F4C17" w:rsidRPr="009F4C17" w:rsidRDefault="009F4C17" w:rsidP="009F4C17">
      <w:pPr>
        <w:rPr>
          <w:b/>
          <w:bCs/>
        </w:rPr>
      </w:pPr>
      <w:r w:rsidRPr="009F4C17">
        <w:br/>
      </w:r>
      <w:r w:rsidRPr="009F4C17">
        <w:rPr>
          <w:b/>
          <w:bCs/>
        </w:rPr>
        <w:t>6. Conclusão</w:t>
      </w:r>
    </w:p>
    <w:p w14:paraId="24101A65" w14:textId="77777777" w:rsidR="009F4C17" w:rsidRPr="009F4C17" w:rsidRDefault="009F4C17" w:rsidP="009F4C17">
      <w:r w:rsidRPr="009F4C17">
        <w:t>A comparação empírica entre os municípios de Ribeirão Preto e Sorocaba e o Estado do Quênia comprova que a análise das finanças públicas ganha contornos complexos ao cruzar fronteiras de nível de governo. Embora o Quênia detenha as alavancas da política macroeconômica e impostos de base ampla, os polos paulistas demonstram uma capacidade formidável de geração de valor agregado (</w:t>
      </w:r>
      <w:r w:rsidRPr="009F4C17">
        <w:rPr>
          <w:i/>
          <w:iCs/>
        </w:rPr>
        <w:t>PIB per capita</w:t>
      </w:r>
      <w:r w:rsidRPr="009F4C17">
        <w:t xml:space="preserve"> elevado) e captação de recursos públicos (orçamentos na casa dos bilhões de reais), sustentando altos índices de desenvolvimento humano.</w:t>
      </w:r>
    </w:p>
    <w:p w14:paraId="18D1610C" w14:textId="77777777" w:rsidR="009F4C17" w:rsidRPr="009F4C17" w:rsidRDefault="009F4C17" w:rsidP="009F4C17"/>
    <w:p w14:paraId="3384C05C" w14:textId="77777777" w:rsidR="009F4C17" w:rsidRPr="009F4C17" w:rsidRDefault="009F4C17" w:rsidP="009F4C17">
      <w:r w:rsidRPr="009F4C17">
        <w:t>Para que tais estudos comparativos mantenham sua validade científica, reitera-se a importância da adoção de séries históricas deflacionadas (preços constantes de 2023), da discriminação entre receitas próprias e transferências, e da relativização dos dados absolutos pela demografia local. Dessa forma, é possível contornar as ilusões nominais e compreender a real dimensão do esforço fiscal e produtivo de cada sociedade.</w:t>
      </w:r>
    </w:p>
    <w:p w14:paraId="06D44957" w14:textId="77777777" w:rsidR="009F4C17" w:rsidRPr="009F4C17" w:rsidRDefault="009F4C17" w:rsidP="009F4C17"/>
    <w:p w14:paraId="190E3FC3" w14:textId="77777777" w:rsidR="009F4C17" w:rsidRPr="009F4C17" w:rsidRDefault="009F4C17" w:rsidP="009F4C17">
      <w:r w:rsidRPr="009F4C17">
        <w:rPr>
          <w:b/>
          <w:bCs/>
        </w:rPr>
        <w:t>Referências</w:t>
      </w:r>
    </w:p>
    <w:p w14:paraId="64F41DC0" w14:textId="5CA0B211" w:rsidR="009F4C17" w:rsidRPr="009F4C17" w:rsidRDefault="009F4C17" w:rsidP="00517911">
      <w:pPr>
        <w:tabs>
          <w:tab w:val="num" w:pos="720"/>
        </w:tabs>
      </w:pPr>
      <w:r w:rsidRPr="009F4C17">
        <w:br/>
        <w:t xml:space="preserve">IBGE - Instituto Brasileiro de Geografia e Estatística. </w:t>
      </w:r>
      <w:r w:rsidRPr="009F4C17">
        <w:rPr>
          <w:i/>
          <w:iCs/>
        </w:rPr>
        <w:t>PIB Municipal e Dados Demográficos</w:t>
      </w:r>
      <w:r w:rsidRPr="009F4C17">
        <w:t>.</w:t>
      </w:r>
    </w:p>
    <w:p w14:paraId="4934A067" w14:textId="77777777" w:rsidR="009F4C17" w:rsidRPr="009F4C17" w:rsidRDefault="009F4C17" w:rsidP="00517911">
      <w:r w:rsidRPr="009F4C17">
        <w:t xml:space="preserve">Tesouro Nacional (SICONFI / FINBRA). </w:t>
      </w:r>
      <w:r w:rsidRPr="009F4C17">
        <w:rPr>
          <w:i/>
          <w:iCs/>
        </w:rPr>
        <w:t>Receitas e Despesas Orçamentárias</w:t>
      </w:r>
      <w:r w:rsidRPr="009F4C17">
        <w:t>.</w:t>
      </w:r>
    </w:p>
    <w:p w14:paraId="5D4E4782" w14:textId="77777777" w:rsidR="009F4C17" w:rsidRPr="009F4C17" w:rsidRDefault="009F4C17" w:rsidP="00517911">
      <w:r w:rsidRPr="009F4C17">
        <w:t xml:space="preserve">World Bank &amp; IMF. </w:t>
      </w:r>
      <w:r w:rsidRPr="009F4C17">
        <w:rPr>
          <w:i/>
          <w:iCs/>
        </w:rPr>
        <w:t xml:space="preserve">Kenya: GDP, </w:t>
      </w:r>
      <w:proofErr w:type="spellStart"/>
      <w:r w:rsidRPr="009F4C17">
        <w:rPr>
          <w:i/>
          <w:iCs/>
        </w:rPr>
        <w:t>Revenues</w:t>
      </w:r>
      <w:proofErr w:type="spellEnd"/>
      <w:r w:rsidRPr="009F4C17">
        <w:rPr>
          <w:i/>
          <w:iCs/>
        </w:rPr>
        <w:t xml:space="preserve">, </w:t>
      </w:r>
      <w:proofErr w:type="spellStart"/>
      <w:r w:rsidRPr="009F4C17">
        <w:rPr>
          <w:i/>
          <w:iCs/>
        </w:rPr>
        <w:t>and</w:t>
      </w:r>
      <w:proofErr w:type="spellEnd"/>
      <w:r w:rsidRPr="009F4C17">
        <w:rPr>
          <w:i/>
          <w:iCs/>
        </w:rPr>
        <w:t xml:space="preserve"> </w:t>
      </w:r>
      <w:proofErr w:type="spellStart"/>
      <w:r w:rsidRPr="009F4C17">
        <w:rPr>
          <w:i/>
          <w:iCs/>
        </w:rPr>
        <w:t>Population</w:t>
      </w:r>
      <w:proofErr w:type="spellEnd"/>
      <w:r w:rsidRPr="009F4C17">
        <w:rPr>
          <w:i/>
          <w:iCs/>
        </w:rPr>
        <w:t xml:space="preserve"> Data</w:t>
      </w:r>
      <w:r w:rsidRPr="009F4C17">
        <w:t>.</w:t>
      </w:r>
    </w:p>
    <w:p w14:paraId="48D14EE7" w14:textId="77777777" w:rsidR="009F4C17" w:rsidRPr="009F4C17" w:rsidRDefault="009F4C17" w:rsidP="00517911">
      <w:r w:rsidRPr="009F4C17">
        <w:t xml:space="preserve">Trading </w:t>
      </w:r>
      <w:proofErr w:type="spellStart"/>
      <w:r w:rsidRPr="009F4C17">
        <w:t>Economics</w:t>
      </w:r>
      <w:proofErr w:type="spellEnd"/>
      <w:r w:rsidRPr="009F4C17">
        <w:t xml:space="preserve">. </w:t>
      </w:r>
      <w:r w:rsidRPr="009F4C17">
        <w:rPr>
          <w:i/>
          <w:iCs/>
        </w:rPr>
        <w:t xml:space="preserve">Kenya: </w:t>
      </w:r>
      <w:proofErr w:type="spellStart"/>
      <w:r w:rsidRPr="009F4C17">
        <w:rPr>
          <w:i/>
          <w:iCs/>
        </w:rPr>
        <w:t>Tax</w:t>
      </w:r>
      <w:proofErr w:type="spellEnd"/>
      <w:r w:rsidRPr="009F4C17">
        <w:rPr>
          <w:i/>
          <w:iCs/>
        </w:rPr>
        <w:t xml:space="preserve"> Rates </w:t>
      </w:r>
      <w:proofErr w:type="spellStart"/>
      <w:r w:rsidRPr="009F4C17">
        <w:rPr>
          <w:i/>
          <w:iCs/>
        </w:rPr>
        <w:t>and</w:t>
      </w:r>
      <w:proofErr w:type="spellEnd"/>
      <w:r w:rsidRPr="009F4C17">
        <w:rPr>
          <w:i/>
          <w:iCs/>
        </w:rPr>
        <w:t xml:space="preserve"> Economic </w:t>
      </w:r>
      <w:proofErr w:type="spellStart"/>
      <w:r w:rsidRPr="009F4C17">
        <w:rPr>
          <w:i/>
          <w:iCs/>
        </w:rPr>
        <w:t>Indicators</w:t>
      </w:r>
      <w:proofErr w:type="spellEnd"/>
      <w:r w:rsidRPr="009F4C17">
        <w:t>.</w:t>
      </w:r>
    </w:p>
    <w:p w14:paraId="20CCC67E" w14:textId="77777777" w:rsidR="009F4C17" w:rsidRPr="009F4C17" w:rsidRDefault="009F4C17" w:rsidP="009F4C17"/>
    <w:p w14:paraId="38C86DF8" w14:textId="77777777" w:rsidR="00C141D2" w:rsidRDefault="00C141D2" w:rsidP="009F4C17"/>
    <w:sectPr w:rsidR="00C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361C5"/>
    <w:multiLevelType w:val="multilevel"/>
    <w:tmpl w:val="043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31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17"/>
    <w:rsid w:val="003D6C75"/>
    <w:rsid w:val="00517911"/>
    <w:rsid w:val="00900AA9"/>
    <w:rsid w:val="009F4C17"/>
    <w:rsid w:val="00A9594C"/>
    <w:rsid w:val="00BB37E9"/>
    <w:rsid w:val="00C1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D4486"/>
  <w15:chartTrackingRefBased/>
  <w15:docId w15:val="{895B8590-1DC8-4DB7-8719-94B8E597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C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C1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C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C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C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C1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C1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1210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Serivaldo Carlos de Araujo</dc:creator>
  <cp:keywords/>
  <dc:description/>
  <cp:lastModifiedBy>Serivaldo Carlos de Araujo</cp:lastModifiedBy>
  <cp:revision>1</cp:revision>
  <dcterms:created xsi:type="dcterms:W3CDTF">2026-10-25T19:32:00Z</dcterms:created>
  <dcterms:modified xsi:type="dcterms:W3CDTF">2026-10-25T22:40:00Z</dcterms:modified>
</cp:coreProperties>
</file>